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D1D5F9" w14:textId="77777777" w:rsidR="003501A1" w:rsidRPr="00A179AE" w:rsidRDefault="003501A1" w:rsidP="003501A1">
      <w:pPr>
        <w:jc w:val="center"/>
        <w:rPr>
          <w:b/>
          <w:bCs/>
          <w:sz w:val="28"/>
          <w:szCs w:val="28"/>
        </w:rPr>
      </w:pPr>
      <w:r>
        <w:rPr>
          <w:b/>
          <w:bCs/>
          <w:sz w:val="28"/>
          <w:szCs w:val="28"/>
        </w:rPr>
        <w:t>Doložka vybraných vplyvov</w:t>
      </w:r>
    </w:p>
    <w:p w14:paraId="7C0A9196" w14:textId="77777777" w:rsidR="003501A1" w:rsidRPr="00BF3078" w:rsidRDefault="003501A1" w:rsidP="003501A1">
      <w:pPr>
        <w:pStyle w:val="Odsekzoznamu"/>
        <w:ind w:left="426"/>
        <w:rPr>
          <w:b/>
        </w:rPr>
      </w:pPr>
    </w:p>
    <w:tbl>
      <w:tblPr>
        <w:tblStyle w:val="Mriekatabuky"/>
        <w:tblW w:w="9209" w:type="dxa"/>
        <w:tblLayout w:type="fixed"/>
        <w:tblLook w:val="04A0" w:firstRow="1" w:lastRow="0" w:firstColumn="1" w:lastColumn="0" w:noHBand="0" w:noVBand="1"/>
      </w:tblPr>
      <w:tblGrid>
        <w:gridCol w:w="3812"/>
        <w:gridCol w:w="400"/>
        <w:gridCol w:w="141"/>
        <w:gridCol w:w="564"/>
        <w:gridCol w:w="717"/>
        <w:gridCol w:w="569"/>
        <w:gridCol w:w="1133"/>
        <w:gridCol w:w="284"/>
        <w:gridCol w:w="263"/>
        <w:gridCol w:w="1326"/>
      </w:tblGrid>
      <w:tr w:rsidR="003501A1" w:rsidRPr="00A179AE" w14:paraId="1BC1C684" w14:textId="77777777" w:rsidTr="00184531">
        <w:tc>
          <w:tcPr>
            <w:tcW w:w="9209" w:type="dxa"/>
            <w:gridSpan w:val="10"/>
            <w:tcBorders>
              <w:bottom w:val="single" w:sz="4" w:space="0" w:color="FFFFFF" w:themeColor="background1"/>
            </w:tcBorders>
            <w:shd w:val="clear" w:color="auto" w:fill="E2E2E2"/>
          </w:tcPr>
          <w:p w14:paraId="3C80296B" w14:textId="77777777"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Základné údaje</w:t>
            </w:r>
          </w:p>
        </w:tc>
      </w:tr>
      <w:tr w:rsidR="003501A1" w:rsidRPr="00A179AE" w14:paraId="5BCF1A85" w14:textId="77777777" w:rsidTr="00184531">
        <w:tc>
          <w:tcPr>
            <w:tcW w:w="9209" w:type="dxa"/>
            <w:gridSpan w:val="10"/>
            <w:tcBorders>
              <w:bottom w:val="single" w:sz="4" w:space="0" w:color="FFFFFF" w:themeColor="background1"/>
            </w:tcBorders>
            <w:shd w:val="clear" w:color="auto" w:fill="E2E2E2"/>
          </w:tcPr>
          <w:p w14:paraId="73E964DB" w14:textId="77777777" w:rsidR="003501A1" w:rsidRPr="00A179AE" w:rsidRDefault="003501A1" w:rsidP="007B71A4">
            <w:pPr>
              <w:pStyle w:val="Odsekzoznamu"/>
              <w:ind w:left="142"/>
              <w:rPr>
                <w:rFonts w:ascii="Times New Roman" w:hAnsi="Times New Roman" w:cs="Times New Roman"/>
                <w:b/>
              </w:rPr>
            </w:pPr>
            <w:r w:rsidRPr="00A179AE">
              <w:rPr>
                <w:rFonts w:ascii="Times New Roman" w:hAnsi="Times New Roman" w:cs="Times New Roman"/>
                <w:b/>
              </w:rPr>
              <w:t>Názov materiálu</w:t>
            </w:r>
          </w:p>
        </w:tc>
      </w:tr>
      <w:tr w:rsidR="003501A1" w:rsidRPr="00A179AE" w14:paraId="3897FE40" w14:textId="77777777" w:rsidTr="00184531">
        <w:tc>
          <w:tcPr>
            <w:tcW w:w="9209" w:type="dxa"/>
            <w:gridSpan w:val="10"/>
            <w:tcBorders>
              <w:top w:val="single" w:sz="4" w:space="0" w:color="FFFFFF" w:themeColor="background1"/>
              <w:bottom w:val="single" w:sz="4" w:space="0" w:color="auto"/>
            </w:tcBorders>
          </w:tcPr>
          <w:p w14:paraId="33394EFD" w14:textId="77777777" w:rsidR="003501A1" w:rsidRPr="00A179AE" w:rsidRDefault="00E14F74" w:rsidP="00BC5F8B">
            <w:pPr>
              <w:spacing w:after="60"/>
            </w:pPr>
            <w:r>
              <w:rPr>
                <w:rFonts w:ascii="Times" w:hAnsi="Times" w:cs="Times"/>
              </w:rPr>
              <w:t xml:space="preserve">Nariadenie vlády Slovenskej republiky, ktorým sa vyhlasuje chránený areál </w:t>
            </w:r>
            <w:r w:rsidR="00611AA7">
              <w:rPr>
                <w:rFonts w:ascii="Times" w:hAnsi="Times" w:cs="Times"/>
              </w:rPr>
              <w:t>Ostrovné lúčky</w:t>
            </w:r>
          </w:p>
        </w:tc>
      </w:tr>
      <w:tr w:rsidR="003501A1" w:rsidRPr="00A179AE" w14:paraId="6F91B6BF" w14:textId="77777777" w:rsidTr="00184531">
        <w:tc>
          <w:tcPr>
            <w:tcW w:w="9209" w:type="dxa"/>
            <w:gridSpan w:val="10"/>
            <w:tcBorders>
              <w:top w:val="single" w:sz="4" w:space="0" w:color="auto"/>
              <w:left w:val="single" w:sz="4" w:space="0" w:color="auto"/>
              <w:bottom w:val="single" w:sz="4" w:space="0" w:color="FFFFFF" w:themeColor="background1"/>
            </w:tcBorders>
            <w:shd w:val="clear" w:color="auto" w:fill="E2E2E2"/>
          </w:tcPr>
          <w:p w14:paraId="3A01BBE3" w14:textId="77777777" w:rsidR="003501A1" w:rsidRPr="00A179AE" w:rsidRDefault="003501A1" w:rsidP="007B71A4">
            <w:pPr>
              <w:pStyle w:val="Odsekzoznamu"/>
              <w:ind w:left="142"/>
              <w:rPr>
                <w:rFonts w:ascii="Times New Roman" w:hAnsi="Times New Roman" w:cs="Times New Roman"/>
                <w:b/>
              </w:rPr>
            </w:pPr>
            <w:r w:rsidRPr="00A179AE">
              <w:rPr>
                <w:rFonts w:ascii="Times New Roman" w:hAnsi="Times New Roman" w:cs="Times New Roman"/>
                <w:b/>
              </w:rPr>
              <w:t>Predkladateľ (a spolupredkladateľ)</w:t>
            </w:r>
          </w:p>
        </w:tc>
      </w:tr>
      <w:tr w:rsidR="003501A1" w:rsidRPr="00A179AE" w14:paraId="1E48D41B" w14:textId="77777777" w:rsidTr="00184531">
        <w:tc>
          <w:tcPr>
            <w:tcW w:w="9209" w:type="dxa"/>
            <w:gridSpan w:val="10"/>
            <w:tcBorders>
              <w:top w:val="single" w:sz="4" w:space="0" w:color="FFFFFF" w:themeColor="background1"/>
              <w:left w:val="single" w:sz="4" w:space="0" w:color="auto"/>
              <w:bottom w:val="single" w:sz="4" w:space="0" w:color="auto"/>
            </w:tcBorders>
            <w:shd w:val="clear" w:color="auto" w:fill="FFFFFF" w:themeFill="background1"/>
          </w:tcPr>
          <w:p w14:paraId="441CC1EF" w14:textId="77777777" w:rsidR="003501A1" w:rsidRPr="00A179AE" w:rsidRDefault="00926D39" w:rsidP="00926D39">
            <w:pPr>
              <w:spacing w:after="60"/>
            </w:pPr>
            <w:r>
              <w:rPr>
                <w:rFonts w:ascii="Times" w:hAnsi="Times" w:cs="Times"/>
              </w:rPr>
              <w:t>Ministerstvo životného prostredia Slovenskej republiky</w:t>
            </w:r>
          </w:p>
        </w:tc>
      </w:tr>
      <w:tr w:rsidR="003501A1" w:rsidRPr="00A179AE" w14:paraId="28A33D9D" w14:textId="77777777" w:rsidTr="00184531">
        <w:tc>
          <w:tcPr>
            <w:tcW w:w="4212" w:type="dxa"/>
            <w:gridSpan w:val="2"/>
            <w:vMerge w:val="restart"/>
            <w:tcBorders>
              <w:top w:val="single" w:sz="4" w:space="0" w:color="auto"/>
              <w:left w:val="single" w:sz="4" w:space="0" w:color="auto"/>
              <w:bottom w:val="single" w:sz="4" w:space="0" w:color="FFFFFF" w:themeColor="background1"/>
            </w:tcBorders>
            <w:shd w:val="clear" w:color="auto" w:fill="E2E2E2"/>
            <w:vAlign w:val="center"/>
          </w:tcPr>
          <w:p w14:paraId="6AFDC0F6" w14:textId="77777777" w:rsidR="003501A1" w:rsidRPr="00A179AE" w:rsidRDefault="003501A1" w:rsidP="007B71A4">
            <w:pPr>
              <w:pStyle w:val="Odsekzoznamu"/>
              <w:ind w:left="142"/>
              <w:rPr>
                <w:rFonts w:ascii="Times New Roman" w:hAnsi="Times New Roman" w:cs="Times New Roman"/>
                <w:b/>
              </w:rPr>
            </w:pPr>
            <w:r w:rsidRPr="00A179AE">
              <w:rPr>
                <w:rFonts w:ascii="Times New Roman" w:hAnsi="Times New Roman" w:cs="Times New Roman"/>
                <w:b/>
              </w:rPr>
              <w:t>Charakter predkladaného materiálu</w:t>
            </w:r>
          </w:p>
        </w:tc>
        <w:sdt>
          <w:sdtPr>
            <w:id w:val="-69890771"/>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hemeFill="background1"/>
              </w:tcPr>
              <w:p w14:paraId="23E07D34" w14:textId="77777777" w:rsidR="003501A1" w:rsidRPr="00A179AE" w:rsidRDefault="00E14F74" w:rsidP="007B71A4">
                <w:pPr>
                  <w:jc w:val="center"/>
                </w:pPr>
                <w:r>
                  <w:rPr>
                    <w:rFonts w:ascii="MS Gothic" w:eastAsia="MS Gothic" w:hAnsi="MS Gothic" w:hint="eastAsia"/>
                  </w:rPr>
                  <w:t>☐</w:t>
                </w:r>
              </w:p>
            </w:tc>
          </w:sdtContent>
        </w:sdt>
        <w:tc>
          <w:tcPr>
            <w:tcW w:w="4292" w:type="dxa"/>
            <w:gridSpan w:val="6"/>
            <w:tcBorders>
              <w:top w:val="single" w:sz="4" w:space="0" w:color="auto"/>
              <w:left w:val="nil"/>
              <w:bottom w:val="single" w:sz="4" w:space="0" w:color="auto"/>
              <w:right w:val="single" w:sz="4" w:space="0" w:color="auto"/>
            </w:tcBorders>
            <w:shd w:val="clear" w:color="auto" w:fill="FFFFFF" w:themeFill="background1"/>
          </w:tcPr>
          <w:p w14:paraId="762FF3A7" w14:textId="77777777" w:rsidR="003501A1" w:rsidRPr="00A179AE" w:rsidRDefault="003501A1" w:rsidP="007B71A4">
            <w:r w:rsidRPr="00A179AE">
              <w:t>Materiál nelegislatívnej povahy</w:t>
            </w:r>
          </w:p>
        </w:tc>
      </w:tr>
      <w:tr w:rsidR="003501A1" w:rsidRPr="00A179AE" w14:paraId="7D9DAC16" w14:textId="77777777" w:rsidTr="00184531">
        <w:tc>
          <w:tcPr>
            <w:tcW w:w="4212" w:type="dxa"/>
            <w:gridSpan w:val="2"/>
            <w:vMerge/>
            <w:tcBorders>
              <w:top w:val="nil"/>
              <w:left w:val="single" w:sz="4" w:space="0" w:color="auto"/>
              <w:bottom w:val="single" w:sz="4" w:space="0" w:color="FFFFFF" w:themeColor="background1"/>
            </w:tcBorders>
            <w:shd w:val="clear" w:color="auto" w:fill="E2E2E2"/>
          </w:tcPr>
          <w:p w14:paraId="197F71E6" w14:textId="77777777" w:rsidR="003501A1" w:rsidRPr="00A179AE" w:rsidRDefault="003501A1" w:rsidP="007B71A4"/>
        </w:tc>
        <w:sdt>
          <w:sdtPr>
            <w:id w:val="-145588339"/>
            <w14:checkbox>
              <w14:checked w14:val="1"/>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hemeFill="background1"/>
              </w:tcPr>
              <w:p w14:paraId="4941516E" w14:textId="77777777" w:rsidR="003501A1" w:rsidRPr="00A179AE" w:rsidRDefault="00E14F74" w:rsidP="007B71A4">
                <w:pPr>
                  <w:jc w:val="center"/>
                </w:pPr>
                <w:r>
                  <w:rPr>
                    <w:rFonts w:ascii="MS Gothic" w:eastAsia="MS Gothic" w:hAnsi="MS Gothic" w:hint="eastAsia"/>
                  </w:rPr>
                  <w:t>☒</w:t>
                </w:r>
              </w:p>
            </w:tc>
          </w:sdtContent>
        </w:sdt>
        <w:tc>
          <w:tcPr>
            <w:tcW w:w="4292" w:type="dxa"/>
            <w:gridSpan w:val="6"/>
            <w:tcBorders>
              <w:top w:val="single" w:sz="4" w:space="0" w:color="auto"/>
              <w:left w:val="nil"/>
              <w:bottom w:val="single" w:sz="4" w:space="0" w:color="auto"/>
            </w:tcBorders>
            <w:shd w:val="clear" w:color="auto" w:fill="FFFFFF" w:themeFill="background1"/>
          </w:tcPr>
          <w:p w14:paraId="69DDD0BC" w14:textId="77777777" w:rsidR="003501A1" w:rsidRPr="00A179AE" w:rsidRDefault="003501A1" w:rsidP="007B71A4">
            <w:pPr>
              <w:ind w:left="175" w:hanging="175"/>
            </w:pPr>
            <w:r w:rsidRPr="00A179AE">
              <w:t>Materiál legislatívnej povahy</w:t>
            </w:r>
          </w:p>
        </w:tc>
      </w:tr>
      <w:tr w:rsidR="003501A1" w:rsidRPr="00A179AE" w14:paraId="37A0DF47" w14:textId="77777777" w:rsidTr="00184531">
        <w:tc>
          <w:tcPr>
            <w:tcW w:w="4212" w:type="dxa"/>
            <w:gridSpan w:val="2"/>
            <w:vMerge/>
            <w:tcBorders>
              <w:top w:val="nil"/>
              <w:left w:val="single" w:sz="4" w:space="0" w:color="auto"/>
              <w:bottom w:val="single" w:sz="4" w:space="0" w:color="auto"/>
            </w:tcBorders>
            <w:shd w:val="clear" w:color="auto" w:fill="E2E2E2"/>
          </w:tcPr>
          <w:p w14:paraId="24DFC87F" w14:textId="77777777" w:rsidR="003501A1" w:rsidRPr="00A179AE" w:rsidRDefault="003501A1" w:rsidP="007B71A4"/>
        </w:tc>
        <w:sdt>
          <w:sdtPr>
            <w:id w:val="-1883475976"/>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hemeFill="background1"/>
              </w:tcPr>
              <w:p w14:paraId="381B7765" w14:textId="77777777" w:rsidR="003501A1" w:rsidRPr="00A179AE" w:rsidRDefault="003501A1" w:rsidP="007B71A4">
                <w:pPr>
                  <w:jc w:val="center"/>
                </w:pPr>
                <w:r w:rsidRPr="00A179AE">
                  <w:rPr>
                    <w:rFonts w:ascii="MS Mincho" w:eastAsia="MS Mincho" w:hAnsi="MS Mincho" w:cs="MS Mincho" w:hint="eastAsia"/>
                  </w:rPr>
                  <w:t>☐</w:t>
                </w:r>
              </w:p>
            </w:tc>
          </w:sdtContent>
        </w:sdt>
        <w:tc>
          <w:tcPr>
            <w:tcW w:w="4292" w:type="dxa"/>
            <w:gridSpan w:val="6"/>
            <w:tcBorders>
              <w:top w:val="single" w:sz="4" w:space="0" w:color="auto"/>
              <w:left w:val="nil"/>
              <w:bottom w:val="single" w:sz="4" w:space="0" w:color="auto"/>
            </w:tcBorders>
            <w:shd w:val="clear" w:color="auto" w:fill="FFFFFF" w:themeFill="background1"/>
          </w:tcPr>
          <w:p w14:paraId="10C02D91" w14:textId="77777777" w:rsidR="003501A1" w:rsidRPr="00A179AE" w:rsidRDefault="003501A1" w:rsidP="007B71A4">
            <w:r w:rsidRPr="00A179AE">
              <w:t>Transpozícia práva EÚ</w:t>
            </w:r>
          </w:p>
        </w:tc>
      </w:tr>
      <w:tr w:rsidR="003501A1" w:rsidRPr="00A179AE" w14:paraId="43C2E64A" w14:textId="77777777" w:rsidTr="00184531">
        <w:tc>
          <w:tcPr>
            <w:tcW w:w="9209" w:type="dxa"/>
            <w:gridSpan w:val="10"/>
            <w:tcBorders>
              <w:top w:val="single" w:sz="4" w:space="0" w:color="auto"/>
              <w:left w:val="single" w:sz="4" w:space="0" w:color="auto"/>
              <w:bottom w:val="single" w:sz="4" w:space="0" w:color="FFFFFF" w:themeColor="background1"/>
            </w:tcBorders>
            <w:shd w:val="clear" w:color="auto" w:fill="FFFFFF" w:themeFill="background1"/>
          </w:tcPr>
          <w:p w14:paraId="31A28B33" w14:textId="77777777" w:rsidR="003501A1" w:rsidRPr="00C1030C" w:rsidRDefault="003501A1" w:rsidP="007B71A4">
            <w:pPr>
              <w:rPr>
                <w:i/>
              </w:rPr>
            </w:pPr>
            <w:r w:rsidRPr="00C1030C">
              <w:rPr>
                <w:i/>
              </w:rPr>
              <w:t>V prípade transpozície uveďte zoznam transponovaných predpisov:</w:t>
            </w:r>
          </w:p>
        </w:tc>
      </w:tr>
      <w:tr w:rsidR="003501A1" w:rsidRPr="00A179AE" w14:paraId="43971FFC" w14:textId="77777777" w:rsidTr="00184531">
        <w:tc>
          <w:tcPr>
            <w:tcW w:w="5634" w:type="dxa"/>
            <w:gridSpan w:val="5"/>
            <w:tcBorders>
              <w:top w:val="single" w:sz="4" w:space="0" w:color="000000" w:themeColor="text1"/>
              <w:left w:val="single" w:sz="4" w:space="0" w:color="auto"/>
              <w:bottom w:val="single" w:sz="4" w:space="0" w:color="FFFFFF" w:themeColor="background1"/>
              <w:right w:val="single" w:sz="4" w:space="0" w:color="auto"/>
            </w:tcBorders>
            <w:shd w:val="clear" w:color="auto" w:fill="E2E2E2"/>
          </w:tcPr>
          <w:p w14:paraId="270978A8" w14:textId="77777777" w:rsidR="003501A1" w:rsidRPr="00A179AE" w:rsidRDefault="003501A1" w:rsidP="00926D39">
            <w:pPr>
              <w:pStyle w:val="Odsekzoznamu"/>
              <w:spacing w:after="120"/>
              <w:ind w:left="142"/>
              <w:rPr>
                <w:rFonts w:ascii="Times New Roman" w:hAnsi="Times New Roman" w:cs="Times New Roman"/>
                <w:b/>
              </w:rPr>
            </w:pPr>
            <w:r w:rsidRPr="00A179AE">
              <w:rPr>
                <w:rFonts w:ascii="Times New Roman" w:hAnsi="Times New Roman" w:cs="Times New Roman"/>
                <w:b/>
              </w:rPr>
              <w:t>Termín začiatku a ukončenia PPK</w:t>
            </w:r>
          </w:p>
        </w:tc>
        <w:tc>
          <w:tcPr>
            <w:tcW w:w="3575" w:type="dxa"/>
            <w:gridSpan w:val="5"/>
            <w:tcBorders>
              <w:top w:val="single" w:sz="4" w:space="0" w:color="000000" w:themeColor="text1"/>
              <w:left w:val="single" w:sz="4" w:space="0" w:color="auto"/>
              <w:bottom w:val="single" w:sz="4" w:space="0" w:color="auto"/>
              <w:right w:val="single" w:sz="4" w:space="0" w:color="auto"/>
            </w:tcBorders>
          </w:tcPr>
          <w:p w14:paraId="31667B5B" w14:textId="22EE005D" w:rsidR="003501A1" w:rsidRPr="00DC3B60" w:rsidRDefault="00104F99" w:rsidP="00E14F74">
            <w:pPr>
              <w:rPr>
                <w:i/>
              </w:rPr>
            </w:pPr>
            <w:r>
              <w:rPr>
                <w:i/>
              </w:rPr>
              <w:t>16.-</w:t>
            </w:r>
            <w:r w:rsidR="00CE056D">
              <w:rPr>
                <w:i/>
              </w:rPr>
              <w:t>30</w:t>
            </w:r>
            <w:r>
              <w:rPr>
                <w:i/>
              </w:rPr>
              <w:t>.10.</w:t>
            </w:r>
            <w:r w:rsidR="00DD0D9A" w:rsidRPr="00DC3B60">
              <w:rPr>
                <w:i/>
              </w:rPr>
              <w:t>20</w:t>
            </w:r>
            <w:r w:rsidR="0036633D">
              <w:rPr>
                <w:i/>
              </w:rPr>
              <w:t>20</w:t>
            </w:r>
          </w:p>
        </w:tc>
      </w:tr>
      <w:tr w:rsidR="003501A1" w:rsidRPr="00A179AE" w14:paraId="2C98F6DB" w14:textId="77777777" w:rsidTr="00184531">
        <w:tc>
          <w:tcPr>
            <w:tcW w:w="5634" w:type="dxa"/>
            <w:gridSpan w:val="5"/>
            <w:tcBorders>
              <w:top w:val="single" w:sz="4" w:space="0" w:color="auto"/>
              <w:left w:val="single" w:sz="4" w:space="0" w:color="auto"/>
              <w:bottom w:val="single" w:sz="4" w:space="0" w:color="FFFFFF" w:themeColor="background1"/>
              <w:right w:val="single" w:sz="4" w:space="0" w:color="auto"/>
            </w:tcBorders>
            <w:shd w:val="clear" w:color="auto" w:fill="E2E2E2"/>
          </w:tcPr>
          <w:p w14:paraId="17B2DCCB" w14:textId="77777777" w:rsidR="003501A1" w:rsidRPr="00651F45" w:rsidRDefault="003501A1" w:rsidP="00651F45">
            <w:pPr>
              <w:pStyle w:val="Odsekzoznamu"/>
              <w:spacing w:after="120"/>
              <w:ind w:left="142"/>
              <w:jc w:val="both"/>
              <w:rPr>
                <w:rFonts w:ascii="Times New Roman" w:eastAsia="Times New Roman" w:hAnsi="Times New Roman" w:cs="Times New Roman"/>
                <w:i/>
                <w:sz w:val="20"/>
                <w:szCs w:val="20"/>
                <w:lang w:eastAsia="sk-SK"/>
              </w:rPr>
            </w:pPr>
            <w:r w:rsidRPr="00651F45">
              <w:rPr>
                <w:rFonts w:ascii="Times New Roman" w:eastAsia="Times New Roman" w:hAnsi="Times New Roman" w:cs="Times New Roman"/>
                <w:i/>
                <w:sz w:val="20"/>
                <w:szCs w:val="20"/>
                <w:lang w:eastAsia="sk-SK"/>
              </w:rPr>
              <w:t>Predpokladaný termín predloženia na MPK</w:t>
            </w:r>
            <w:r w:rsidR="00F62771" w:rsidRPr="00651F45">
              <w:rPr>
                <w:rFonts w:ascii="Times New Roman" w:eastAsia="Times New Roman" w:hAnsi="Times New Roman" w:cs="Times New Roman"/>
                <w:i/>
                <w:sz w:val="20"/>
                <w:szCs w:val="20"/>
                <w:lang w:eastAsia="sk-SK"/>
              </w:rPr>
              <w:t>*</w:t>
            </w:r>
          </w:p>
        </w:tc>
        <w:tc>
          <w:tcPr>
            <w:tcW w:w="3575" w:type="dxa"/>
            <w:gridSpan w:val="5"/>
            <w:tcBorders>
              <w:top w:val="single" w:sz="4" w:space="0" w:color="auto"/>
              <w:left w:val="single" w:sz="4" w:space="0" w:color="auto"/>
              <w:bottom w:val="single" w:sz="4" w:space="0" w:color="auto"/>
              <w:right w:val="single" w:sz="4" w:space="0" w:color="auto"/>
            </w:tcBorders>
          </w:tcPr>
          <w:p w14:paraId="7C75FDC8" w14:textId="77777777" w:rsidR="005A5D7B" w:rsidRPr="005A5D7B" w:rsidRDefault="005A5D7B" w:rsidP="005A5D7B">
            <w:pPr>
              <w:jc w:val="both"/>
              <w:rPr>
                <w:i/>
              </w:rPr>
            </w:pPr>
            <w:r w:rsidRPr="005A5D7B">
              <w:rPr>
                <w:i/>
              </w:rPr>
              <w:t>Začiatok:    09.11.2020</w:t>
            </w:r>
          </w:p>
          <w:p w14:paraId="43CD0DD8" w14:textId="5595EE25" w:rsidR="003501A1" w:rsidRPr="00DC3B60" w:rsidRDefault="005A5D7B" w:rsidP="005A5D7B">
            <w:pPr>
              <w:jc w:val="both"/>
              <w:rPr>
                <w:i/>
              </w:rPr>
            </w:pPr>
            <w:r w:rsidRPr="005A5D7B">
              <w:rPr>
                <w:i/>
              </w:rPr>
              <w:t>Ukončenie: 30.11.2020</w:t>
            </w:r>
          </w:p>
        </w:tc>
      </w:tr>
      <w:tr w:rsidR="003501A1" w:rsidRPr="00A179AE" w14:paraId="3DDBD927" w14:textId="77777777" w:rsidTr="00184531">
        <w:trPr>
          <w:trHeight w:val="545"/>
        </w:trPr>
        <w:tc>
          <w:tcPr>
            <w:tcW w:w="5634" w:type="dxa"/>
            <w:gridSpan w:val="5"/>
            <w:tcBorders>
              <w:top w:val="single" w:sz="4" w:space="0" w:color="auto"/>
              <w:left w:val="single" w:sz="4" w:space="0" w:color="auto"/>
              <w:bottom w:val="single" w:sz="4" w:space="0" w:color="auto"/>
              <w:right w:val="single" w:sz="4" w:space="0" w:color="auto"/>
            </w:tcBorders>
            <w:shd w:val="clear" w:color="auto" w:fill="E2E2E2"/>
          </w:tcPr>
          <w:p w14:paraId="0342EBCE" w14:textId="77777777" w:rsidR="003501A1" w:rsidRPr="00A179AE" w:rsidRDefault="003501A1" w:rsidP="00926D39">
            <w:pPr>
              <w:pStyle w:val="Odsekzoznamu"/>
              <w:spacing w:after="0"/>
              <w:ind w:left="142"/>
              <w:rPr>
                <w:rFonts w:ascii="Times New Roman" w:hAnsi="Times New Roman" w:cs="Times New Roman"/>
                <w:b/>
              </w:rPr>
            </w:pPr>
            <w:r w:rsidRPr="00A179AE">
              <w:rPr>
                <w:rFonts w:ascii="Times New Roman" w:hAnsi="Times New Roman" w:cs="Times New Roman"/>
                <w:b/>
              </w:rPr>
              <w:t>Predpokladaný termín predloženia na Rokovanie vlády SR</w:t>
            </w:r>
            <w:r w:rsidR="00F62771">
              <w:rPr>
                <w:rFonts w:ascii="Times New Roman" w:hAnsi="Times New Roman" w:cs="Times New Roman"/>
                <w:b/>
              </w:rPr>
              <w:t>*</w:t>
            </w:r>
          </w:p>
        </w:tc>
        <w:tc>
          <w:tcPr>
            <w:tcW w:w="3575" w:type="dxa"/>
            <w:gridSpan w:val="5"/>
            <w:tcBorders>
              <w:top w:val="single" w:sz="4" w:space="0" w:color="auto"/>
              <w:left w:val="single" w:sz="4" w:space="0" w:color="auto"/>
              <w:bottom w:val="single" w:sz="4" w:space="0" w:color="auto"/>
              <w:right w:val="single" w:sz="4" w:space="0" w:color="auto"/>
            </w:tcBorders>
          </w:tcPr>
          <w:p w14:paraId="395CF2D0" w14:textId="7ECE0952" w:rsidR="003501A1" w:rsidRPr="00DC3B60" w:rsidRDefault="00683ED3" w:rsidP="00E14F74">
            <w:pPr>
              <w:rPr>
                <w:i/>
              </w:rPr>
            </w:pPr>
            <w:r>
              <w:rPr>
                <w:i/>
              </w:rPr>
              <w:t>január 2021</w:t>
            </w:r>
          </w:p>
        </w:tc>
      </w:tr>
      <w:tr w:rsidR="003501A1" w:rsidRPr="00A179AE" w14:paraId="7BDD2E83" w14:textId="77777777" w:rsidTr="00184531">
        <w:tc>
          <w:tcPr>
            <w:tcW w:w="9209" w:type="dxa"/>
            <w:gridSpan w:val="10"/>
            <w:tcBorders>
              <w:top w:val="single" w:sz="4" w:space="0" w:color="auto"/>
              <w:left w:val="single" w:sz="4" w:space="0" w:color="auto"/>
              <w:bottom w:val="single" w:sz="4" w:space="0" w:color="FFFFFF" w:themeColor="background1"/>
              <w:right w:val="single" w:sz="4" w:space="0" w:color="auto"/>
            </w:tcBorders>
            <w:shd w:val="clear" w:color="auto" w:fill="E2E2E2"/>
          </w:tcPr>
          <w:p w14:paraId="36267181" w14:textId="77777777"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Defin</w:t>
            </w:r>
            <w:r w:rsidR="00AC2477">
              <w:rPr>
                <w:rFonts w:ascii="Times New Roman" w:hAnsi="Times New Roman" w:cs="Times New Roman"/>
                <w:b/>
              </w:rPr>
              <w:t>ovanie</w:t>
            </w:r>
            <w:r w:rsidRPr="00A179AE">
              <w:rPr>
                <w:rFonts w:ascii="Times New Roman" w:hAnsi="Times New Roman" w:cs="Times New Roman"/>
                <w:b/>
              </w:rPr>
              <w:t xml:space="preserve"> problému</w:t>
            </w:r>
          </w:p>
        </w:tc>
      </w:tr>
      <w:tr w:rsidR="003501A1" w:rsidRPr="00A179AE" w14:paraId="2A7F8499" w14:textId="77777777" w:rsidTr="00184531">
        <w:trPr>
          <w:trHeight w:val="500"/>
        </w:trPr>
        <w:tc>
          <w:tcPr>
            <w:tcW w:w="9209" w:type="dxa"/>
            <w:gridSpan w:val="10"/>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14:paraId="6F4E50D2" w14:textId="42D39B7B" w:rsidR="003501A1" w:rsidRPr="00A179AE" w:rsidRDefault="00E14F74" w:rsidP="0052241A">
            <w:pPr>
              <w:jc w:val="both"/>
              <w:rPr>
                <w:b/>
              </w:rPr>
            </w:pPr>
            <w:r w:rsidRPr="00E14F74">
              <w:rPr>
                <w:rFonts w:ascii="Times" w:hAnsi="Times" w:cs="Times"/>
              </w:rPr>
              <w:t xml:space="preserve">Nedostatočné plnenie záväzkov Slovenskej republiky vyplývajúcich z čl. 4 ods. 4 smernice Rady 92/43/EHS z 21. mája 1992 o ochrane prirodzených biotopov a voľne žijúcich živočíchov a rastlín </w:t>
            </w:r>
            <w:r w:rsidR="00412E31" w:rsidRPr="00412E31">
              <w:rPr>
                <w:rFonts w:ascii="Times" w:hAnsi="Times" w:cs="Times"/>
              </w:rPr>
              <w:t>(Ú. v. ES L 206, 22.7.1992; Mimoriadne vydanie Ú. v. EÚ, kap. 15/zv. 2) v platnom znení (ďalej len „smernica 92/43/EHS v platnom znení“)</w:t>
            </w:r>
            <w:r w:rsidR="0036633D">
              <w:rPr>
                <w:rFonts w:ascii="Times" w:hAnsi="Times" w:cs="Times"/>
              </w:rPr>
              <w:t xml:space="preserve"> </w:t>
            </w:r>
            <w:r w:rsidRPr="00E14F74">
              <w:rPr>
                <w:rFonts w:ascii="Times" w:hAnsi="Times" w:cs="Times"/>
              </w:rPr>
              <w:t xml:space="preserve">pokiaľ ide </w:t>
            </w:r>
            <w:r>
              <w:rPr>
                <w:rFonts w:ascii="Times" w:hAnsi="Times" w:cs="Times"/>
              </w:rPr>
              <w:t xml:space="preserve">o </w:t>
            </w:r>
            <w:r w:rsidRPr="00E14F74">
              <w:rPr>
                <w:rFonts w:ascii="Times" w:hAnsi="Times" w:cs="Times"/>
              </w:rPr>
              <w:t xml:space="preserve">vyhlasovanie lokalít zapísaných v zozname lokalít európskeho významu. </w:t>
            </w:r>
            <w:r w:rsidR="0036633D">
              <w:rPr>
                <w:rFonts w:ascii="Times" w:hAnsi="Times" w:cs="Times"/>
              </w:rPr>
              <w:t xml:space="preserve">Dôvodom vyhlásenia navrhovaného chráneného areálu Ostrovné lúčky (ďalej len „CHA Ostrovné lúčky“) je aj </w:t>
            </w:r>
            <w:r w:rsidR="00791CFC" w:rsidRPr="00C36ABE">
              <w:rPr>
                <w:rFonts w:ascii="Times" w:hAnsi="Times" w:cs="Times"/>
              </w:rPr>
              <w:t>formálne oznámenie Európskej komisie v rámci konania o porušení č. 2019/2141</w:t>
            </w:r>
            <w:r w:rsidR="0036633D">
              <w:rPr>
                <w:rFonts w:ascii="Times" w:hAnsi="Times" w:cs="Times"/>
              </w:rPr>
              <w:t>, ktor</w:t>
            </w:r>
            <w:r w:rsidR="00791CFC">
              <w:rPr>
                <w:rFonts w:ascii="Times" w:hAnsi="Times" w:cs="Times"/>
              </w:rPr>
              <w:t>é</w:t>
            </w:r>
            <w:r w:rsidR="0036633D">
              <w:rPr>
                <w:rFonts w:ascii="Times" w:hAnsi="Times" w:cs="Times"/>
              </w:rPr>
              <w:t xml:space="preserve"> sa týka nedostatočného vyhlasovania lokalít európskeho významu a schvaľovania programov starostlivosti.</w:t>
            </w:r>
          </w:p>
        </w:tc>
      </w:tr>
      <w:tr w:rsidR="003501A1" w:rsidRPr="00A179AE" w14:paraId="41731B5C" w14:textId="77777777" w:rsidTr="00184531">
        <w:tc>
          <w:tcPr>
            <w:tcW w:w="9209" w:type="dxa"/>
            <w:gridSpan w:val="10"/>
            <w:tcBorders>
              <w:top w:val="single" w:sz="4" w:space="0" w:color="auto"/>
              <w:left w:val="single" w:sz="4" w:space="0" w:color="auto"/>
              <w:bottom w:val="nil"/>
              <w:right w:val="single" w:sz="4" w:space="0" w:color="auto"/>
            </w:tcBorders>
            <w:shd w:val="clear" w:color="auto" w:fill="E2E2E2"/>
          </w:tcPr>
          <w:p w14:paraId="790EA23E" w14:textId="77777777"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Ciele a výsledný stav</w:t>
            </w:r>
          </w:p>
        </w:tc>
      </w:tr>
      <w:tr w:rsidR="003501A1" w:rsidRPr="00A179AE" w14:paraId="6BC3C052" w14:textId="77777777" w:rsidTr="00184531">
        <w:trPr>
          <w:trHeight w:val="741"/>
        </w:trPr>
        <w:tc>
          <w:tcPr>
            <w:tcW w:w="9209" w:type="dxa"/>
            <w:gridSpan w:val="10"/>
            <w:tcBorders>
              <w:top w:val="nil"/>
              <w:left w:val="single" w:sz="4" w:space="0" w:color="auto"/>
              <w:bottom w:val="single" w:sz="4" w:space="0" w:color="auto"/>
              <w:right w:val="single" w:sz="4" w:space="0" w:color="auto"/>
            </w:tcBorders>
            <w:shd w:val="clear" w:color="auto" w:fill="FFFFFF" w:themeFill="background1"/>
          </w:tcPr>
          <w:p w14:paraId="77ED758E" w14:textId="77777777" w:rsidR="003501A1" w:rsidRPr="00A179AE" w:rsidRDefault="00E14F74" w:rsidP="007D6C01">
            <w:pPr>
              <w:jc w:val="both"/>
            </w:pPr>
            <w:r>
              <w:rPr>
                <w:rFonts w:ascii="Times" w:hAnsi="Times" w:cs="Times"/>
              </w:rPr>
              <w:t>Zabezpečenie priaznivého stavu biotopov európskeho významu</w:t>
            </w:r>
            <w:r w:rsidR="00611AA7">
              <w:rPr>
                <w:rFonts w:ascii="Times" w:hAnsi="Times" w:cs="Times"/>
              </w:rPr>
              <w:t>, biotopov národného významu</w:t>
            </w:r>
            <w:r>
              <w:rPr>
                <w:rFonts w:ascii="Times" w:hAnsi="Times" w:cs="Times"/>
              </w:rPr>
              <w:t xml:space="preserve"> a biotopov druhov európskeho</w:t>
            </w:r>
            <w:r w:rsidR="004F2E5B">
              <w:rPr>
                <w:rFonts w:ascii="Times" w:hAnsi="Times" w:cs="Times"/>
              </w:rPr>
              <w:t xml:space="preserve"> a národného</w:t>
            </w:r>
            <w:r>
              <w:rPr>
                <w:rFonts w:ascii="Times" w:hAnsi="Times" w:cs="Times"/>
              </w:rPr>
              <w:t xml:space="preserve"> významu, ktoré sú predmetom ochran</w:t>
            </w:r>
            <w:r w:rsidR="00BB340F">
              <w:rPr>
                <w:rFonts w:ascii="Times" w:hAnsi="Times" w:cs="Times"/>
              </w:rPr>
              <w:t xml:space="preserve">y navrhovaného </w:t>
            </w:r>
            <w:r w:rsidR="0036633D">
              <w:rPr>
                <w:rFonts w:ascii="Times" w:hAnsi="Times" w:cs="Times"/>
              </w:rPr>
              <w:t>CHA Ostrovné lúčky</w:t>
            </w:r>
            <w:r w:rsidR="00C2108E">
              <w:rPr>
                <w:rFonts w:ascii="Times" w:hAnsi="Times" w:cs="Times"/>
              </w:rPr>
              <w:t xml:space="preserve"> </w:t>
            </w:r>
            <w:r w:rsidR="00926D39">
              <w:rPr>
                <w:rFonts w:ascii="Times" w:hAnsi="Times" w:cs="Times"/>
              </w:rPr>
              <w:t>a</w:t>
            </w:r>
            <w:r>
              <w:rPr>
                <w:rFonts w:ascii="Times" w:hAnsi="Times" w:cs="Times"/>
              </w:rPr>
              <w:t xml:space="preserve">  </w:t>
            </w:r>
            <w:r w:rsidR="00926D39">
              <w:rPr>
                <w:rFonts w:ascii="Times" w:hAnsi="Times" w:cs="Times"/>
              </w:rPr>
              <w:t>zároveň zabezpeč</w:t>
            </w:r>
            <w:r>
              <w:rPr>
                <w:rFonts w:ascii="Times" w:hAnsi="Times" w:cs="Times"/>
              </w:rPr>
              <w:t>enie</w:t>
            </w:r>
            <w:r w:rsidR="00926D39">
              <w:rPr>
                <w:rFonts w:ascii="Times" w:hAnsi="Times" w:cs="Times"/>
              </w:rPr>
              <w:t xml:space="preserve"> </w:t>
            </w:r>
            <w:r>
              <w:rPr>
                <w:rFonts w:ascii="Times" w:hAnsi="Times" w:cs="Times"/>
              </w:rPr>
              <w:t xml:space="preserve">plnenia </w:t>
            </w:r>
            <w:r w:rsidR="00926D39">
              <w:rPr>
                <w:rFonts w:ascii="Times" w:hAnsi="Times" w:cs="Times"/>
              </w:rPr>
              <w:t>medzinárodn</w:t>
            </w:r>
            <w:r>
              <w:rPr>
                <w:rFonts w:ascii="Times" w:hAnsi="Times" w:cs="Times"/>
              </w:rPr>
              <w:t>ých</w:t>
            </w:r>
            <w:r w:rsidR="00926D39">
              <w:rPr>
                <w:rFonts w:ascii="Times" w:hAnsi="Times" w:cs="Times"/>
              </w:rPr>
              <w:t xml:space="preserve"> záväzk</w:t>
            </w:r>
            <w:r>
              <w:rPr>
                <w:rFonts w:ascii="Times" w:hAnsi="Times" w:cs="Times"/>
              </w:rPr>
              <w:t>ov</w:t>
            </w:r>
            <w:r w:rsidR="00926D39">
              <w:rPr>
                <w:rFonts w:ascii="Times" w:hAnsi="Times" w:cs="Times"/>
              </w:rPr>
              <w:t xml:space="preserve"> ochrany európskej sústavy chránených území Natura 2000. </w:t>
            </w:r>
          </w:p>
        </w:tc>
      </w:tr>
      <w:tr w:rsidR="003501A1" w:rsidRPr="00A179AE" w14:paraId="117157A6" w14:textId="77777777" w:rsidTr="00184531">
        <w:tc>
          <w:tcPr>
            <w:tcW w:w="9209" w:type="dxa"/>
            <w:gridSpan w:val="10"/>
            <w:tcBorders>
              <w:top w:val="single" w:sz="4" w:space="0" w:color="auto"/>
              <w:left w:val="single" w:sz="4" w:space="0" w:color="auto"/>
              <w:bottom w:val="nil"/>
              <w:right w:val="single" w:sz="4" w:space="0" w:color="auto"/>
            </w:tcBorders>
            <w:shd w:val="clear" w:color="auto" w:fill="E2E2E2"/>
          </w:tcPr>
          <w:p w14:paraId="4FB5EDD1" w14:textId="77777777"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Dotknuté subjekty</w:t>
            </w:r>
          </w:p>
        </w:tc>
      </w:tr>
      <w:tr w:rsidR="003501A1" w:rsidRPr="00A179AE" w14:paraId="57147B36" w14:textId="77777777" w:rsidTr="00184531">
        <w:tc>
          <w:tcPr>
            <w:tcW w:w="9209" w:type="dxa"/>
            <w:gridSpan w:val="10"/>
            <w:tcBorders>
              <w:top w:val="nil"/>
              <w:left w:val="single" w:sz="4" w:space="0" w:color="auto"/>
              <w:bottom w:val="single" w:sz="4" w:space="0" w:color="auto"/>
              <w:right w:val="single" w:sz="4" w:space="0" w:color="auto"/>
            </w:tcBorders>
            <w:shd w:val="clear" w:color="auto" w:fill="FFFFFF" w:themeFill="background1"/>
          </w:tcPr>
          <w:p w14:paraId="443C4449" w14:textId="77777777" w:rsidR="003501A1" w:rsidRPr="00A179AE" w:rsidRDefault="00926D39" w:rsidP="00CB2B6E">
            <w:pPr>
              <w:jc w:val="both"/>
              <w:rPr>
                <w:i/>
              </w:rPr>
            </w:pPr>
            <w:r>
              <w:rPr>
                <w:rFonts w:ascii="Times" w:hAnsi="Times" w:cs="Times"/>
              </w:rPr>
              <w:t>Vlastníci, správcovia a nájomcovia dotknutých pozemkov, obce, záujmové združenia, dotknuté orgány štátnej správy, vrát</w:t>
            </w:r>
            <w:r w:rsidR="00412E31">
              <w:rPr>
                <w:rFonts w:ascii="Times" w:hAnsi="Times" w:cs="Times"/>
              </w:rPr>
              <w:t>a</w:t>
            </w:r>
            <w:r>
              <w:rPr>
                <w:rFonts w:ascii="Times" w:hAnsi="Times" w:cs="Times"/>
              </w:rPr>
              <w:t>ne dotknutých organizácií v ich zriaďovacej pôsobnosti, verejnosť.</w:t>
            </w:r>
          </w:p>
        </w:tc>
      </w:tr>
      <w:tr w:rsidR="003501A1" w:rsidRPr="00A179AE" w14:paraId="514C4FB3" w14:textId="77777777" w:rsidTr="00184531">
        <w:tc>
          <w:tcPr>
            <w:tcW w:w="9209" w:type="dxa"/>
            <w:gridSpan w:val="10"/>
            <w:tcBorders>
              <w:top w:val="single" w:sz="4" w:space="0" w:color="auto"/>
              <w:left w:val="single" w:sz="4" w:space="0" w:color="auto"/>
              <w:bottom w:val="nil"/>
              <w:right w:val="single" w:sz="4" w:space="0" w:color="auto"/>
            </w:tcBorders>
            <w:shd w:val="clear" w:color="auto" w:fill="E2E2E2"/>
          </w:tcPr>
          <w:p w14:paraId="47C7A686" w14:textId="77777777"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Alterna</w:t>
            </w:r>
            <w:bookmarkStart w:id="0" w:name="_GoBack"/>
            <w:bookmarkEnd w:id="0"/>
            <w:r w:rsidRPr="00A179AE">
              <w:rPr>
                <w:rFonts w:ascii="Times New Roman" w:hAnsi="Times New Roman" w:cs="Times New Roman"/>
                <w:b/>
              </w:rPr>
              <w:t>tívne riešenia</w:t>
            </w:r>
          </w:p>
        </w:tc>
      </w:tr>
      <w:tr w:rsidR="003501A1" w:rsidRPr="00A179AE" w14:paraId="65E1862E" w14:textId="77777777" w:rsidTr="00184531">
        <w:trPr>
          <w:trHeight w:val="453"/>
        </w:trPr>
        <w:tc>
          <w:tcPr>
            <w:tcW w:w="9209" w:type="dxa"/>
            <w:gridSpan w:val="10"/>
            <w:tcBorders>
              <w:top w:val="nil"/>
              <w:left w:val="single" w:sz="4" w:space="0" w:color="auto"/>
              <w:bottom w:val="single" w:sz="4" w:space="0" w:color="auto"/>
              <w:right w:val="single" w:sz="4" w:space="0" w:color="auto"/>
            </w:tcBorders>
            <w:shd w:val="clear" w:color="auto" w:fill="FFFFFF" w:themeFill="background1"/>
          </w:tcPr>
          <w:p w14:paraId="779A6AE1" w14:textId="77777777" w:rsidR="001D7BF2" w:rsidRPr="00C57B8E" w:rsidRDefault="001D7BF2" w:rsidP="007D6C01">
            <w:pPr>
              <w:jc w:val="both"/>
              <w:rPr>
                <w:i/>
              </w:rPr>
            </w:pPr>
            <w:r w:rsidRPr="00B1366E">
              <w:t xml:space="preserve">Alternatívne riešenie sa týka celkovo vyhlásenia/nevyhlásenia </w:t>
            </w:r>
            <w:r w:rsidR="0036633D">
              <w:t>CHA</w:t>
            </w:r>
            <w:r w:rsidRPr="00B1366E">
              <w:t xml:space="preserve"> </w:t>
            </w:r>
            <w:r w:rsidR="00611AA7">
              <w:t>Ostrovné lúčky</w:t>
            </w:r>
            <w:r w:rsidRPr="00B1366E">
              <w:t>.</w:t>
            </w:r>
          </w:p>
          <w:p w14:paraId="7A03264E" w14:textId="77777777" w:rsidR="003501A1" w:rsidRPr="00E14F74" w:rsidRDefault="0036633D" w:rsidP="007D6C01">
            <w:pPr>
              <w:jc w:val="both"/>
              <w:rPr>
                <w:i/>
              </w:rPr>
            </w:pPr>
            <w:r>
              <w:rPr>
                <w:iCs/>
              </w:rPr>
              <w:t xml:space="preserve">Dôvodom vyhlásenia CHA </w:t>
            </w:r>
            <w:r w:rsidR="00611AA7">
              <w:t>Ostrovné lúčky</w:t>
            </w:r>
            <w:r w:rsidR="001D7BF2" w:rsidRPr="00B1366E">
              <w:t xml:space="preserve"> </w:t>
            </w:r>
            <w:r>
              <w:t>je splnenie požiadavky vyplývajúcej z</w:t>
            </w:r>
            <w:r w:rsidR="00791CFC">
              <w:t> </w:t>
            </w:r>
            <w:r>
              <w:t>čl</w:t>
            </w:r>
            <w:r w:rsidR="00791CFC">
              <w:t>.</w:t>
            </w:r>
            <w:r>
              <w:t xml:space="preserve"> 4 ods. 4 smernice o biotopoch, podľa ktorého členské štáty určia lokality uvedené v národnom zozname lokalít európskeho významu ako osobitné chránené územia a stanovia priority v oblasti ochrany a potrebné opatrenia najneskôr do šiestich rokov.</w:t>
            </w:r>
            <w:r w:rsidR="001D7BF2" w:rsidRPr="00B1366E">
              <w:t xml:space="preserve"> </w:t>
            </w:r>
            <w:r w:rsidRPr="00B1366E">
              <w:t xml:space="preserve">V prípade nevyhlásenia </w:t>
            </w:r>
            <w:r>
              <w:t>CHA Ostrovné lúčky</w:t>
            </w:r>
            <w:r w:rsidRPr="00B1366E">
              <w:t xml:space="preserve"> nebude splnená požiadavka na vyhlásenie a na stanovenie cieľov ochrany a opatrení na ich dosiahnutie.</w:t>
            </w:r>
          </w:p>
        </w:tc>
      </w:tr>
      <w:tr w:rsidR="003501A1" w:rsidRPr="00A179AE" w14:paraId="5953D9F1" w14:textId="77777777" w:rsidTr="00184531">
        <w:tc>
          <w:tcPr>
            <w:tcW w:w="9209" w:type="dxa"/>
            <w:gridSpan w:val="10"/>
            <w:tcBorders>
              <w:top w:val="single" w:sz="4" w:space="0" w:color="auto"/>
              <w:left w:val="single" w:sz="4" w:space="0" w:color="auto"/>
              <w:bottom w:val="single" w:sz="4" w:space="0" w:color="FFFFFF" w:themeColor="background1"/>
              <w:right w:val="single" w:sz="4" w:space="0" w:color="auto"/>
            </w:tcBorders>
            <w:shd w:val="clear" w:color="auto" w:fill="E2E2E2"/>
          </w:tcPr>
          <w:p w14:paraId="17E578B1" w14:textId="77777777"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Vykonávacie predpisy</w:t>
            </w:r>
          </w:p>
        </w:tc>
      </w:tr>
      <w:tr w:rsidR="003501A1" w:rsidRPr="00A179AE" w14:paraId="5E0561E2" w14:textId="77777777" w:rsidTr="00184531">
        <w:tc>
          <w:tcPr>
            <w:tcW w:w="6203" w:type="dxa"/>
            <w:gridSpan w:val="6"/>
            <w:tcBorders>
              <w:top w:val="single" w:sz="4" w:space="0" w:color="FFFFFF" w:themeColor="background1"/>
              <w:left w:val="single" w:sz="4" w:space="0" w:color="auto"/>
              <w:bottom w:val="nil"/>
              <w:right w:val="nil"/>
            </w:tcBorders>
            <w:shd w:val="clear" w:color="auto" w:fill="FFFFFF" w:themeFill="background1"/>
          </w:tcPr>
          <w:p w14:paraId="00DCE2DF" w14:textId="77777777" w:rsidR="003501A1" w:rsidRPr="00A179AE" w:rsidRDefault="003501A1" w:rsidP="007B71A4">
            <w:pPr>
              <w:rPr>
                <w:i/>
              </w:rPr>
            </w:pPr>
            <w:r w:rsidRPr="00A179AE">
              <w:rPr>
                <w:i/>
              </w:rPr>
              <w:t>Predpokladá sa prijatie/zmena  vykonávacích predpisov?</w:t>
            </w:r>
          </w:p>
        </w:tc>
        <w:tc>
          <w:tcPr>
            <w:tcW w:w="1417" w:type="dxa"/>
            <w:gridSpan w:val="2"/>
            <w:tcBorders>
              <w:top w:val="single" w:sz="4" w:space="0" w:color="FFFFFF" w:themeColor="background1"/>
              <w:left w:val="nil"/>
              <w:bottom w:val="nil"/>
              <w:right w:val="nil"/>
            </w:tcBorders>
            <w:shd w:val="clear" w:color="auto" w:fill="FFFFFF" w:themeFill="background1"/>
          </w:tcPr>
          <w:p w14:paraId="34F84334" w14:textId="77777777" w:rsidR="003501A1" w:rsidRPr="00A179AE" w:rsidRDefault="00E45F6D" w:rsidP="007B71A4">
            <w:pPr>
              <w:jc w:val="center"/>
            </w:pPr>
            <w:sdt>
              <w:sdtPr>
                <w:id w:val="-1407611648"/>
                <w14:checkbox>
                  <w14:checked w14:val="0"/>
                  <w14:checkedState w14:val="2612" w14:font="MS Gothic"/>
                  <w14:uncheckedState w14:val="2610" w14:font="MS Gothic"/>
                </w14:checkbox>
              </w:sdtPr>
              <w:sdtEndPr/>
              <w:sdtContent>
                <w:r w:rsidR="00E14F74">
                  <w:rPr>
                    <w:rFonts w:ascii="MS Gothic" w:eastAsia="MS Gothic" w:hAnsi="MS Gothic" w:hint="eastAsia"/>
                  </w:rPr>
                  <w:t>☐</w:t>
                </w:r>
              </w:sdtContent>
            </w:sdt>
            <w:r w:rsidR="003501A1" w:rsidRPr="00A179AE">
              <w:t xml:space="preserve">  Áno</w:t>
            </w:r>
          </w:p>
        </w:tc>
        <w:tc>
          <w:tcPr>
            <w:tcW w:w="1589" w:type="dxa"/>
            <w:gridSpan w:val="2"/>
            <w:tcBorders>
              <w:top w:val="single" w:sz="4" w:space="0" w:color="FFFFFF" w:themeColor="background1"/>
              <w:left w:val="nil"/>
              <w:bottom w:val="nil"/>
              <w:right w:val="single" w:sz="4" w:space="0" w:color="auto"/>
            </w:tcBorders>
            <w:shd w:val="clear" w:color="auto" w:fill="FFFFFF" w:themeFill="background1"/>
          </w:tcPr>
          <w:p w14:paraId="3336F297" w14:textId="77777777" w:rsidR="003501A1" w:rsidRPr="00A179AE" w:rsidRDefault="00E45F6D" w:rsidP="007B71A4">
            <w:pPr>
              <w:jc w:val="center"/>
            </w:pPr>
            <w:sdt>
              <w:sdtPr>
                <w:id w:val="-1625842802"/>
                <w14:checkbox>
                  <w14:checked w14:val="1"/>
                  <w14:checkedState w14:val="2612" w14:font="MS Gothic"/>
                  <w14:uncheckedState w14:val="2610" w14:font="MS Gothic"/>
                </w14:checkbox>
              </w:sdtPr>
              <w:sdtEndPr/>
              <w:sdtContent>
                <w:r w:rsidR="00E14F74">
                  <w:rPr>
                    <w:rFonts w:ascii="MS Gothic" w:eastAsia="MS Gothic" w:hAnsi="MS Gothic" w:hint="eastAsia"/>
                  </w:rPr>
                  <w:t>☒</w:t>
                </w:r>
              </w:sdtContent>
            </w:sdt>
            <w:r w:rsidR="003501A1" w:rsidRPr="00A179AE">
              <w:t xml:space="preserve">  Nie</w:t>
            </w:r>
          </w:p>
        </w:tc>
      </w:tr>
      <w:tr w:rsidR="003501A1" w:rsidRPr="00A179AE" w14:paraId="16E583C6" w14:textId="77777777" w:rsidTr="0036633D">
        <w:tc>
          <w:tcPr>
            <w:tcW w:w="9209" w:type="dxa"/>
            <w:gridSpan w:val="10"/>
            <w:tcBorders>
              <w:top w:val="single" w:sz="4" w:space="0" w:color="auto"/>
              <w:left w:val="single" w:sz="4" w:space="0" w:color="auto"/>
              <w:bottom w:val="single" w:sz="4" w:space="0" w:color="auto"/>
              <w:right w:val="single" w:sz="4" w:space="0" w:color="auto"/>
            </w:tcBorders>
            <w:shd w:val="clear" w:color="auto" w:fill="E2E2E2"/>
          </w:tcPr>
          <w:p w14:paraId="0F890730" w14:textId="77777777"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 xml:space="preserve">Transpozícia práva EÚ </w:t>
            </w:r>
          </w:p>
        </w:tc>
      </w:tr>
      <w:tr w:rsidR="003501A1" w:rsidRPr="00A179AE" w14:paraId="6C12CAA0" w14:textId="77777777" w:rsidTr="0036633D">
        <w:tc>
          <w:tcPr>
            <w:tcW w:w="9209" w:type="dxa"/>
            <w:gridSpan w:val="10"/>
            <w:tcBorders>
              <w:top w:val="single" w:sz="4" w:space="0" w:color="auto"/>
              <w:left w:val="single" w:sz="4" w:space="0" w:color="auto"/>
              <w:bottom w:val="single" w:sz="4" w:space="0" w:color="auto"/>
              <w:right w:val="single" w:sz="4" w:space="0" w:color="auto"/>
            </w:tcBorders>
            <w:shd w:val="clear" w:color="auto" w:fill="E2E2E2"/>
          </w:tcPr>
          <w:p w14:paraId="7DFCF368" w14:textId="77777777" w:rsidR="003501A1" w:rsidRPr="00A179AE" w:rsidRDefault="003501A1" w:rsidP="00395098">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Preskúmanie účelnosti</w:t>
            </w:r>
            <w:r w:rsidR="00F62771">
              <w:rPr>
                <w:rFonts w:ascii="Times New Roman" w:hAnsi="Times New Roman" w:cs="Times New Roman"/>
                <w:b/>
              </w:rPr>
              <w:t>**</w:t>
            </w:r>
          </w:p>
        </w:tc>
      </w:tr>
      <w:tr w:rsidR="007F0F79" w:rsidRPr="00A179AE" w14:paraId="3B13912A" w14:textId="77777777" w:rsidTr="0036633D">
        <w:trPr>
          <w:trHeight w:hRule="exact" w:val="1134"/>
        </w:trPr>
        <w:tc>
          <w:tcPr>
            <w:tcW w:w="9209" w:type="dxa"/>
            <w:gridSpan w:val="10"/>
            <w:tcBorders>
              <w:top w:val="single" w:sz="4" w:space="0" w:color="auto"/>
              <w:left w:val="nil"/>
              <w:right w:val="nil"/>
            </w:tcBorders>
            <w:shd w:val="clear" w:color="auto" w:fill="FFFFFF" w:themeFill="background1"/>
          </w:tcPr>
          <w:p w14:paraId="27F4410E" w14:textId="77777777" w:rsidR="007F0F79" w:rsidRDefault="007F0F79" w:rsidP="00BC7674"/>
          <w:p w14:paraId="60708356" w14:textId="77777777" w:rsidR="007F0F79" w:rsidRDefault="007F0F79" w:rsidP="004C60B8">
            <w:pPr>
              <w:ind w:left="142" w:hanging="142"/>
            </w:pPr>
            <w:r>
              <w:t xml:space="preserve">* vyplniť iba v prípade, </w:t>
            </w:r>
            <w:r w:rsidRPr="004C60B8">
              <w:t>ak materiál nie je zahrnutý do Plánu práce vlády Slovenskej republiky alebo Plán</w:t>
            </w:r>
            <w:r>
              <w:t>u</w:t>
            </w:r>
            <w:r w:rsidRPr="004C60B8">
              <w:t xml:space="preserve"> </w:t>
            </w:r>
            <w:r>
              <w:t xml:space="preserve">       </w:t>
            </w:r>
            <w:r w:rsidRPr="004C60B8">
              <w:t>legislatívnych úloh vlády Slovenskej republiky.</w:t>
            </w:r>
            <w:r>
              <w:t xml:space="preserve"> </w:t>
            </w:r>
          </w:p>
          <w:p w14:paraId="576B5E7F" w14:textId="77777777" w:rsidR="007F0F79" w:rsidRDefault="007F0F79" w:rsidP="00F22831">
            <w:r>
              <w:t>** nepovinné</w:t>
            </w:r>
          </w:p>
          <w:p w14:paraId="4D150953" w14:textId="77777777" w:rsidR="007F0F79" w:rsidRPr="00A179AE" w:rsidRDefault="007F0F79" w:rsidP="00F22831"/>
        </w:tc>
      </w:tr>
      <w:tr w:rsidR="003501A1" w:rsidRPr="00A179AE" w14:paraId="4C3D5722" w14:textId="77777777" w:rsidTr="00184531">
        <w:trPr>
          <w:trHeight w:val="577"/>
        </w:trPr>
        <w:tc>
          <w:tcPr>
            <w:tcW w:w="9209" w:type="dxa"/>
            <w:gridSpan w:val="10"/>
            <w:tcBorders>
              <w:top w:val="single" w:sz="4" w:space="0" w:color="auto"/>
              <w:left w:val="single" w:sz="4" w:space="0" w:color="auto"/>
              <w:bottom w:val="single" w:sz="4" w:space="0" w:color="FFFFFF" w:themeColor="background1"/>
              <w:right w:val="single" w:sz="4" w:space="0" w:color="auto"/>
            </w:tcBorders>
            <w:shd w:val="clear" w:color="auto" w:fill="E2E2E2"/>
            <w:vAlign w:val="center"/>
          </w:tcPr>
          <w:p w14:paraId="78B4D431" w14:textId="77777777"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Vplyvy navrhovaného materiálu</w:t>
            </w:r>
          </w:p>
        </w:tc>
      </w:tr>
      <w:tr w:rsidR="003501A1" w:rsidRPr="00A179AE" w14:paraId="166DC3CE" w14:textId="77777777" w:rsidTr="00184531">
        <w:tc>
          <w:tcPr>
            <w:tcW w:w="3812" w:type="dxa"/>
            <w:tcBorders>
              <w:top w:val="single" w:sz="4" w:space="0" w:color="auto"/>
              <w:left w:val="single" w:sz="4" w:space="0" w:color="auto"/>
              <w:bottom w:val="nil"/>
              <w:right w:val="single" w:sz="4" w:space="0" w:color="auto"/>
            </w:tcBorders>
            <w:shd w:val="clear" w:color="auto" w:fill="E2E2E2"/>
          </w:tcPr>
          <w:p w14:paraId="68448C97" w14:textId="77777777" w:rsidR="003501A1" w:rsidRPr="00A179AE" w:rsidRDefault="003501A1" w:rsidP="007B71A4">
            <w:pPr>
              <w:rPr>
                <w:b/>
              </w:rPr>
            </w:pPr>
            <w:r w:rsidRPr="00A179AE">
              <w:rPr>
                <w:b/>
              </w:rPr>
              <w:t>Vplyvy na rozpočet verejnej správy</w:t>
            </w:r>
          </w:p>
        </w:tc>
        <w:sdt>
          <w:sdtPr>
            <w:rPr>
              <w:bCs/>
            </w:rPr>
            <w:id w:val="1121575439"/>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14:paraId="28D26382" w14:textId="77777777" w:rsidR="003501A1" w:rsidRPr="0036633D" w:rsidRDefault="003501A1" w:rsidP="007B71A4">
                <w:pPr>
                  <w:jc w:val="center"/>
                  <w:rPr>
                    <w:bCs/>
                  </w:rPr>
                </w:pPr>
                <w:r w:rsidRPr="0036633D">
                  <w:rPr>
                    <w:rFonts w:ascii="MS Mincho" w:eastAsia="MS Mincho" w:hAnsi="MS Mincho" w:cs="MS Mincho" w:hint="eastAsia"/>
                    <w:bCs/>
                  </w:rPr>
                  <w:t>☐</w:t>
                </w:r>
              </w:p>
            </w:tc>
          </w:sdtContent>
        </w:sdt>
        <w:tc>
          <w:tcPr>
            <w:tcW w:w="1281" w:type="dxa"/>
            <w:gridSpan w:val="2"/>
            <w:tcBorders>
              <w:top w:val="single" w:sz="4" w:space="0" w:color="auto"/>
              <w:left w:val="nil"/>
              <w:bottom w:val="single" w:sz="4" w:space="0" w:color="auto"/>
              <w:right w:val="nil"/>
            </w:tcBorders>
          </w:tcPr>
          <w:p w14:paraId="2A404639" w14:textId="77777777" w:rsidR="003501A1" w:rsidRPr="0036633D" w:rsidRDefault="003501A1" w:rsidP="007B71A4">
            <w:pPr>
              <w:rPr>
                <w:bCs/>
              </w:rPr>
            </w:pPr>
            <w:r w:rsidRPr="0036633D">
              <w:rPr>
                <w:bCs/>
              </w:rPr>
              <w:t>Pozitívne</w:t>
            </w:r>
          </w:p>
        </w:tc>
        <w:sdt>
          <w:sdtPr>
            <w:rPr>
              <w:bCs/>
            </w:rPr>
            <w:id w:val="-916405887"/>
            <w14:checkbox>
              <w14:checked w14:val="0"/>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14:paraId="7ED2C3EE" w14:textId="77777777" w:rsidR="003501A1" w:rsidRPr="0036633D" w:rsidRDefault="003501A1" w:rsidP="007B71A4">
                <w:pPr>
                  <w:jc w:val="center"/>
                  <w:rPr>
                    <w:bCs/>
                  </w:rPr>
                </w:pPr>
                <w:r w:rsidRPr="0036633D">
                  <w:rPr>
                    <w:rFonts w:ascii="MS Mincho" w:eastAsia="MS Mincho" w:hAnsi="MS Mincho" w:cs="MS Mincho" w:hint="eastAsia"/>
                    <w:bCs/>
                  </w:rPr>
                  <w:t>☐</w:t>
                </w:r>
              </w:p>
            </w:tc>
          </w:sdtContent>
        </w:sdt>
        <w:tc>
          <w:tcPr>
            <w:tcW w:w="1133" w:type="dxa"/>
            <w:tcBorders>
              <w:top w:val="single" w:sz="4" w:space="0" w:color="auto"/>
              <w:left w:val="nil"/>
              <w:bottom w:val="single" w:sz="4" w:space="0" w:color="auto"/>
              <w:right w:val="nil"/>
            </w:tcBorders>
          </w:tcPr>
          <w:p w14:paraId="76B38FBF" w14:textId="77777777" w:rsidR="003501A1" w:rsidRPr="0036633D" w:rsidRDefault="003501A1" w:rsidP="007B71A4">
            <w:pPr>
              <w:rPr>
                <w:bCs/>
              </w:rPr>
            </w:pPr>
            <w:r w:rsidRPr="0036633D">
              <w:rPr>
                <w:bCs/>
              </w:rPr>
              <w:t>Žiadne</w:t>
            </w:r>
          </w:p>
        </w:tc>
        <w:sdt>
          <w:sdtPr>
            <w:rPr>
              <w:bCs/>
            </w:rPr>
            <w:id w:val="-853649096"/>
            <w14:checkbox>
              <w14:checked w14:val="1"/>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619E9031" w14:textId="77777777" w:rsidR="003501A1" w:rsidRPr="0036633D" w:rsidRDefault="00926D39" w:rsidP="007B71A4">
                <w:pPr>
                  <w:ind w:left="-107" w:right="-108"/>
                  <w:jc w:val="center"/>
                  <w:rPr>
                    <w:bCs/>
                  </w:rPr>
                </w:pPr>
                <w:r w:rsidRPr="0036633D">
                  <w:rPr>
                    <w:rFonts w:ascii="MS Gothic" w:eastAsia="MS Gothic" w:hAnsi="MS Gothic" w:hint="eastAsia"/>
                    <w:bCs/>
                  </w:rPr>
                  <w:t>☒</w:t>
                </w:r>
              </w:p>
            </w:tc>
          </w:sdtContent>
        </w:sdt>
        <w:tc>
          <w:tcPr>
            <w:tcW w:w="1326" w:type="dxa"/>
            <w:tcBorders>
              <w:top w:val="single" w:sz="4" w:space="0" w:color="auto"/>
              <w:left w:val="nil"/>
              <w:bottom w:val="single" w:sz="4" w:space="0" w:color="auto"/>
              <w:right w:val="single" w:sz="4" w:space="0" w:color="auto"/>
            </w:tcBorders>
          </w:tcPr>
          <w:p w14:paraId="1B0E80BE" w14:textId="77777777" w:rsidR="003501A1" w:rsidRPr="0036633D" w:rsidRDefault="003501A1" w:rsidP="007B71A4">
            <w:pPr>
              <w:ind w:left="34"/>
              <w:rPr>
                <w:bCs/>
              </w:rPr>
            </w:pPr>
            <w:r w:rsidRPr="0036633D">
              <w:rPr>
                <w:bCs/>
              </w:rPr>
              <w:t>Negatívne</w:t>
            </w:r>
          </w:p>
        </w:tc>
      </w:tr>
      <w:tr w:rsidR="003501A1" w:rsidRPr="00A179AE" w14:paraId="1231D5F1" w14:textId="77777777" w:rsidTr="00184531">
        <w:tc>
          <w:tcPr>
            <w:tcW w:w="3812" w:type="dxa"/>
            <w:tcBorders>
              <w:top w:val="nil"/>
              <w:left w:val="single" w:sz="4" w:space="0" w:color="auto"/>
              <w:bottom w:val="single" w:sz="4" w:space="0" w:color="000000" w:themeColor="text1"/>
              <w:right w:val="single" w:sz="4" w:space="0" w:color="auto"/>
            </w:tcBorders>
            <w:shd w:val="clear" w:color="auto" w:fill="E2E2E2"/>
          </w:tcPr>
          <w:p w14:paraId="0BFD73F4" w14:textId="77777777" w:rsidR="003501A1" w:rsidRPr="00A179AE" w:rsidRDefault="003501A1" w:rsidP="007B71A4">
            <w:r w:rsidRPr="00A179AE">
              <w:t xml:space="preserve">    z toho rozpočtovo zabezpečené vplyvy</w:t>
            </w:r>
          </w:p>
        </w:tc>
        <w:sdt>
          <w:sdtPr>
            <w:rPr>
              <w:bCs/>
            </w:rPr>
            <w:id w:val="-2073729125"/>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14:paraId="1556215F" w14:textId="0936391D" w:rsidR="003501A1" w:rsidRPr="0036633D" w:rsidRDefault="00950CAF" w:rsidP="007B71A4">
                <w:pPr>
                  <w:jc w:val="center"/>
                  <w:rPr>
                    <w:bCs/>
                  </w:rPr>
                </w:pPr>
                <w:r>
                  <w:rPr>
                    <w:rFonts w:ascii="MS Gothic" w:eastAsia="MS Gothic" w:hAnsi="MS Gothic" w:hint="eastAsia"/>
                    <w:bCs/>
                  </w:rPr>
                  <w:t>☒</w:t>
                </w:r>
              </w:p>
            </w:tc>
          </w:sdtContent>
        </w:sdt>
        <w:tc>
          <w:tcPr>
            <w:tcW w:w="1281" w:type="dxa"/>
            <w:gridSpan w:val="2"/>
            <w:tcBorders>
              <w:top w:val="single" w:sz="4" w:space="0" w:color="auto"/>
              <w:left w:val="nil"/>
              <w:bottom w:val="single" w:sz="4" w:space="0" w:color="auto"/>
              <w:right w:val="nil"/>
            </w:tcBorders>
          </w:tcPr>
          <w:p w14:paraId="244B092A" w14:textId="77777777" w:rsidR="003501A1" w:rsidRPr="0036633D" w:rsidRDefault="003501A1" w:rsidP="007B71A4">
            <w:pPr>
              <w:rPr>
                <w:bCs/>
              </w:rPr>
            </w:pPr>
            <w:r w:rsidRPr="0036633D">
              <w:rPr>
                <w:bCs/>
              </w:rPr>
              <w:t>Áno</w:t>
            </w:r>
          </w:p>
        </w:tc>
        <w:sdt>
          <w:sdtPr>
            <w:rPr>
              <w:bCs/>
            </w:rPr>
            <w:id w:val="-54388876"/>
            <w14:checkbox>
              <w14:checked w14:val="0"/>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14:paraId="6DAB46F4" w14:textId="77777777" w:rsidR="003501A1" w:rsidRPr="0036633D" w:rsidRDefault="003501A1" w:rsidP="007B71A4">
                <w:pPr>
                  <w:jc w:val="center"/>
                  <w:rPr>
                    <w:bCs/>
                  </w:rPr>
                </w:pPr>
                <w:r w:rsidRPr="0036633D">
                  <w:rPr>
                    <w:rFonts w:ascii="MS Mincho" w:eastAsia="MS Mincho" w:hAnsi="MS Mincho" w:cs="MS Mincho" w:hint="eastAsia"/>
                    <w:bCs/>
                  </w:rPr>
                  <w:t>☐</w:t>
                </w:r>
              </w:p>
            </w:tc>
          </w:sdtContent>
        </w:sdt>
        <w:tc>
          <w:tcPr>
            <w:tcW w:w="1133" w:type="dxa"/>
            <w:tcBorders>
              <w:top w:val="single" w:sz="4" w:space="0" w:color="auto"/>
              <w:left w:val="nil"/>
              <w:bottom w:val="single" w:sz="4" w:space="0" w:color="auto"/>
              <w:right w:val="nil"/>
            </w:tcBorders>
          </w:tcPr>
          <w:p w14:paraId="5ECDEF68" w14:textId="77777777" w:rsidR="003501A1" w:rsidRPr="0036633D" w:rsidRDefault="003501A1" w:rsidP="007B71A4">
            <w:pPr>
              <w:rPr>
                <w:bCs/>
              </w:rPr>
            </w:pPr>
            <w:r w:rsidRPr="0036633D">
              <w:rPr>
                <w:bCs/>
              </w:rPr>
              <w:t>Nie</w:t>
            </w:r>
          </w:p>
        </w:tc>
        <w:sdt>
          <w:sdtPr>
            <w:rPr>
              <w:bCs/>
            </w:rPr>
            <w:id w:val="361940775"/>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1D6650DC" w14:textId="36D43BE8" w:rsidR="003501A1" w:rsidRPr="0036633D" w:rsidRDefault="00950CAF" w:rsidP="007B71A4">
                <w:pPr>
                  <w:ind w:left="-107" w:right="-108"/>
                  <w:jc w:val="center"/>
                  <w:rPr>
                    <w:bCs/>
                  </w:rPr>
                </w:pPr>
                <w:r>
                  <w:rPr>
                    <w:rFonts w:ascii="MS Gothic" w:eastAsia="MS Gothic" w:hAnsi="MS Gothic" w:hint="eastAsia"/>
                    <w:bCs/>
                  </w:rPr>
                  <w:t>☐</w:t>
                </w:r>
              </w:p>
            </w:tc>
          </w:sdtContent>
        </w:sdt>
        <w:tc>
          <w:tcPr>
            <w:tcW w:w="1326" w:type="dxa"/>
            <w:tcBorders>
              <w:top w:val="single" w:sz="4" w:space="0" w:color="auto"/>
              <w:left w:val="nil"/>
              <w:bottom w:val="single" w:sz="4" w:space="0" w:color="auto"/>
              <w:right w:val="single" w:sz="4" w:space="0" w:color="auto"/>
            </w:tcBorders>
          </w:tcPr>
          <w:p w14:paraId="7938C6DC" w14:textId="77777777" w:rsidR="003501A1" w:rsidRPr="0036633D" w:rsidRDefault="003501A1" w:rsidP="007B71A4">
            <w:pPr>
              <w:ind w:left="34"/>
              <w:rPr>
                <w:bCs/>
              </w:rPr>
            </w:pPr>
            <w:r w:rsidRPr="0036633D">
              <w:rPr>
                <w:bCs/>
              </w:rPr>
              <w:t>Čiastočne</w:t>
            </w:r>
          </w:p>
        </w:tc>
      </w:tr>
      <w:tr w:rsidR="003501A1" w:rsidRPr="00A179AE" w14:paraId="17654738" w14:textId="77777777" w:rsidTr="00184531">
        <w:tc>
          <w:tcPr>
            <w:tcW w:w="3812" w:type="dxa"/>
            <w:tcBorders>
              <w:top w:val="single" w:sz="4" w:space="0" w:color="000000" w:themeColor="text1"/>
              <w:left w:val="single" w:sz="4" w:space="0" w:color="auto"/>
              <w:bottom w:val="nil"/>
              <w:right w:val="single" w:sz="4" w:space="0" w:color="auto"/>
            </w:tcBorders>
            <w:shd w:val="clear" w:color="auto" w:fill="E2E2E2"/>
          </w:tcPr>
          <w:p w14:paraId="1CE9474F" w14:textId="77777777" w:rsidR="003501A1" w:rsidRPr="00A179AE" w:rsidRDefault="003501A1" w:rsidP="004C794A">
            <w:pPr>
              <w:rPr>
                <w:b/>
              </w:rPr>
            </w:pPr>
            <w:r w:rsidRPr="00A179AE">
              <w:rPr>
                <w:b/>
              </w:rPr>
              <w:t>Vplyvy na podnikateľské prostredie</w:t>
            </w:r>
          </w:p>
        </w:tc>
        <w:sdt>
          <w:sdtPr>
            <w:rPr>
              <w:bCs/>
            </w:rPr>
            <w:id w:val="1328319843"/>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14:paraId="3C61637D" w14:textId="77777777" w:rsidR="003501A1" w:rsidRPr="0036633D" w:rsidRDefault="00546E41" w:rsidP="007B71A4">
                <w:pPr>
                  <w:jc w:val="center"/>
                  <w:rPr>
                    <w:bCs/>
                  </w:rPr>
                </w:pPr>
                <w:r w:rsidRPr="0036633D">
                  <w:rPr>
                    <w:rFonts w:ascii="MS Gothic" w:eastAsia="MS Gothic" w:hAnsi="MS Gothic" w:hint="eastAsia"/>
                    <w:bCs/>
                  </w:rPr>
                  <w:t>☐</w:t>
                </w:r>
              </w:p>
            </w:tc>
          </w:sdtContent>
        </w:sdt>
        <w:tc>
          <w:tcPr>
            <w:tcW w:w="1281" w:type="dxa"/>
            <w:gridSpan w:val="2"/>
            <w:tcBorders>
              <w:top w:val="single" w:sz="4" w:space="0" w:color="auto"/>
              <w:left w:val="nil"/>
              <w:bottom w:val="single" w:sz="4" w:space="0" w:color="auto"/>
              <w:right w:val="nil"/>
            </w:tcBorders>
          </w:tcPr>
          <w:p w14:paraId="7F327851" w14:textId="77777777" w:rsidR="003501A1" w:rsidRPr="0036633D" w:rsidRDefault="003501A1" w:rsidP="007B71A4">
            <w:pPr>
              <w:ind w:right="-108"/>
              <w:rPr>
                <w:bCs/>
              </w:rPr>
            </w:pPr>
            <w:r w:rsidRPr="0036633D">
              <w:rPr>
                <w:bCs/>
              </w:rPr>
              <w:t>Pozitívne</w:t>
            </w:r>
          </w:p>
        </w:tc>
        <w:sdt>
          <w:sdtPr>
            <w:rPr>
              <w:bCs/>
            </w:rPr>
            <w:id w:val="1564608664"/>
            <w14:checkbox>
              <w14:checked w14:val="1"/>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14:paraId="4E3EA752" w14:textId="77777777" w:rsidR="003501A1" w:rsidRPr="0036633D" w:rsidRDefault="00DF7EB2" w:rsidP="007B71A4">
                <w:pPr>
                  <w:jc w:val="center"/>
                  <w:rPr>
                    <w:bCs/>
                  </w:rPr>
                </w:pPr>
                <w:r>
                  <w:rPr>
                    <w:rFonts w:ascii="MS Gothic" w:eastAsia="MS Gothic" w:hAnsi="MS Gothic" w:hint="eastAsia"/>
                    <w:bCs/>
                  </w:rPr>
                  <w:t>☒</w:t>
                </w:r>
              </w:p>
            </w:tc>
          </w:sdtContent>
        </w:sdt>
        <w:tc>
          <w:tcPr>
            <w:tcW w:w="1133" w:type="dxa"/>
            <w:tcBorders>
              <w:top w:val="single" w:sz="4" w:space="0" w:color="auto"/>
              <w:left w:val="nil"/>
              <w:bottom w:val="single" w:sz="4" w:space="0" w:color="auto"/>
              <w:right w:val="nil"/>
            </w:tcBorders>
          </w:tcPr>
          <w:p w14:paraId="54A5E435" w14:textId="77777777" w:rsidR="003501A1" w:rsidRPr="0036633D" w:rsidRDefault="003501A1" w:rsidP="007B71A4">
            <w:pPr>
              <w:rPr>
                <w:bCs/>
              </w:rPr>
            </w:pPr>
            <w:r w:rsidRPr="0036633D">
              <w:rPr>
                <w:bCs/>
              </w:rPr>
              <w:t>Žiadne</w:t>
            </w:r>
          </w:p>
        </w:tc>
        <w:sdt>
          <w:sdtPr>
            <w:rPr>
              <w:bCs/>
            </w:rPr>
            <w:id w:val="2173546"/>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7B30A2E9" w14:textId="77777777" w:rsidR="003501A1" w:rsidRPr="0036633D" w:rsidRDefault="00DF7EB2" w:rsidP="007B71A4">
                <w:pPr>
                  <w:jc w:val="center"/>
                  <w:rPr>
                    <w:bCs/>
                  </w:rPr>
                </w:pPr>
                <w:r>
                  <w:rPr>
                    <w:rFonts w:ascii="MS Gothic" w:eastAsia="MS Gothic" w:hAnsi="MS Gothic" w:hint="eastAsia"/>
                    <w:bCs/>
                  </w:rPr>
                  <w:t>☐</w:t>
                </w:r>
              </w:p>
            </w:tc>
          </w:sdtContent>
        </w:sdt>
        <w:tc>
          <w:tcPr>
            <w:tcW w:w="1326" w:type="dxa"/>
            <w:tcBorders>
              <w:top w:val="single" w:sz="4" w:space="0" w:color="auto"/>
              <w:left w:val="nil"/>
              <w:bottom w:val="single" w:sz="4" w:space="0" w:color="auto"/>
              <w:right w:val="single" w:sz="4" w:space="0" w:color="auto"/>
            </w:tcBorders>
          </w:tcPr>
          <w:p w14:paraId="13E6C6CC" w14:textId="77777777" w:rsidR="003501A1" w:rsidRPr="0036633D" w:rsidRDefault="003501A1" w:rsidP="007B71A4">
            <w:pPr>
              <w:ind w:left="54"/>
              <w:rPr>
                <w:bCs/>
              </w:rPr>
            </w:pPr>
            <w:r w:rsidRPr="0036633D">
              <w:rPr>
                <w:bCs/>
              </w:rPr>
              <w:t>Negatívne</w:t>
            </w:r>
          </w:p>
        </w:tc>
      </w:tr>
      <w:tr w:rsidR="003501A1" w:rsidRPr="00A179AE" w14:paraId="106FF4F2" w14:textId="77777777" w:rsidTr="00184531">
        <w:tc>
          <w:tcPr>
            <w:tcW w:w="3812" w:type="dxa"/>
            <w:tcBorders>
              <w:top w:val="nil"/>
              <w:left w:val="single" w:sz="4" w:space="0" w:color="000000" w:themeColor="text1"/>
              <w:bottom w:val="single" w:sz="4" w:space="0" w:color="000000" w:themeColor="text1"/>
              <w:right w:val="single" w:sz="4" w:space="0" w:color="000000" w:themeColor="text1"/>
            </w:tcBorders>
            <w:shd w:val="clear" w:color="auto" w:fill="E2E2E2"/>
          </w:tcPr>
          <w:p w14:paraId="2369F148" w14:textId="77777777" w:rsidR="003501A1" w:rsidRPr="00A179AE" w:rsidRDefault="003501A1" w:rsidP="007B71A4">
            <w:r w:rsidRPr="00A179AE">
              <w:lastRenderedPageBreak/>
              <w:t xml:space="preserve">    z toho vplyvy na MSP</w:t>
            </w:r>
          </w:p>
        </w:tc>
        <w:sdt>
          <w:sdtPr>
            <w:rPr>
              <w:bCs/>
            </w:rPr>
            <w:id w:val="1931938095"/>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000000" w:themeColor="text1"/>
                  <w:bottom w:val="single" w:sz="4" w:space="0" w:color="auto"/>
                  <w:right w:val="nil"/>
                </w:tcBorders>
              </w:tcPr>
              <w:p w14:paraId="325A2B01" w14:textId="77777777" w:rsidR="003501A1" w:rsidRPr="0036633D" w:rsidRDefault="00546E41" w:rsidP="007B71A4">
                <w:pPr>
                  <w:jc w:val="center"/>
                  <w:rPr>
                    <w:bCs/>
                  </w:rPr>
                </w:pPr>
                <w:r w:rsidRPr="0036633D">
                  <w:rPr>
                    <w:rFonts w:ascii="MS Gothic" w:eastAsia="MS Gothic" w:hAnsi="MS Gothic" w:hint="eastAsia"/>
                    <w:bCs/>
                  </w:rPr>
                  <w:t>☐</w:t>
                </w:r>
              </w:p>
            </w:tc>
          </w:sdtContent>
        </w:sdt>
        <w:tc>
          <w:tcPr>
            <w:tcW w:w="1281" w:type="dxa"/>
            <w:gridSpan w:val="2"/>
            <w:tcBorders>
              <w:top w:val="single" w:sz="4" w:space="0" w:color="auto"/>
              <w:left w:val="nil"/>
              <w:bottom w:val="single" w:sz="4" w:space="0" w:color="auto"/>
              <w:right w:val="nil"/>
            </w:tcBorders>
          </w:tcPr>
          <w:p w14:paraId="483082A8" w14:textId="77777777" w:rsidR="003501A1" w:rsidRPr="0036633D" w:rsidRDefault="003501A1" w:rsidP="007B71A4">
            <w:pPr>
              <w:ind w:right="-108"/>
              <w:rPr>
                <w:bCs/>
              </w:rPr>
            </w:pPr>
            <w:r w:rsidRPr="0036633D">
              <w:rPr>
                <w:bCs/>
              </w:rPr>
              <w:t>Pozitívne</w:t>
            </w:r>
          </w:p>
        </w:tc>
        <w:sdt>
          <w:sdtPr>
            <w:rPr>
              <w:bCs/>
            </w:rPr>
            <w:id w:val="-1696063787"/>
            <w14:checkbox>
              <w14:checked w14:val="1"/>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14:paraId="081130D7" w14:textId="77777777" w:rsidR="003501A1" w:rsidRPr="0036633D" w:rsidRDefault="0036633D" w:rsidP="007B71A4">
                <w:pPr>
                  <w:jc w:val="center"/>
                  <w:rPr>
                    <w:bCs/>
                  </w:rPr>
                </w:pPr>
                <w:r>
                  <w:rPr>
                    <w:rFonts w:ascii="MS Gothic" w:eastAsia="MS Gothic" w:hAnsi="MS Gothic" w:hint="eastAsia"/>
                    <w:bCs/>
                  </w:rPr>
                  <w:t>☒</w:t>
                </w:r>
              </w:p>
            </w:tc>
          </w:sdtContent>
        </w:sdt>
        <w:tc>
          <w:tcPr>
            <w:tcW w:w="1133" w:type="dxa"/>
            <w:tcBorders>
              <w:top w:val="single" w:sz="4" w:space="0" w:color="auto"/>
              <w:left w:val="nil"/>
              <w:bottom w:val="single" w:sz="4" w:space="0" w:color="auto"/>
              <w:right w:val="nil"/>
            </w:tcBorders>
          </w:tcPr>
          <w:p w14:paraId="168B585D" w14:textId="77777777" w:rsidR="003501A1" w:rsidRPr="0036633D" w:rsidRDefault="003501A1" w:rsidP="007B71A4">
            <w:pPr>
              <w:rPr>
                <w:bCs/>
              </w:rPr>
            </w:pPr>
            <w:r w:rsidRPr="0036633D">
              <w:rPr>
                <w:bCs/>
              </w:rPr>
              <w:t>Žiadne</w:t>
            </w:r>
          </w:p>
        </w:tc>
        <w:sdt>
          <w:sdtPr>
            <w:rPr>
              <w:bCs/>
            </w:rPr>
            <w:id w:val="671765022"/>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7AC99A5C" w14:textId="77777777" w:rsidR="003501A1" w:rsidRPr="0036633D" w:rsidRDefault="003501A1" w:rsidP="007B71A4">
                <w:pPr>
                  <w:jc w:val="center"/>
                  <w:rPr>
                    <w:bCs/>
                  </w:rPr>
                </w:pPr>
                <w:r w:rsidRPr="0036633D">
                  <w:rPr>
                    <w:rFonts w:ascii="MS Mincho" w:eastAsia="MS Mincho" w:hAnsi="MS Mincho" w:cs="MS Mincho" w:hint="eastAsia"/>
                    <w:bCs/>
                  </w:rPr>
                  <w:t>☐</w:t>
                </w:r>
              </w:p>
            </w:tc>
          </w:sdtContent>
        </w:sdt>
        <w:tc>
          <w:tcPr>
            <w:tcW w:w="1326" w:type="dxa"/>
            <w:tcBorders>
              <w:top w:val="single" w:sz="4" w:space="0" w:color="auto"/>
              <w:left w:val="nil"/>
              <w:bottom w:val="single" w:sz="4" w:space="0" w:color="auto"/>
              <w:right w:val="single" w:sz="4" w:space="0" w:color="auto"/>
            </w:tcBorders>
          </w:tcPr>
          <w:p w14:paraId="2333AC91" w14:textId="77777777" w:rsidR="003501A1" w:rsidRPr="0036633D" w:rsidRDefault="003501A1" w:rsidP="007B71A4">
            <w:pPr>
              <w:ind w:left="54"/>
              <w:rPr>
                <w:bCs/>
              </w:rPr>
            </w:pPr>
            <w:r w:rsidRPr="0036633D">
              <w:rPr>
                <w:bCs/>
              </w:rPr>
              <w:t>Negatívne</w:t>
            </w:r>
          </w:p>
        </w:tc>
      </w:tr>
      <w:tr w:rsidR="003501A1" w:rsidRPr="00A179AE" w14:paraId="06CE31D8" w14:textId="77777777" w:rsidTr="00184531">
        <w:tc>
          <w:tcPr>
            <w:tcW w:w="3812" w:type="dxa"/>
            <w:tcBorders>
              <w:top w:val="single" w:sz="4" w:space="0" w:color="000000" w:themeColor="text1"/>
              <w:left w:val="single" w:sz="4" w:space="0" w:color="auto"/>
              <w:bottom w:val="single" w:sz="4" w:space="0" w:color="auto"/>
              <w:right w:val="single" w:sz="4" w:space="0" w:color="auto"/>
            </w:tcBorders>
            <w:shd w:val="clear" w:color="auto" w:fill="E2E2E2"/>
          </w:tcPr>
          <w:p w14:paraId="32149938" w14:textId="77777777" w:rsidR="003501A1" w:rsidRPr="00A179AE" w:rsidRDefault="003501A1" w:rsidP="004C794A">
            <w:pPr>
              <w:rPr>
                <w:b/>
              </w:rPr>
            </w:pPr>
            <w:r w:rsidRPr="00A179AE">
              <w:rPr>
                <w:b/>
              </w:rPr>
              <w:t>Sociálne vplyvy</w:t>
            </w:r>
          </w:p>
        </w:tc>
        <w:sdt>
          <w:sdtPr>
            <w:rPr>
              <w:bCs/>
            </w:rPr>
            <w:id w:val="449357865"/>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14:paraId="5B46C0C0" w14:textId="77777777" w:rsidR="003501A1" w:rsidRPr="0036633D" w:rsidRDefault="00546E41" w:rsidP="007B71A4">
                <w:pPr>
                  <w:jc w:val="center"/>
                  <w:rPr>
                    <w:bCs/>
                  </w:rPr>
                </w:pPr>
                <w:r w:rsidRPr="0036633D">
                  <w:rPr>
                    <w:rFonts w:ascii="MS Gothic" w:eastAsia="MS Gothic" w:hAnsi="MS Gothic" w:hint="eastAsia"/>
                    <w:bCs/>
                  </w:rPr>
                  <w:t>☐</w:t>
                </w:r>
              </w:p>
            </w:tc>
          </w:sdtContent>
        </w:sdt>
        <w:tc>
          <w:tcPr>
            <w:tcW w:w="1281" w:type="dxa"/>
            <w:gridSpan w:val="2"/>
            <w:tcBorders>
              <w:top w:val="single" w:sz="4" w:space="0" w:color="auto"/>
              <w:left w:val="nil"/>
              <w:bottom w:val="single" w:sz="4" w:space="0" w:color="auto"/>
              <w:right w:val="nil"/>
            </w:tcBorders>
          </w:tcPr>
          <w:p w14:paraId="445D638F" w14:textId="77777777" w:rsidR="003501A1" w:rsidRPr="0036633D" w:rsidRDefault="003501A1" w:rsidP="007B71A4">
            <w:pPr>
              <w:ind w:right="-108"/>
              <w:rPr>
                <w:bCs/>
              </w:rPr>
            </w:pPr>
            <w:r w:rsidRPr="0036633D">
              <w:rPr>
                <w:bCs/>
              </w:rPr>
              <w:t>Pozitívne</w:t>
            </w:r>
          </w:p>
        </w:tc>
        <w:sdt>
          <w:sdtPr>
            <w:rPr>
              <w:bCs/>
            </w:rPr>
            <w:id w:val="-1719425362"/>
            <w14:checkbox>
              <w14:checked w14:val="1"/>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14:paraId="4DC14EAC" w14:textId="77777777" w:rsidR="003501A1" w:rsidRPr="0036633D" w:rsidRDefault="00546E41" w:rsidP="007B71A4">
                <w:pPr>
                  <w:jc w:val="center"/>
                  <w:rPr>
                    <w:bCs/>
                  </w:rPr>
                </w:pPr>
                <w:r w:rsidRPr="0036633D">
                  <w:rPr>
                    <w:rFonts w:ascii="MS Gothic" w:eastAsia="MS Gothic" w:hAnsi="MS Gothic" w:hint="eastAsia"/>
                    <w:bCs/>
                  </w:rPr>
                  <w:t>☒</w:t>
                </w:r>
              </w:p>
            </w:tc>
          </w:sdtContent>
        </w:sdt>
        <w:tc>
          <w:tcPr>
            <w:tcW w:w="1133" w:type="dxa"/>
            <w:tcBorders>
              <w:top w:val="single" w:sz="4" w:space="0" w:color="auto"/>
              <w:left w:val="nil"/>
              <w:bottom w:val="single" w:sz="4" w:space="0" w:color="auto"/>
              <w:right w:val="nil"/>
            </w:tcBorders>
          </w:tcPr>
          <w:p w14:paraId="0BF401A4" w14:textId="77777777" w:rsidR="003501A1" w:rsidRPr="0036633D" w:rsidRDefault="003501A1" w:rsidP="007B71A4">
            <w:pPr>
              <w:rPr>
                <w:bCs/>
              </w:rPr>
            </w:pPr>
            <w:r w:rsidRPr="0036633D">
              <w:rPr>
                <w:bCs/>
              </w:rPr>
              <w:t>Žiadne</w:t>
            </w:r>
          </w:p>
        </w:tc>
        <w:sdt>
          <w:sdtPr>
            <w:rPr>
              <w:bCs/>
            </w:rPr>
            <w:id w:val="-870833546"/>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2AEFAC4C" w14:textId="77777777" w:rsidR="003501A1" w:rsidRPr="0036633D" w:rsidRDefault="003501A1" w:rsidP="007B71A4">
                <w:pPr>
                  <w:jc w:val="center"/>
                  <w:rPr>
                    <w:bCs/>
                  </w:rPr>
                </w:pPr>
                <w:r w:rsidRPr="0036633D">
                  <w:rPr>
                    <w:rFonts w:ascii="MS Mincho" w:eastAsia="MS Mincho" w:hAnsi="MS Mincho" w:cs="MS Mincho" w:hint="eastAsia"/>
                    <w:bCs/>
                  </w:rPr>
                  <w:t>☐</w:t>
                </w:r>
              </w:p>
            </w:tc>
          </w:sdtContent>
        </w:sdt>
        <w:tc>
          <w:tcPr>
            <w:tcW w:w="1326" w:type="dxa"/>
            <w:tcBorders>
              <w:top w:val="single" w:sz="4" w:space="0" w:color="auto"/>
              <w:left w:val="nil"/>
              <w:bottom w:val="single" w:sz="4" w:space="0" w:color="auto"/>
              <w:right w:val="single" w:sz="4" w:space="0" w:color="auto"/>
            </w:tcBorders>
          </w:tcPr>
          <w:p w14:paraId="47B1B088" w14:textId="77777777" w:rsidR="003501A1" w:rsidRPr="0036633D" w:rsidRDefault="003501A1" w:rsidP="007B71A4">
            <w:pPr>
              <w:ind w:left="54"/>
              <w:rPr>
                <w:bCs/>
              </w:rPr>
            </w:pPr>
            <w:r w:rsidRPr="0036633D">
              <w:rPr>
                <w:bCs/>
              </w:rPr>
              <w:t>Negatívne</w:t>
            </w:r>
          </w:p>
        </w:tc>
      </w:tr>
      <w:tr w:rsidR="003501A1" w:rsidRPr="00A179AE" w14:paraId="34071D41" w14:textId="77777777" w:rsidTr="00184531">
        <w:tc>
          <w:tcPr>
            <w:tcW w:w="3812" w:type="dxa"/>
            <w:tcBorders>
              <w:top w:val="single" w:sz="4" w:space="0" w:color="auto"/>
              <w:left w:val="single" w:sz="4" w:space="0" w:color="auto"/>
              <w:bottom w:val="single" w:sz="4" w:space="0" w:color="auto"/>
              <w:right w:val="single" w:sz="4" w:space="0" w:color="auto"/>
            </w:tcBorders>
            <w:shd w:val="clear" w:color="auto" w:fill="E2E2E2"/>
          </w:tcPr>
          <w:p w14:paraId="2F5AD62E" w14:textId="77777777" w:rsidR="003501A1" w:rsidRPr="00A179AE" w:rsidRDefault="003501A1" w:rsidP="004C794A">
            <w:pPr>
              <w:rPr>
                <w:b/>
              </w:rPr>
            </w:pPr>
            <w:r w:rsidRPr="00A179AE">
              <w:rPr>
                <w:b/>
              </w:rPr>
              <w:t>Vplyvy na životné prostredie</w:t>
            </w:r>
          </w:p>
        </w:tc>
        <w:sdt>
          <w:sdtPr>
            <w:rPr>
              <w:bCs/>
            </w:rPr>
            <w:id w:val="304755157"/>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14:paraId="4AD76AB7" w14:textId="77777777" w:rsidR="003501A1" w:rsidRPr="0036633D" w:rsidRDefault="00926D39" w:rsidP="007B71A4">
                <w:pPr>
                  <w:jc w:val="center"/>
                  <w:rPr>
                    <w:bCs/>
                  </w:rPr>
                </w:pPr>
                <w:r w:rsidRPr="0036633D">
                  <w:rPr>
                    <w:rFonts w:ascii="MS Gothic" w:eastAsia="MS Gothic" w:hAnsi="MS Gothic" w:hint="eastAsia"/>
                    <w:bCs/>
                  </w:rPr>
                  <w:t>☒</w:t>
                </w:r>
              </w:p>
            </w:tc>
          </w:sdtContent>
        </w:sdt>
        <w:tc>
          <w:tcPr>
            <w:tcW w:w="1281" w:type="dxa"/>
            <w:gridSpan w:val="2"/>
            <w:tcBorders>
              <w:top w:val="single" w:sz="4" w:space="0" w:color="auto"/>
              <w:left w:val="nil"/>
              <w:bottom w:val="single" w:sz="4" w:space="0" w:color="auto"/>
              <w:right w:val="nil"/>
            </w:tcBorders>
          </w:tcPr>
          <w:p w14:paraId="4525DDAD" w14:textId="77777777" w:rsidR="003501A1" w:rsidRPr="0036633D" w:rsidRDefault="003501A1" w:rsidP="007B71A4">
            <w:pPr>
              <w:ind w:right="-108"/>
              <w:rPr>
                <w:bCs/>
              </w:rPr>
            </w:pPr>
            <w:r w:rsidRPr="0036633D">
              <w:rPr>
                <w:bCs/>
              </w:rPr>
              <w:t>Pozitívne</w:t>
            </w:r>
          </w:p>
        </w:tc>
        <w:sdt>
          <w:sdtPr>
            <w:rPr>
              <w:bCs/>
            </w:rPr>
            <w:id w:val="235136192"/>
            <w14:checkbox>
              <w14:checked w14:val="0"/>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14:paraId="58B5FE9A" w14:textId="77777777" w:rsidR="003501A1" w:rsidRPr="0036633D" w:rsidRDefault="003501A1" w:rsidP="007B71A4">
                <w:pPr>
                  <w:jc w:val="center"/>
                  <w:rPr>
                    <w:bCs/>
                  </w:rPr>
                </w:pPr>
                <w:r w:rsidRPr="0036633D">
                  <w:rPr>
                    <w:rFonts w:ascii="MS Mincho" w:eastAsia="MS Mincho" w:hAnsi="MS Mincho" w:cs="MS Mincho" w:hint="eastAsia"/>
                    <w:bCs/>
                  </w:rPr>
                  <w:t>☐</w:t>
                </w:r>
              </w:p>
            </w:tc>
          </w:sdtContent>
        </w:sdt>
        <w:tc>
          <w:tcPr>
            <w:tcW w:w="1133" w:type="dxa"/>
            <w:tcBorders>
              <w:top w:val="single" w:sz="4" w:space="0" w:color="auto"/>
              <w:left w:val="nil"/>
              <w:bottom w:val="single" w:sz="4" w:space="0" w:color="auto"/>
              <w:right w:val="nil"/>
            </w:tcBorders>
          </w:tcPr>
          <w:p w14:paraId="58F54218" w14:textId="77777777" w:rsidR="003501A1" w:rsidRPr="0036633D" w:rsidRDefault="003501A1" w:rsidP="007B71A4">
            <w:pPr>
              <w:rPr>
                <w:bCs/>
              </w:rPr>
            </w:pPr>
            <w:r w:rsidRPr="0036633D">
              <w:rPr>
                <w:bCs/>
              </w:rPr>
              <w:t>Žiadne</w:t>
            </w:r>
          </w:p>
        </w:tc>
        <w:sdt>
          <w:sdtPr>
            <w:rPr>
              <w:bCs/>
            </w:rPr>
            <w:id w:val="-131020046"/>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53F57EFD" w14:textId="77777777" w:rsidR="003501A1" w:rsidRPr="0036633D" w:rsidRDefault="003501A1" w:rsidP="007B71A4">
                <w:pPr>
                  <w:jc w:val="center"/>
                  <w:rPr>
                    <w:bCs/>
                  </w:rPr>
                </w:pPr>
                <w:r w:rsidRPr="0036633D">
                  <w:rPr>
                    <w:rFonts w:ascii="MS Mincho" w:eastAsia="MS Mincho" w:hAnsi="MS Mincho" w:cs="MS Mincho" w:hint="eastAsia"/>
                    <w:bCs/>
                  </w:rPr>
                  <w:t>☐</w:t>
                </w:r>
              </w:p>
            </w:tc>
          </w:sdtContent>
        </w:sdt>
        <w:tc>
          <w:tcPr>
            <w:tcW w:w="1326" w:type="dxa"/>
            <w:tcBorders>
              <w:top w:val="single" w:sz="4" w:space="0" w:color="auto"/>
              <w:left w:val="nil"/>
              <w:bottom w:val="single" w:sz="4" w:space="0" w:color="auto"/>
              <w:right w:val="single" w:sz="4" w:space="0" w:color="auto"/>
            </w:tcBorders>
          </w:tcPr>
          <w:p w14:paraId="0C159BCF" w14:textId="77777777" w:rsidR="003501A1" w:rsidRPr="0036633D" w:rsidRDefault="003501A1" w:rsidP="007B71A4">
            <w:pPr>
              <w:ind w:left="54"/>
              <w:rPr>
                <w:bCs/>
              </w:rPr>
            </w:pPr>
            <w:r w:rsidRPr="0036633D">
              <w:rPr>
                <w:bCs/>
              </w:rPr>
              <w:t>Negatívne</w:t>
            </w:r>
          </w:p>
        </w:tc>
      </w:tr>
      <w:tr w:rsidR="003501A1" w:rsidRPr="00A179AE" w14:paraId="1EE46634" w14:textId="77777777" w:rsidTr="00184531">
        <w:tc>
          <w:tcPr>
            <w:tcW w:w="3812" w:type="dxa"/>
            <w:tcBorders>
              <w:top w:val="single" w:sz="4" w:space="0" w:color="auto"/>
              <w:left w:val="single" w:sz="4" w:space="0" w:color="auto"/>
              <w:bottom w:val="single" w:sz="4" w:space="0" w:color="auto"/>
              <w:right w:val="single" w:sz="4" w:space="0" w:color="auto"/>
            </w:tcBorders>
            <w:shd w:val="clear" w:color="auto" w:fill="E2E2E2"/>
          </w:tcPr>
          <w:p w14:paraId="0FFA2447" w14:textId="77777777" w:rsidR="003501A1" w:rsidRPr="00A179AE" w:rsidRDefault="003501A1" w:rsidP="004C794A">
            <w:pPr>
              <w:rPr>
                <w:b/>
              </w:rPr>
            </w:pPr>
            <w:r w:rsidRPr="00A179AE">
              <w:rPr>
                <w:b/>
              </w:rPr>
              <w:t>Vplyvy na informatizáciu</w:t>
            </w:r>
          </w:p>
        </w:tc>
        <w:sdt>
          <w:sdtPr>
            <w:rPr>
              <w:bCs/>
            </w:rPr>
            <w:id w:val="-940751000"/>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14:paraId="0A4E6D38" w14:textId="77777777" w:rsidR="003501A1" w:rsidRPr="0036633D" w:rsidRDefault="003501A1" w:rsidP="007B71A4">
                <w:pPr>
                  <w:jc w:val="center"/>
                  <w:rPr>
                    <w:bCs/>
                  </w:rPr>
                </w:pPr>
                <w:r w:rsidRPr="0036633D">
                  <w:rPr>
                    <w:rFonts w:ascii="MS Mincho" w:eastAsia="MS Mincho" w:hAnsi="MS Mincho" w:cs="MS Mincho" w:hint="eastAsia"/>
                    <w:bCs/>
                  </w:rPr>
                  <w:t>☐</w:t>
                </w:r>
              </w:p>
            </w:tc>
          </w:sdtContent>
        </w:sdt>
        <w:tc>
          <w:tcPr>
            <w:tcW w:w="1281" w:type="dxa"/>
            <w:gridSpan w:val="2"/>
            <w:tcBorders>
              <w:top w:val="single" w:sz="4" w:space="0" w:color="auto"/>
              <w:left w:val="nil"/>
              <w:bottom w:val="single" w:sz="4" w:space="0" w:color="auto"/>
              <w:right w:val="nil"/>
            </w:tcBorders>
          </w:tcPr>
          <w:p w14:paraId="7DC0C45F" w14:textId="77777777" w:rsidR="003501A1" w:rsidRPr="0036633D" w:rsidRDefault="003501A1" w:rsidP="007B71A4">
            <w:pPr>
              <w:ind w:right="-108"/>
              <w:rPr>
                <w:bCs/>
              </w:rPr>
            </w:pPr>
            <w:r w:rsidRPr="0036633D">
              <w:rPr>
                <w:bCs/>
              </w:rPr>
              <w:t>Pozitívne</w:t>
            </w:r>
          </w:p>
        </w:tc>
        <w:sdt>
          <w:sdtPr>
            <w:rPr>
              <w:bCs/>
            </w:rPr>
            <w:id w:val="-1126152168"/>
            <w14:checkbox>
              <w14:checked w14:val="1"/>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14:paraId="673A7834" w14:textId="77777777" w:rsidR="003501A1" w:rsidRPr="0036633D" w:rsidRDefault="00926D39" w:rsidP="007B71A4">
                <w:pPr>
                  <w:jc w:val="center"/>
                  <w:rPr>
                    <w:bCs/>
                  </w:rPr>
                </w:pPr>
                <w:r w:rsidRPr="0036633D">
                  <w:rPr>
                    <w:rFonts w:ascii="MS Gothic" w:eastAsia="MS Gothic" w:hAnsi="MS Gothic" w:hint="eastAsia"/>
                    <w:bCs/>
                  </w:rPr>
                  <w:t>☒</w:t>
                </w:r>
              </w:p>
            </w:tc>
          </w:sdtContent>
        </w:sdt>
        <w:tc>
          <w:tcPr>
            <w:tcW w:w="1133" w:type="dxa"/>
            <w:tcBorders>
              <w:top w:val="single" w:sz="4" w:space="0" w:color="auto"/>
              <w:left w:val="nil"/>
              <w:bottom w:val="single" w:sz="4" w:space="0" w:color="auto"/>
              <w:right w:val="nil"/>
            </w:tcBorders>
          </w:tcPr>
          <w:p w14:paraId="4922614B" w14:textId="77777777" w:rsidR="003501A1" w:rsidRPr="0036633D" w:rsidRDefault="003501A1" w:rsidP="007B71A4">
            <w:pPr>
              <w:rPr>
                <w:bCs/>
              </w:rPr>
            </w:pPr>
            <w:r w:rsidRPr="0036633D">
              <w:rPr>
                <w:bCs/>
              </w:rPr>
              <w:t>Žiadne</w:t>
            </w:r>
          </w:p>
        </w:tc>
        <w:sdt>
          <w:sdtPr>
            <w:rPr>
              <w:bCs/>
            </w:rPr>
            <w:id w:val="378831873"/>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46FB647F" w14:textId="77777777" w:rsidR="003501A1" w:rsidRPr="0036633D" w:rsidRDefault="003501A1" w:rsidP="007B71A4">
                <w:pPr>
                  <w:jc w:val="center"/>
                  <w:rPr>
                    <w:bCs/>
                  </w:rPr>
                </w:pPr>
                <w:r w:rsidRPr="0036633D">
                  <w:rPr>
                    <w:rFonts w:ascii="MS Mincho" w:eastAsia="MS Mincho" w:hAnsi="MS Mincho" w:cs="MS Mincho" w:hint="eastAsia"/>
                    <w:bCs/>
                  </w:rPr>
                  <w:t>☐</w:t>
                </w:r>
              </w:p>
            </w:tc>
          </w:sdtContent>
        </w:sdt>
        <w:tc>
          <w:tcPr>
            <w:tcW w:w="1326" w:type="dxa"/>
            <w:tcBorders>
              <w:top w:val="single" w:sz="4" w:space="0" w:color="auto"/>
              <w:left w:val="nil"/>
              <w:bottom w:val="single" w:sz="4" w:space="0" w:color="auto"/>
              <w:right w:val="single" w:sz="4" w:space="0" w:color="auto"/>
            </w:tcBorders>
          </w:tcPr>
          <w:p w14:paraId="354B2558" w14:textId="77777777" w:rsidR="003501A1" w:rsidRPr="0036633D" w:rsidRDefault="003501A1" w:rsidP="007B71A4">
            <w:pPr>
              <w:ind w:left="54"/>
              <w:rPr>
                <w:bCs/>
              </w:rPr>
            </w:pPr>
            <w:r w:rsidRPr="0036633D">
              <w:rPr>
                <w:bCs/>
              </w:rPr>
              <w:t>Negatívne</w:t>
            </w:r>
          </w:p>
        </w:tc>
      </w:tr>
    </w:tbl>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569"/>
        <w:gridCol w:w="1133"/>
        <w:gridCol w:w="547"/>
        <w:gridCol w:w="1326"/>
      </w:tblGrid>
      <w:tr w:rsidR="0045465B" w:rsidRPr="00A179AE" w14:paraId="4127BC94" w14:textId="77777777" w:rsidTr="00184531">
        <w:tc>
          <w:tcPr>
            <w:tcW w:w="3812" w:type="dxa"/>
            <w:tcBorders>
              <w:top w:val="single" w:sz="4" w:space="0" w:color="auto"/>
              <w:left w:val="single" w:sz="4" w:space="0" w:color="auto"/>
              <w:bottom w:val="nil"/>
              <w:right w:val="single" w:sz="4" w:space="0" w:color="auto"/>
            </w:tcBorders>
            <w:shd w:val="clear" w:color="auto" w:fill="E2E2E2"/>
          </w:tcPr>
          <w:p w14:paraId="3B31AC70" w14:textId="77777777" w:rsidR="0045465B" w:rsidRPr="00653ADA" w:rsidRDefault="0045465B" w:rsidP="00B83402">
            <w:pPr>
              <w:rPr>
                <w:b/>
              </w:rPr>
            </w:pPr>
            <w:r>
              <w:rPr>
                <w:rFonts w:eastAsia="Calibri"/>
                <w:b/>
                <w:lang w:eastAsia="en-US"/>
              </w:rPr>
              <w:t>V</w:t>
            </w:r>
            <w:r w:rsidRPr="00127DAC">
              <w:rPr>
                <w:rFonts w:eastAsia="Calibri"/>
                <w:b/>
                <w:lang w:eastAsia="en-US"/>
              </w:rPr>
              <w:t>plyv</w:t>
            </w:r>
            <w:r>
              <w:rPr>
                <w:rFonts w:eastAsia="Calibri"/>
                <w:b/>
                <w:lang w:eastAsia="en-US"/>
              </w:rPr>
              <w:t>y</w:t>
            </w:r>
            <w:r w:rsidRPr="00127DAC">
              <w:rPr>
                <w:rFonts w:eastAsia="Calibri"/>
                <w:b/>
                <w:lang w:eastAsia="en-US"/>
              </w:rPr>
              <w:t xml:space="preserve"> na služby verejnej správy pre občana</w:t>
            </w:r>
            <w:r>
              <w:rPr>
                <w:rFonts w:eastAsia="Calibri"/>
                <w:b/>
                <w:lang w:eastAsia="en-US"/>
              </w:rPr>
              <w:t>, z toho</w:t>
            </w:r>
          </w:p>
        </w:tc>
        <w:tc>
          <w:tcPr>
            <w:tcW w:w="541" w:type="dxa"/>
            <w:tcBorders>
              <w:top w:val="single" w:sz="4" w:space="0" w:color="auto"/>
              <w:left w:val="single" w:sz="4" w:space="0" w:color="auto"/>
              <w:bottom w:val="nil"/>
              <w:right w:val="nil"/>
            </w:tcBorders>
            <w:shd w:val="clear" w:color="auto" w:fill="auto"/>
          </w:tcPr>
          <w:p w14:paraId="7BB10C77" w14:textId="77777777" w:rsidR="0045465B" w:rsidRPr="00653ADA" w:rsidRDefault="0045465B" w:rsidP="00B83402">
            <w:pPr>
              <w:jc w:val="center"/>
              <w:rPr>
                <w:rFonts w:eastAsia="MS Mincho"/>
                <w:b/>
              </w:rPr>
            </w:pPr>
          </w:p>
        </w:tc>
        <w:tc>
          <w:tcPr>
            <w:tcW w:w="1281" w:type="dxa"/>
            <w:tcBorders>
              <w:top w:val="single" w:sz="4" w:space="0" w:color="auto"/>
              <w:left w:val="nil"/>
              <w:bottom w:val="nil"/>
              <w:right w:val="nil"/>
            </w:tcBorders>
            <w:shd w:val="clear" w:color="auto" w:fill="auto"/>
          </w:tcPr>
          <w:p w14:paraId="523831E2" w14:textId="77777777" w:rsidR="0045465B" w:rsidRPr="00653ADA" w:rsidRDefault="0045465B" w:rsidP="00B83402">
            <w:pPr>
              <w:ind w:right="-108"/>
              <w:rPr>
                <w:b/>
              </w:rPr>
            </w:pPr>
          </w:p>
        </w:tc>
        <w:tc>
          <w:tcPr>
            <w:tcW w:w="569" w:type="dxa"/>
            <w:tcBorders>
              <w:top w:val="single" w:sz="4" w:space="0" w:color="auto"/>
              <w:left w:val="nil"/>
              <w:bottom w:val="nil"/>
              <w:right w:val="nil"/>
            </w:tcBorders>
            <w:shd w:val="clear" w:color="auto" w:fill="auto"/>
          </w:tcPr>
          <w:p w14:paraId="50DE804B" w14:textId="77777777" w:rsidR="0045465B" w:rsidRPr="00653ADA" w:rsidRDefault="0045465B" w:rsidP="00B83402">
            <w:pPr>
              <w:jc w:val="center"/>
              <w:rPr>
                <w:rFonts w:eastAsia="MS Mincho"/>
                <w:b/>
              </w:rPr>
            </w:pPr>
          </w:p>
        </w:tc>
        <w:tc>
          <w:tcPr>
            <w:tcW w:w="1133" w:type="dxa"/>
            <w:tcBorders>
              <w:top w:val="single" w:sz="4" w:space="0" w:color="auto"/>
              <w:left w:val="nil"/>
              <w:bottom w:val="nil"/>
              <w:right w:val="nil"/>
            </w:tcBorders>
            <w:shd w:val="clear" w:color="auto" w:fill="auto"/>
          </w:tcPr>
          <w:p w14:paraId="02ECAB3F" w14:textId="77777777" w:rsidR="0045465B" w:rsidRPr="00653ADA" w:rsidRDefault="0045465B" w:rsidP="00B83402">
            <w:pPr>
              <w:rPr>
                <w:b/>
              </w:rPr>
            </w:pPr>
          </w:p>
        </w:tc>
        <w:tc>
          <w:tcPr>
            <w:tcW w:w="547" w:type="dxa"/>
            <w:tcBorders>
              <w:top w:val="single" w:sz="4" w:space="0" w:color="auto"/>
              <w:left w:val="nil"/>
              <w:bottom w:val="nil"/>
              <w:right w:val="nil"/>
            </w:tcBorders>
            <w:shd w:val="clear" w:color="auto" w:fill="auto"/>
          </w:tcPr>
          <w:p w14:paraId="4C7235E0" w14:textId="77777777" w:rsidR="0045465B" w:rsidRPr="00653ADA" w:rsidRDefault="0045465B" w:rsidP="00B83402">
            <w:pPr>
              <w:jc w:val="center"/>
              <w:rPr>
                <w:rFonts w:eastAsia="MS Mincho"/>
                <w:b/>
              </w:rPr>
            </w:pPr>
          </w:p>
        </w:tc>
        <w:tc>
          <w:tcPr>
            <w:tcW w:w="1326" w:type="dxa"/>
            <w:tcBorders>
              <w:top w:val="single" w:sz="4" w:space="0" w:color="auto"/>
              <w:left w:val="nil"/>
              <w:bottom w:val="nil"/>
              <w:right w:val="single" w:sz="4" w:space="0" w:color="auto"/>
            </w:tcBorders>
            <w:shd w:val="clear" w:color="auto" w:fill="auto"/>
          </w:tcPr>
          <w:p w14:paraId="5489AFBD" w14:textId="77777777" w:rsidR="0045465B" w:rsidRPr="00653ADA" w:rsidRDefault="0045465B" w:rsidP="00B83402">
            <w:pPr>
              <w:ind w:left="54"/>
              <w:rPr>
                <w:b/>
              </w:rPr>
            </w:pPr>
          </w:p>
        </w:tc>
      </w:tr>
      <w:tr w:rsidR="0045465B" w:rsidRPr="009634B3" w14:paraId="3D3DA734" w14:textId="77777777" w:rsidTr="00184531">
        <w:tc>
          <w:tcPr>
            <w:tcW w:w="3812" w:type="dxa"/>
            <w:tcBorders>
              <w:top w:val="nil"/>
              <w:left w:val="single" w:sz="4" w:space="0" w:color="auto"/>
              <w:bottom w:val="nil"/>
              <w:right w:val="single" w:sz="4" w:space="0" w:color="auto"/>
            </w:tcBorders>
            <w:shd w:val="clear" w:color="auto" w:fill="E2E2E2"/>
          </w:tcPr>
          <w:p w14:paraId="2C7A4838" w14:textId="77777777" w:rsidR="0045465B" w:rsidRPr="009634B3" w:rsidRDefault="0045465B" w:rsidP="00B83402">
            <w:pPr>
              <w:ind w:left="196" w:hanging="196"/>
              <w:rPr>
                <w:rFonts w:eastAsia="Calibri"/>
                <w:b/>
                <w:lang w:eastAsia="en-US"/>
              </w:rPr>
            </w:pPr>
            <w:r w:rsidRPr="009634B3">
              <w:rPr>
                <w:rFonts w:eastAsia="Calibri"/>
                <w:b/>
                <w:lang w:eastAsia="en-US"/>
              </w:rPr>
              <w:t xml:space="preserve">    vplyvy služieb verejnej správy na občana</w:t>
            </w:r>
          </w:p>
        </w:tc>
        <w:sdt>
          <w:sdtPr>
            <w:rPr>
              <w:rFonts w:ascii="MS Mincho" w:eastAsia="MS Mincho" w:hAnsi="MS Mincho" w:cs="MS Mincho" w:hint="eastAsia"/>
              <w:bCs/>
              <w:lang w:eastAsia="en-US"/>
            </w:rPr>
            <w:id w:val="532237804"/>
            <w14:checkbox>
              <w14:checked w14:val="0"/>
              <w14:checkedState w14:val="2612" w14:font="MS Gothic"/>
              <w14:uncheckedState w14:val="2610" w14:font="MS Gothic"/>
            </w14:checkbox>
          </w:sdtPr>
          <w:sdtEndPr/>
          <w:sdtContent>
            <w:tc>
              <w:tcPr>
                <w:tcW w:w="541" w:type="dxa"/>
                <w:tcBorders>
                  <w:top w:val="nil"/>
                  <w:left w:val="single" w:sz="4" w:space="0" w:color="auto"/>
                  <w:bottom w:val="nil"/>
                  <w:right w:val="nil"/>
                </w:tcBorders>
                <w:shd w:val="clear" w:color="auto" w:fill="auto"/>
              </w:tcPr>
              <w:p w14:paraId="6A3146A3" w14:textId="77777777" w:rsidR="0045465B" w:rsidRPr="0036633D" w:rsidRDefault="007F0F79" w:rsidP="00B83402">
                <w:pPr>
                  <w:jc w:val="center"/>
                  <w:rPr>
                    <w:rFonts w:ascii="MS Mincho" w:eastAsia="MS Mincho" w:hAnsi="MS Mincho" w:cs="MS Mincho"/>
                    <w:bCs/>
                    <w:lang w:eastAsia="en-US"/>
                  </w:rPr>
                </w:pPr>
                <w:r w:rsidRPr="0036633D">
                  <w:rPr>
                    <w:rFonts w:ascii="MS Gothic" w:eastAsia="MS Gothic" w:hAnsi="MS Gothic" w:cs="MS Mincho" w:hint="eastAsia"/>
                    <w:bCs/>
                    <w:lang w:eastAsia="en-US"/>
                  </w:rPr>
                  <w:t>☐</w:t>
                </w:r>
              </w:p>
            </w:tc>
          </w:sdtContent>
        </w:sdt>
        <w:tc>
          <w:tcPr>
            <w:tcW w:w="1281" w:type="dxa"/>
            <w:tcBorders>
              <w:top w:val="nil"/>
              <w:left w:val="nil"/>
              <w:bottom w:val="nil"/>
              <w:right w:val="nil"/>
            </w:tcBorders>
            <w:shd w:val="clear" w:color="auto" w:fill="auto"/>
          </w:tcPr>
          <w:p w14:paraId="7F6FC130" w14:textId="77777777" w:rsidR="0045465B" w:rsidRPr="0036633D" w:rsidRDefault="0045465B" w:rsidP="00B83402">
            <w:pPr>
              <w:ind w:right="-108"/>
              <w:rPr>
                <w:rFonts w:eastAsia="Calibri"/>
                <w:bCs/>
                <w:lang w:eastAsia="en-US"/>
              </w:rPr>
            </w:pPr>
            <w:r w:rsidRPr="0036633D">
              <w:rPr>
                <w:rFonts w:eastAsia="Calibri"/>
                <w:bCs/>
                <w:lang w:eastAsia="en-US"/>
              </w:rPr>
              <w:t>Pozitívne</w:t>
            </w:r>
          </w:p>
        </w:tc>
        <w:sdt>
          <w:sdtPr>
            <w:rPr>
              <w:rFonts w:ascii="MS Mincho" w:eastAsia="MS Mincho" w:hAnsi="MS Mincho" w:cs="MS Mincho" w:hint="eastAsia"/>
              <w:bCs/>
              <w:lang w:eastAsia="en-US"/>
            </w:rPr>
            <w:id w:val="-35981683"/>
            <w14:checkbox>
              <w14:checked w14:val="1"/>
              <w14:checkedState w14:val="2612" w14:font="MS Gothic"/>
              <w14:uncheckedState w14:val="2610" w14:font="MS Gothic"/>
            </w14:checkbox>
          </w:sdtPr>
          <w:sdtEndPr/>
          <w:sdtContent>
            <w:tc>
              <w:tcPr>
                <w:tcW w:w="569" w:type="dxa"/>
                <w:tcBorders>
                  <w:top w:val="nil"/>
                  <w:left w:val="nil"/>
                  <w:bottom w:val="nil"/>
                  <w:right w:val="nil"/>
                </w:tcBorders>
                <w:shd w:val="clear" w:color="auto" w:fill="auto"/>
              </w:tcPr>
              <w:p w14:paraId="7D5356CE" w14:textId="77777777" w:rsidR="0045465B" w:rsidRPr="0036633D" w:rsidRDefault="007F0F79" w:rsidP="00B83402">
                <w:pPr>
                  <w:jc w:val="center"/>
                  <w:rPr>
                    <w:rFonts w:ascii="MS Mincho" w:eastAsia="MS Mincho" w:hAnsi="MS Mincho" w:cs="MS Mincho"/>
                    <w:bCs/>
                    <w:lang w:eastAsia="en-US"/>
                  </w:rPr>
                </w:pPr>
                <w:r w:rsidRPr="0036633D">
                  <w:rPr>
                    <w:rFonts w:ascii="MS Gothic" w:eastAsia="MS Gothic" w:hAnsi="MS Gothic" w:cs="MS Mincho" w:hint="eastAsia"/>
                    <w:bCs/>
                    <w:lang w:eastAsia="en-US"/>
                  </w:rPr>
                  <w:t>☒</w:t>
                </w:r>
              </w:p>
            </w:tc>
          </w:sdtContent>
        </w:sdt>
        <w:tc>
          <w:tcPr>
            <w:tcW w:w="1133" w:type="dxa"/>
            <w:tcBorders>
              <w:top w:val="nil"/>
              <w:left w:val="nil"/>
              <w:bottom w:val="nil"/>
              <w:right w:val="nil"/>
            </w:tcBorders>
            <w:shd w:val="clear" w:color="auto" w:fill="auto"/>
          </w:tcPr>
          <w:p w14:paraId="01360D28" w14:textId="77777777" w:rsidR="0045465B" w:rsidRPr="0036633D" w:rsidRDefault="0045465B" w:rsidP="00B83402">
            <w:pPr>
              <w:rPr>
                <w:rFonts w:eastAsia="Calibri"/>
                <w:bCs/>
                <w:lang w:eastAsia="en-US"/>
              </w:rPr>
            </w:pPr>
            <w:r w:rsidRPr="0036633D">
              <w:rPr>
                <w:rFonts w:eastAsia="Calibri"/>
                <w:bCs/>
                <w:lang w:eastAsia="en-US"/>
              </w:rPr>
              <w:t>Žiadne</w:t>
            </w:r>
          </w:p>
        </w:tc>
        <w:tc>
          <w:tcPr>
            <w:tcW w:w="547" w:type="dxa"/>
            <w:tcBorders>
              <w:top w:val="nil"/>
              <w:left w:val="nil"/>
              <w:bottom w:val="nil"/>
              <w:right w:val="nil"/>
            </w:tcBorders>
            <w:shd w:val="clear" w:color="auto" w:fill="auto"/>
          </w:tcPr>
          <w:p w14:paraId="11A375CD" w14:textId="77777777" w:rsidR="0045465B" w:rsidRPr="0036633D" w:rsidRDefault="0045465B" w:rsidP="00B83402">
            <w:pPr>
              <w:jc w:val="center"/>
              <w:rPr>
                <w:rFonts w:ascii="MS Mincho" w:eastAsia="MS Mincho" w:hAnsi="MS Mincho" w:cs="MS Mincho"/>
                <w:bCs/>
                <w:lang w:eastAsia="en-US"/>
              </w:rPr>
            </w:pPr>
            <w:r w:rsidRPr="0036633D">
              <w:rPr>
                <w:rFonts w:ascii="MS Mincho" w:eastAsia="MS Mincho" w:hAnsi="MS Mincho" w:cs="MS Mincho" w:hint="eastAsia"/>
                <w:bCs/>
                <w:lang w:eastAsia="en-US"/>
              </w:rPr>
              <w:t>☐</w:t>
            </w:r>
          </w:p>
        </w:tc>
        <w:tc>
          <w:tcPr>
            <w:tcW w:w="1326" w:type="dxa"/>
            <w:tcBorders>
              <w:top w:val="nil"/>
              <w:left w:val="nil"/>
              <w:bottom w:val="nil"/>
              <w:right w:val="single" w:sz="4" w:space="0" w:color="auto"/>
            </w:tcBorders>
            <w:shd w:val="clear" w:color="auto" w:fill="auto"/>
          </w:tcPr>
          <w:p w14:paraId="46EAEAC7" w14:textId="77777777" w:rsidR="0045465B" w:rsidRPr="0036633D" w:rsidRDefault="0045465B" w:rsidP="00562B10">
            <w:pPr>
              <w:ind w:left="54"/>
              <w:rPr>
                <w:rFonts w:eastAsia="Calibri"/>
                <w:bCs/>
                <w:lang w:eastAsia="en-US"/>
              </w:rPr>
            </w:pPr>
            <w:r w:rsidRPr="0036633D">
              <w:rPr>
                <w:rFonts w:eastAsia="Calibri"/>
                <w:bCs/>
                <w:lang w:eastAsia="en-US"/>
              </w:rPr>
              <w:t>Negatívne</w:t>
            </w:r>
          </w:p>
        </w:tc>
      </w:tr>
      <w:tr w:rsidR="0045465B" w:rsidRPr="009634B3" w14:paraId="7ED8B429" w14:textId="77777777" w:rsidTr="00184531">
        <w:tc>
          <w:tcPr>
            <w:tcW w:w="3812" w:type="dxa"/>
            <w:tcBorders>
              <w:top w:val="nil"/>
              <w:left w:val="single" w:sz="4" w:space="0" w:color="auto"/>
              <w:bottom w:val="single" w:sz="4" w:space="0" w:color="auto"/>
              <w:right w:val="single" w:sz="4" w:space="0" w:color="auto"/>
            </w:tcBorders>
            <w:shd w:val="clear" w:color="auto" w:fill="E2E2E2"/>
          </w:tcPr>
          <w:p w14:paraId="01443C07" w14:textId="77777777" w:rsidR="0045465B" w:rsidRPr="009634B3" w:rsidRDefault="0045465B" w:rsidP="00B83402">
            <w:pPr>
              <w:ind w:left="168" w:hanging="168"/>
              <w:rPr>
                <w:rFonts w:eastAsia="Calibri"/>
                <w:b/>
                <w:lang w:eastAsia="en-US"/>
              </w:rPr>
            </w:pPr>
            <w:r>
              <w:rPr>
                <w:rFonts w:eastAsia="Calibri"/>
                <w:b/>
                <w:lang w:eastAsia="en-US"/>
              </w:rPr>
              <w:t xml:space="preserve">    </w:t>
            </w:r>
            <w:r w:rsidRPr="009634B3">
              <w:rPr>
                <w:rFonts w:eastAsia="Calibri"/>
                <w:b/>
                <w:lang w:eastAsia="en-US"/>
              </w:rPr>
              <w:t>vplyvy na procesy služieb vo verejnej správe</w:t>
            </w:r>
          </w:p>
        </w:tc>
        <w:tc>
          <w:tcPr>
            <w:tcW w:w="541" w:type="dxa"/>
            <w:tcBorders>
              <w:top w:val="nil"/>
              <w:left w:val="single" w:sz="4" w:space="0" w:color="auto"/>
              <w:bottom w:val="single" w:sz="4" w:space="0" w:color="auto"/>
              <w:right w:val="nil"/>
            </w:tcBorders>
            <w:shd w:val="clear" w:color="auto" w:fill="auto"/>
          </w:tcPr>
          <w:sdt>
            <w:sdtPr>
              <w:rPr>
                <w:rFonts w:ascii="MS Mincho" w:eastAsia="MS Mincho" w:hAnsi="MS Mincho" w:cs="MS Mincho" w:hint="eastAsia"/>
                <w:bCs/>
                <w:lang w:eastAsia="en-US"/>
              </w:rPr>
              <w:id w:val="528143281"/>
              <w14:checkbox>
                <w14:checked w14:val="0"/>
                <w14:checkedState w14:val="2612" w14:font="MS Gothic"/>
                <w14:uncheckedState w14:val="2610" w14:font="MS Gothic"/>
              </w14:checkbox>
            </w:sdtPr>
            <w:sdtEndPr/>
            <w:sdtContent>
              <w:p w14:paraId="31BF8C9F" w14:textId="77777777" w:rsidR="0045465B" w:rsidRPr="0036633D" w:rsidRDefault="007F0F79" w:rsidP="00B83402">
                <w:pPr>
                  <w:jc w:val="center"/>
                  <w:rPr>
                    <w:rFonts w:eastAsia="MS Mincho"/>
                    <w:bCs/>
                    <w:lang w:eastAsia="en-US"/>
                  </w:rPr>
                </w:pPr>
                <w:r w:rsidRPr="0036633D">
                  <w:rPr>
                    <w:rFonts w:ascii="MS Gothic" w:eastAsia="MS Gothic" w:hAnsi="MS Gothic" w:cs="MS Mincho" w:hint="eastAsia"/>
                    <w:bCs/>
                    <w:lang w:eastAsia="en-US"/>
                  </w:rPr>
                  <w:t>☐</w:t>
                </w:r>
              </w:p>
            </w:sdtContent>
          </w:sdt>
        </w:tc>
        <w:tc>
          <w:tcPr>
            <w:tcW w:w="1281" w:type="dxa"/>
            <w:tcBorders>
              <w:top w:val="nil"/>
              <w:left w:val="nil"/>
              <w:bottom w:val="single" w:sz="4" w:space="0" w:color="auto"/>
              <w:right w:val="nil"/>
            </w:tcBorders>
            <w:shd w:val="clear" w:color="auto" w:fill="auto"/>
          </w:tcPr>
          <w:p w14:paraId="1C826C75" w14:textId="77777777" w:rsidR="0045465B" w:rsidRPr="0036633D" w:rsidRDefault="0045465B" w:rsidP="00B83402">
            <w:pPr>
              <w:ind w:right="-108"/>
              <w:rPr>
                <w:rFonts w:eastAsia="Calibri"/>
                <w:bCs/>
                <w:lang w:eastAsia="en-US"/>
              </w:rPr>
            </w:pPr>
            <w:r w:rsidRPr="0036633D">
              <w:rPr>
                <w:rFonts w:eastAsia="Calibri"/>
                <w:bCs/>
                <w:lang w:eastAsia="en-US"/>
              </w:rPr>
              <w:t>Pozitívne</w:t>
            </w:r>
          </w:p>
        </w:tc>
        <w:sdt>
          <w:sdtPr>
            <w:rPr>
              <w:rFonts w:ascii="MS Mincho" w:eastAsia="MS Mincho" w:hAnsi="MS Mincho" w:cs="MS Mincho" w:hint="eastAsia"/>
              <w:bCs/>
              <w:lang w:eastAsia="en-US"/>
            </w:rPr>
            <w:id w:val="-2663448"/>
            <w14:checkbox>
              <w14:checked w14:val="1"/>
              <w14:checkedState w14:val="2612" w14:font="MS Gothic"/>
              <w14:uncheckedState w14:val="2610" w14:font="MS Gothic"/>
            </w14:checkbox>
          </w:sdtPr>
          <w:sdtEndPr/>
          <w:sdtContent>
            <w:tc>
              <w:tcPr>
                <w:tcW w:w="569" w:type="dxa"/>
                <w:tcBorders>
                  <w:top w:val="nil"/>
                  <w:left w:val="nil"/>
                  <w:bottom w:val="single" w:sz="4" w:space="0" w:color="auto"/>
                  <w:right w:val="nil"/>
                </w:tcBorders>
                <w:shd w:val="clear" w:color="auto" w:fill="auto"/>
              </w:tcPr>
              <w:p w14:paraId="5287886D" w14:textId="77777777" w:rsidR="0045465B" w:rsidRPr="0036633D" w:rsidRDefault="007F0F79" w:rsidP="00B83402">
                <w:pPr>
                  <w:jc w:val="center"/>
                  <w:rPr>
                    <w:rFonts w:eastAsia="MS Mincho"/>
                    <w:bCs/>
                    <w:lang w:eastAsia="en-US"/>
                  </w:rPr>
                </w:pPr>
                <w:r w:rsidRPr="0036633D">
                  <w:rPr>
                    <w:rFonts w:ascii="MS Gothic" w:eastAsia="MS Gothic" w:hAnsi="MS Gothic" w:cs="MS Mincho" w:hint="eastAsia"/>
                    <w:bCs/>
                    <w:lang w:eastAsia="en-US"/>
                  </w:rPr>
                  <w:t>☒</w:t>
                </w:r>
              </w:p>
            </w:tc>
          </w:sdtContent>
        </w:sdt>
        <w:tc>
          <w:tcPr>
            <w:tcW w:w="1133" w:type="dxa"/>
            <w:tcBorders>
              <w:top w:val="nil"/>
              <w:left w:val="nil"/>
              <w:bottom w:val="single" w:sz="4" w:space="0" w:color="auto"/>
              <w:right w:val="nil"/>
            </w:tcBorders>
            <w:shd w:val="clear" w:color="auto" w:fill="auto"/>
          </w:tcPr>
          <w:p w14:paraId="34899D78" w14:textId="77777777" w:rsidR="0045465B" w:rsidRPr="0036633D" w:rsidRDefault="0045465B" w:rsidP="00B83402">
            <w:pPr>
              <w:rPr>
                <w:rFonts w:eastAsia="Calibri"/>
                <w:bCs/>
                <w:lang w:eastAsia="en-US"/>
              </w:rPr>
            </w:pPr>
            <w:r w:rsidRPr="0036633D">
              <w:rPr>
                <w:rFonts w:eastAsia="Calibri"/>
                <w:bCs/>
                <w:lang w:eastAsia="en-US"/>
              </w:rPr>
              <w:t>Žiadne</w:t>
            </w:r>
          </w:p>
        </w:tc>
        <w:tc>
          <w:tcPr>
            <w:tcW w:w="547" w:type="dxa"/>
            <w:tcBorders>
              <w:top w:val="nil"/>
              <w:left w:val="nil"/>
              <w:bottom w:val="single" w:sz="4" w:space="0" w:color="auto"/>
              <w:right w:val="nil"/>
            </w:tcBorders>
            <w:shd w:val="clear" w:color="auto" w:fill="auto"/>
          </w:tcPr>
          <w:p w14:paraId="1E6ADAEA" w14:textId="77777777" w:rsidR="0045465B" w:rsidRPr="0036633D" w:rsidRDefault="0045465B" w:rsidP="00B83402">
            <w:pPr>
              <w:jc w:val="center"/>
              <w:rPr>
                <w:rFonts w:eastAsia="MS Mincho"/>
                <w:bCs/>
                <w:lang w:eastAsia="en-US"/>
              </w:rPr>
            </w:pPr>
            <w:r w:rsidRPr="0036633D">
              <w:rPr>
                <w:rFonts w:ascii="MS Mincho" w:eastAsia="MS Mincho" w:hAnsi="MS Mincho" w:cs="MS Mincho" w:hint="eastAsia"/>
                <w:bCs/>
                <w:lang w:eastAsia="en-US"/>
              </w:rPr>
              <w:t>☐</w:t>
            </w:r>
          </w:p>
        </w:tc>
        <w:tc>
          <w:tcPr>
            <w:tcW w:w="1326" w:type="dxa"/>
            <w:tcBorders>
              <w:top w:val="nil"/>
              <w:left w:val="nil"/>
              <w:bottom w:val="single" w:sz="4" w:space="0" w:color="auto"/>
              <w:right w:val="single" w:sz="4" w:space="0" w:color="auto"/>
            </w:tcBorders>
            <w:shd w:val="clear" w:color="auto" w:fill="auto"/>
          </w:tcPr>
          <w:p w14:paraId="045D0014" w14:textId="77777777" w:rsidR="0045465B" w:rsidRPr="0036633D" w:rsidRDefault="0045465B" w:rsidP="00562B10">
            <w:pPr>
              <w:ind w:left="54"/>
              <w:rPr>
                <w:rFonts w:eastAsia="Calibri"/>
                <w:bCs/>
                <w:lang w:eastAsia="en-US"/>
              </w:rPr>
            </w:pPr>
            <w:r w:rsidRPr="0036633D">
              <w:rPr>
                <w:rFonts w:eastAsia="Calibri"/>
                <w:bCs/>
                <w:lang w:eastAsia="en-US"/>
              </w:rPr>
              <w:t>Negatívne</w:t>
            </w:r>
          </w:p>
        </w:tc>
      </w:tr>
      <w:tr w:rsidR="00FC300E" w:rsidRPr="009634B3" w14:paraId="7B2B4C3A" w14:textId="77777777" w:rsidTr="00184531">
        <w:tc>
          <w:tcPr>
            <w:tcW w:w="3812" w:type="dxa"/>
            <w:tcBorders>
              <w:top w:val="single" w:sz="4" w:space="0" w:color="auto"/>
              <w:left w:val="single" w:sz="4" w:space="0" w:color="auto"/>
              <w:bottom w:val="single" w:sz="4" w:space="0" w:color="auto"/>
              <w:right w:val="single" w:sz="4" w:space="0" w:color="auto"/>
            </w:tcBorders>
            <w:shd w:val="clear" w:color="auto" w:fill="E2E2E2"/>
          </w:tcPr>
          <w:p w14:paraId="5A84923D" w14:textId="77777777" w:rsidR="00FC300E" w:rsidRDefault="00FC300E" w:rsidP="00FC300E">
            <w:pPr>
              <w:ind w:left="168" w:hanging="168"/>
              <w:rPr>
                <w:rFonts w:eastAsia="Calibri"/>
                <w:b/>
                <w:lang w:eastAsia="en-US"/>
              </w:rPr>
            </w:pPr>
            <w:r>
              <w:rPr>
                <w:rFonts w:ascii="Times" w:hAnsi="Times" w:cs="Times"/>
                <w:b/>
                <w:bCs/>
              </w:rPr>
              <w:t>Vplyvy na manželstvo, rodičovstvo a rodinu</w:t>
            </w:r>
          </w:p>
        </w:tc>
        <w:tc>
          <w:tcPr>
            <w:tcW w:w="541" w:type="dxa"/>
            <w:tcBorders>
              <w:top w:val="single" w:sz="4" w:space="0" w:color="auto"/>
              <w:left w:val="single" w:sz="4" w:space="0" w:color="auto"/>
              <w:bottom w:val="single" w:sz="4" w:space="0" w:color="auto"/>
              <w:right w:val="nil"/>
            </w:tcBorders>
            <w:shd w:val="clear" w:color="auto" w:fill="auto"/>
          </w:tcPr>
          <w:sdt>
            <w:sdtPr>
              <w:rPr>
                <w:rFonts w:ascii="MS Mincho" w:eastAsia="MS Mincho" w:hAnsi="MS Mincho" w:cs="MS Mincho" w:hint="eastAsia"/>
                <w:bCs/>
                <w:lang w:eastAsia="en-US"/>
              </w:rPr>
              <w:id w:val="-1365981545"/>
              <w14:checkbox>
                <w14:checked w14:val="0"/>
                <w14:checkedState w14:val="2612" w14:font="MS Gothic"/>
                <w14:uncheckedState w14:val="2610" w14:font="MS Gothic"/>
              </w14:checkbox>
            </w:sdtPr>
            <w:sdtEndPr/>
            <w:sdtContent>
              <w:p w14:paraId="2AEB060D" w14:textId="77777777" w:rsidR="00FC300E" w:rsidRPr="0036633D" w:rsidRDefault="00FC300E" w:rsidP="00FC300E">
                <w:pPr>
                  <w:jc w:val="center"/>
                  <w:rPr>
                    <w:rFonts w:eastAsia="MS Mincho"/>
                    <w:bCs/>
                    <w:lang w:eastAsia="en-US"/>
                  </w:rPr>
                </w:pPr>
                <w:r w:rsidRPr="0036633D">
                  <w:rPr>
                    <w:rFonts w:ascii="MS Gothic" w:eastAsia="MS Gothic" w:hAnsi="MS Gothic" w:cs="MS Mincho" w:hint="eastAsia"/>
                    <w:bCs/>
                    <w:lang w:eastAsia="en-US"/>
                  </w:rPr>
                  <w:t>☐</w:t>
                </w:r>
              </w:p>
            </w:sdtContent>
          </w:sdt>
        </w:tc>
        <w:tc>
          <w:tcPr>
            <w:tcW w:w="1281" w:type="dxa"/>
            <w:tcBorders>
              <w:top w:val="single" w:sz="4" w:space="0" w:color="auto"/>
              <w:left w:val="nil"/>
              <w:bottom w:val="single" w:sz="4" w:space="0" w:color="auto"/>
              <w:right w:val="nil"/>
            </w:tcBorders>
            <w:shd w:val="clear" w:color="auto" w:fill="auto"/>
          </w:tcPr>
          <w:p w14:paraId="1553FD0A" w14:textId="77777777" w:rsidR="00FC300E" w:rsidRPr="0036633D" w:rsidRDefault="00FC300E" w:rsidP="00FC300E">
            <w:pPr>
              <w:ind w:right="-108"/>
              <w:rPr>
                <w:rFonts w:eastAsia="Calibri"/>
                <w:bCs/>
                <w:lang w:eastAsia="en-US"/>
              </w:rPr>
            </w:pPr>
            <w:r w:rsidRPr="0036633D">
              <w:rPr>
                <w:rFonts w:eastAsia="Calibri"/>
                <w:bCs/>
                <w:lang w:eastAsia="en-US"/>
              </w:rPr>
              <w:t>Pozitívne</w:t>
            </w:r>
          </w:p>
        </w:tc>
        <w:tc>
          <w:tcPr>
            <w:tcW w:w="569" w:type="dxa"/>
            <w:tcBorders>
              <w:top w:val="single" w:sz="4" w:space="0" w:color="auto"/>
              <w:left w:val="nil"/>
              <w:bottom w:val="single" w:sz="4" w:space="0" w:color="auto"/>
              <w:right w:val="nil"/>
            </w:tcBorders>
            <w:shd w:val="clear" w:color="auto" w:fill="auto"/>
          </w:tcPr>
          <w:sdt>
            <w:sdtPr>
              <w:rPr>
                <w:rFonts w:ascii="MS Mincho" w:eastAsia="MS Mincho" w:hAnsi="MS Mincho" w:cs="MS Mincho" w:hint="eastAsia"/>
                <w:bCs/>
                <w:lang w:eastAsia="en-US"/>
              </w:rPr>
              <w:id w:val="1070239194"/>
              <w14:checkbox>
                <w14:checked w14:val="1"/>
                <w14:checkedState w14:val="2612" w14:font="MS Gothic"/>
                <w14:uncheckedState w14:val="2610" w14:font="MS Gothic"/>
              </w14:checkbox>
            </w:sdtPr>
            <w:sdtEndPr/>
            <w:sdtContent>
              <w:p w14:paraId="521F13B7" w14:textId="77777777" w:rsidR="00FC300E" w:rsidRPr="0036633D" w:rsidRDefault="00FC300E" w:rsidP="00FC300E">
                <w:pPr>
                  <w:jc w:val="center"/>
                  <w:rPr>
                    <w:rFonts w:eastAsia="MS Mincho"/>
                    <w:bCs/>
                    <w:lang w:eastAsia="en-US"/>
                  </w:rPr>
                </w:pPr>
                <w:r w:rsidRPr="0036633D">
                  <w:rPr>
                    <w:rFonts w:ascii="MS Gothic" w:eastAsia="MS Gothic" w:hAnsi="MS Gothic" w:cs="MS Mincho" w:hint="eastAsia"/>
                    <w:bCs/>
                    <w:lang w:eastAsia="en-US"/>
                  </w:rPr>
                  <w:t>☒</w:t>
                </w:r>
              </w:p>
            </w:sdtContent>
          </w:sdt>
        </w:tc>
        <w:tc>
          <w:tcPr>
            <w:tcW w:w="1133" w:type="dxa"/>
            <w:tcBorders>
              <w:top w:val="single" w:sz="4" w:space="0" w:color="auto"/>
              <w:left w:val="nil"/>
              <w:bottom w:val="single" w:sz="4" w:space="0" w:color="auto"/>
              <w:right w:val="nil"/>
            </w:tcBorders>
            <w:shd w:val="clear" w:color="auto" w:fill="auto"/>
          </w:tcPr>
          <w:p w14:paraId="0D443E55" w14:textId="77777777" w:rsidR="00FC300E" w:rsidRPr="0036633D" w:rsidRDefault="00FC300E" w:rsidP="00FC300E">
            <w:pPr>
              <w:rPr>
                <w:rFonts w:eastAsia="Calibri"/>
                <w:bCs/>
                <w:lang w:eastAsia="en-US"/>
              </w:rPr>
            </w:pPr>
            <w:r w:rsidRPr="0036633D">
              <w:rPr>
                <w:rFonts w:eastAsia="Calibri"/>
                <w:bCs/>
                <w:lang w:eastAsia="en-US"/>
              </w:rPr>
              <w:t>Žiadne</w:t>
            </w:r>
          </w:p>
        </w:tc>
        <w:tc>
          <w:tcPr>
            <w:tcW w:w="547" w:type="dxa"/>
            <w:tcBorders>
              <w:top w:val="single" w:sz="4" w:space="0" w:color="auto"/>
              <w:left w:val="nil"/>
              <w:bottom w:val="single" w:sz="4" w:space="0" w:color="auto"/>
              <w:right w:val="nil"/>
            </w:tcBorders>
            <w:shd w:val="clear" w:color="auto" w:fill="auto"/>
          </w:tcPr>
          <w:sdt>
            <w:sdtPr>
              <w:rPr>
                <w:rFonts w:ascii="MS Mincho" w:eastAsia="MS Mincho" w:hAnsi="MS Mincho" w:cs="MS Mincho" w:hint="eastAsia"/>
                <w:bCs/>
                <w:lang w:eastAsia="en-US"/>
              </w:rPr>
              <w:id w:val="2056575731"/>
              <w14:checkbox>
                <w14:checked w14:val="0"/>
                <w14:checkedState w14:val="2612" w14:font="MS Gothic"/>
                <w14:uncheckedState w14:val="2610" w14:font="MS Gothic"/>
              </w14:checkbox>
            </w:sdtPr>
            <w:sdtEndPr/>
            <w:sdtContent>
              <w:p w14:paraId="0E17F71B" w14:textId="77777777" w:rsidR="00FC300E" w:rsidRPr="0036633D" w:rsidRDefault="00FC300E" w:rsidP="00FC300E">
                <w:pPr>
                  <w:jc w:val="center"/>
                  <w:rPr>
                    <w:rFonts w:eastAsia="MS Mincho"/>
                    <w:bCs/>
                    <w:lang w:eastAsia="en-US"/>
                  </w:rPr>
                </w:pPr>
                <w:r w:rsidRPr="0036633D">
                  <w:rPr>
                    <w:rFonts w:ascii="MS Gothic" w:eastAsia="MS Gothic" w:hAnsi="MS Gothic" w:cs="MS Mincho" w:hint="eastAsia"/>
                    <w:bCs/>
                    <w:lang w:eastAsia="en-US"/>
                  </w:rPr>
                  <w:t>☐</w:t>
                </w:r>
              </w:p>
            </w:sdtContent>
          </w:sdt>
        </w:tc>
        <w:tc>
          <w:tcPr>
            <w:tcW w:w="1326" w:type="dxa"/>
            <w:tcBorders>
              <w:top w:val="single" w:sz="4" w:space="0" w:color="auto"/>
              <w:left w:val="nil"/>
              <w:bottom w:val="single" w:sz="4" w:space="0" w:color="auto"/>
              <w:right w:val="single" w:sz="4" w:space="0" w:color="auto"/>
            </w:tcBorders>
            <w:shd w:val="clear" w:color="auto" w:fill="auto"/>
          </w:tcPr>
          <w:p w14:paraId="486F9170" w14:textId="77777777" w:rsidR="00FC300E" w:rsidRPr="0036633D" w:rsidRDefault="00FC300E" w:rsidP="00FC300E">
            <w:pPr>
              <w:ind w:left="54"/>
              <w:rPr>
                <w:rFonts w:eastAsia="Calibri"/>
                <w:bCs/>
                <w:lang w:eastAsia="en-US"/>
              </w:rPr>
            </w:pPr>
            <w:r w:rsidRPr="0036633D">
              <w:rPr>
                <w:rFonts w:eastAsia="Calibri"/>
                <w:bCs/>
                <w:lang w:eastAsia="en-US"/>
              </w:rPr>
              <w:t>Negatívne</w:t>
            </w:r>
          </w:p>
        </w:tc>
      </w:tr>
    </w:tbl>
    <w:tbl>
      <w:tblPr>
        <w:tblStyle w:val="Mriekatabuky"/>
        <w:tblW w:w="9209" w:type="dxa"/>
        <w:tblLayout w:type="fixed"/>
        <w:tblLook w:val="04A0" w:firstRow="1" w:lastRow="0" w:firstColumn="1" w:lastColumn="0" w:noHBand="0" w:noVBand="1"/>
      </w:tblPr>
      <w:tblGrid>
        <w:gridCol w:w="9209"/>
      </w:tblGrid>
      <w:tr w:rsidR="004F6F1F" w:rsidRPr="00A179AE" w14:paraId="092B75D6" w14:textId="77777777" w:rsidTr="00184531">
        <w:tc>
          <w:tcPr>
            <w:tcW w:w="9209" w:type="dxa"/>
            <w:tcBorders>
              <w:top w:val="single" w:sz="4" w:space="0" w:color="auto"/>
              <w:left w:val="single" w:sz="4" w:space="0" w:color="auto"/>
              <w:bottom w:val="nil"/>
              <w:right w:val="single" w:sz="4" w:space="0" w:color="auto"/>
            </w:tcBorders>
            <w:shd w:val="clear" w:color="auto" w:fill="E2E2E2"/>
          </w:tcPr>
          <w:p w14:paraId="47184568" w14:textId="77777777" w:rsidR="004F6F1F" w:rsidRPr="00A179AE" w:rsidRDefault="004F6F1F"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Poznámky</w:t>
            </w:r>
          </w:p>
        </w:tc>
      </w:tr>
      <w:tr w:rsidR="004F6F1F" w:rsidRPr="00A179AE" w14:paraId="70DB9AF0" w14:textId="77777777" w:rsidTr="00250490">
        <w:trPr>
          <w:trHeight w:val="567"/>
        </w:trPr>
        <w:tc>
          <w:tcPr>
            <w:tcW w:w="9209" w:type="dxa"/>
            <w:tcBorders>
              <w:top w:val="nil"/>
              <w:left w:val="single" w:sz="4" w:space="0" w:color="auto"/>
              <w:bottom w:val="single" w:sz="4" w:space="0" w:color="auto"/>
              <w:right w:val="single" w:sz="4" w:space="0" w:color="auto"/>
            </w:tcBorders>
            <w:shd w:val="clear" w:color="auto" w:fill="auto"/>
          </w:tcPr>
          <w:p w14:paraId="6354380E" w14:textId="59A71206" w:rsidR="00BC7674" w:rsidRDefault="007F0F79" w:rsidP="004C1A80">
            <w:pPr>
              <w:jc w:val="both"/>
            </w:pPr>
            <w:r w:rsidRPr="004C1A80">
              <w:t>Predkladaným návrhom nariadenia vlád</w:t>
            </w:r>
            <w:r w:rsidR="004C1A80" w:rsidRPr="004C1A80">
              <w:t xml:space="preserve">y </w:t>
            </w:r>
            <w:r w:rsidR="005B5368">
              <w:t>Slovenskej republiky, ktorým sa vyhlasuje chránený areál Ostrovné lúčky</w:t>
            </w:r>
            <w:r w:rsidR="00CE056D">
              <w:t xml:space="preserve"> (ďalej len „návrh nariadenia vlády“)</w:t>
            </w:r>
            <w:r w:rsidR="005B5368">
              <w:t xml:space="preserve">, </w:t>
            </w:r>
            <w:r w:rsidR="004C1A80" w:rsidRPr="004C1A80">
              <w:t>sa za chránené územie vyhlásia tri lokality európskeho významu - SKUEV0269</w:t>
            </w:r>
            <w:r w:rsidR="005B5368">
              <w:t xml:space="preserve"> Ostrovné lúčky</w:t>
            </w:r>
            <w:r w:rsidR="004C1A80" w:rsidRPr="004C1A80">
              <w:t>, SKUEV1269</w:t>
            </w:r>
            <w:r w:rsidR="005B5368">
              <w:t xml:space="preserve"> Ostrovné lúčky</w:t>
            </w:r>
            <w:r w:rsidR="004C1A80" w:rsidRPr="004C1A80">
              <w:t xml:space="preserve"> a SKUEV2269 Ostrovné lúčky, ktoré sú</w:t>
            </w:r>
            <w:r w:rsidRPr="004C1A80">
              <w:t xml:space="preserve"> súčasťou európskej sústav</w:t>
            </w:r>
            <w:r w:rsidR="004C1A80" w:rsidRPr="004C1A80">
              <w:t xml:space="preserve">y chránených území Natura 2000. SKUEV0269 Ostrovné lúčky </w:t>
            </w:r>
            <w:r w:rsidR="004C1A80">
              <w:t xml:space="preserve">bolo </w:t>
            </w:r>
            <w:r w:rsidR="007B5423">
              <w:t>zaradené</w:t>
            </w:r>
            <w:r w:rsidR="004C1A80" w:rsidRPr="004C1A80">
              <w:t xml:space="preserve"> do výnosu Ministerstva životného prostredia Slovenskej republiky č. 3/2004-5.1 zo 14. júla 2004, ktorým sa vydáva národný zoznam území európskeho významu</w:t>
            </w:r>
            <w:r w:rsidR="007B5423">
              <w:t xml:space="preserve">. </w:t>
            </w:r>
            <w:r w:rsidR="007B5423" w:rsidRPr="004C1A80">
              <w:t>SKUEV</w:t>
            </w:r>
            <w:r w:rsidR="007B5423">
              <w:t>1</w:t>
            </w:r>
            <w:r w:rsidR="007B5423" w:rsidRPr="004C1A80">
              <w:t>269 Ostrovné lúčky</w:t>
            </w:r>
            <w:r w:rsidR="007B5423">
              <w:t xml:space="preserve"> </w:t>
            </w:r>
            <w:r w:rsidR="005E3B94">
              <w:t>bolo zaradené</w:t>
            </w:r>
            <w:r w:rsidR="007B5423" w:rsidRPr="007B5423">
              <w:t xml:space="preserve"> do opatrenia Ministerstva životného prostredia Slovenskej republiky z 29. novembra 2018 č. 1/2018, ktorým sa mení a dopĺňa výnos Ministerstva životného prostredia Slovenskej republiky zo 14. júla 2004 č. 3/2004 – 5.1, ktorým sa vydáva národný zoznam území európskeho významu v znení opatrenia č. 1/2017</w:t>
            </w:r>
            <w:r w:rsidR="005E3B94">
              <w:t>.</w:t>
            </w:r>
            <w:r w:rsidR="007B5423">
              <w:t xml:space="preserve"> </w:t>
            </w:r>
            <w:r w:rsidR="007B5423" w:rsidRPr="004C1A80">
              <w:t>SKUEV</w:t>
            </w:r>
            <w:r w:rsidR="007B5423">
              <w:t>2</w:t>
            </w:r>
            <w:r w:rsidR="007B5423" w:rsidRPr="004C1A80">
              <w:t>269 Ostrovné lúčky</w:t>
            </w:r>
            <w:r w:rsidR="007B5423">
              <w:t xml:space="preserve"> </w:t>
            </w:r>
            <w:r w:rsidR="005E3B94">
              <w:t>bolo zaradené</w:t>
            </w:r>
            <w:r w:rsidR="007B5423" w:rsidRPr="007B5423">
              <w:t xml:space="preserve"> do opatrenia Ministerstva životného prostredia Slovenskej republiky zo 7. decembra 2017 č. 1/2017, ktorým sa mení a dopĺňa výnos Ministerstva životného prostredia Slovenskej republiky zo 14. júla 2004 č. 3/2004 – 5.1, ktorým sa vydáva národný zoznam území európskeho významu</w:t>
            </w:r>
            <w:r w:rsidR="00881053">
              <w:t>.</w:t>
            </w:r>
          </w:p>
          <w:p w14:paraId="30F75C76" w14:textId="0785D9FF" w:rsidR="00DF7EB2" w:rsidRDefault="00DF7EB2" w:rsidP="004C1A80">
            <w:pPr>
              <w:jc w:val="both"/>
            </w:pPr>
          </w:p>
          <w:p w14:paraId="5C4C6B40" w14:textId="0B8C343A" w:rsidR="00CE056D" w:rsidRPr="0008716E" w:rsidRDefault="00CE056D" w:rsidP="00CE056D">
            <w:pPr>
              <w:jc w:val="both"/>
            </w:pPr>
            <w:r>
              <w:t>Schválením návrhu nariadenia vlády zároveň dôjde k </w:t>
            </w:r>
            <w:proofErr w:type="spellStart"/>
            <w:r>
              <w:t>prevyhláseniu</w:t>
            </w:r>
            <w:proofErr w:type="spellEnd"/>
            <w:r>
              <w:t xml:space="preserve"> existujúcich prírodných rezervácií (PR) Ostrovné lúčky (56,29 ha) a PR Dunajské ostrovy (220,5 ha), ktoré sa stanú súčasťou CHA Ostrovné lúčky </w:t>
            </w:r>
            <w:r w:rsidRPr="0008716E">
              <w:t xml:space="preserve">(PR Ostrovné lúčky súčasťou zóny B a PR Dunajské ostrovy súčasťou zóny A). </w:t>
            </w:r>
          </w:p>
          <w:p w14:paraId="606BF67D" w14:textId="1102C119" w:rsidR="00CE056D" w:rsidRDefault="00CE056D" w:rsidP="004C1A80">
            <w:pPr>
              <w:jc w:val="both"/>
            </w:pPr>
          </w:p>
          <w:p w14:paraId="1CA2D982" w14:textId="77777777" w:rsidR="00DF7EB2" w:rsidRDefault="00DF7EB2" w:rsidP="00DF7EB2">
            <w:pPr>
              <w:jc w:val="both"/>
            </w:pPr>
            <w:r>
              <w:t>Zámer vyhlásiť CHA Ostrovné lúčky bol v zmysle § 50 zákona č. 543/2002 Z. z. o ochrane prírody a krajiny v znení neskorších predpisov (ďalej len „zákon“) oznámený Okresným úradom Bratislava. Zámer bol spracovaný podľa projektu ochrany, ktorý je odborným podkladom na vyhlásenie chráneného územia (§ 54 ods. 13 zákona) a obsahuje ciele ochrany vymedzené pre chránené územie, návrh vhodného manažmentu na dosiahnutie cieľov, ako aj obmedzenia vyplývajúce zo stanoveného stupňa ochrany podľa zákona. Pripomienky vznesené zo strany dotknutých subjektov boli prerokované a zapracované do materiálu.</w:t>
            </w:r>
          </w:p>
          <w:p w14:paraId="2E7F245F" w14:textId="77777777" w:rsidR="00DF7EB2" w:rsidRDefault="00DF7EB2" w:rsidP="00DF7EB2">
            <w:pPr>
              <w:jc w:val="both"/>
            </w:pPr>
          </w:p>
          <w:p w14:paraId="5EA329AD" w14:textId="77777777" w:rsidR="00412E31" w:rsidRPr="00250490" w:rsidRDefault="00EC28E8" w:rsidP="00DF7EB2">
            <w:pPr>
              <w:jc w:val="both"/>
            </w:pPr>
            <w:r w:rsidRPr="00412E31">
              <w:t xml:space="preserve">Vyhlásením CHA Ostrovné lúčky </w:t>
            </w:r>
            <w:r w:rsidR="00424A55" w:rsidRPr="00412E31">
              <w:t xml:space="preserve">dôjde k obmedzeniu bežného obhospodarovania </w:t>
            </w:r>
            <w:r w:rsidR="00E42CED" w:rsidRPr="00412E31">
              <w:t xml:space="preserve">na pozemkoch vo vlastníctve štátu a v správe </w:t>
            </w:r>
            <w:r w:rsidR="00424A55" w:rsidRPr="00412E31">
              <w:t>štátneho podniku Les</w:t>
            </w:r>
            <w:r w:rsidR="00E8660C" w:rsidRPr="00412E31">
              <w:t>y</w:t>
            </w:r>
            <w:r w:rsidR="00424A55" w:rsidRPr="00412E31">
              <w:t xml:space="preserve"> S</w:t>
            </w:r>
            <w:r w:rsidR="00E8660C" w:rsidRPr="00412E31">
              <w:t>lovenskej republiky</w:t>
            </w:r>
            <w:r w:rsidR="00412E31" w:rsidRPr="00250490">
              <w:t>, ktorý má nárok na uplatnenie náhrady za obmedzenie bežného obhospodarovania formou finančnej náhrady v zmysle § 61e zákona.</w:t>
            </w:r>
          </w:p>
          <w:p w14:paraId="3482B188" w14:textId="77777777" w:rsidR="00DF7EB2" w:rsidRDefault="00DF7EB2" w:rsidP="00DF7EB2">
            <w:pPr>
              <w:jc w:val="both"/>
            </w:pPr>
          </w:p>
          <w:p w14:paraId="14E18686" w14:textId="77777777" w:rsidR="00863282" w:rsidRDefault="005B5368" w:rsidP="00250490">
            <w:pPr>
              <w:jc w:val="both"/>
              <w:rPr>
                <w:rFonts w:ascii="Times" w:hAnsi="Times" w:cs="Times"/>
              </w:rPr>
            </w:pPr>
            <w:r w:rsidRPr="005B5368">
              <w:rPr>
                <w:rFonts w:ascii="Times" w:hAnsi="Times" w:cs="Times"/>
              </w:rPr>
              <w:t>ŠOP S</w:t>
            </w:r>
            <w:r w:rsidR="004B5C6B">
              <w:rPr>
                <w:rFonts w:ascii="Times" w:hAnsi="Times" w:cs="Times"/>
              </w:rPr>
              <w:t>R</w:t>
            </w:r>
            <w:r w:rsidRPr="005B5368">
              <w:rPr>
                <w:rFonts w:ascii="Times" w:hAnsi="Times" w:cs="Times"/>
              </w:rPr>
              <w:t xml:space="preserve"> bude zodpovedná za vykonanie ďalších potrebných opatrení v oblasti monitoringu a komunikácie s verejnosťou, ktoré budú zamestnanci ŠOP SR vykonávať v rámci pracovnej náplne.</w:t>
            </w:r>
          </w:p>
          <w:p w14:paraId="2AF28D89" w14:textId="77777777" w:rsidR="00DE04A9" w:rsidRDefault="00DE04A9" w:rsidP="00250490">
            <w:pPr>
              <w:jc w:val="both"/>
              <w:rPr>
                <w:rFonts w:ascii="Times" w:hAnsi="Times" w:cs="Times"/>
              </w:rPr>
            </w:pPr>
          </w:p>
          <w:p w14:paraId="362C85DB" w14:textId="77777777" w:rsidR="005B5368" w:rsidRDefault="004B5C6B" w:rsidP="00250490">
            <w:pPr>
              <w:jc w:val="both"/>
            </w:pPr>
            <w:r w:rsidRPr="009301AF">
              <w:rPr>
                <w:rFonts w:ascii="Times" w:hAnsi="Times" w:cs="Times"/>
              </w:rPr>
              <w:t xml:space="preserve">V prípade výskytu inváznych nepôvodných druhov </w:t>
            </w:r>
            <w:r w:rsidR="00DE04A9" w:rsidRPr="009301AF">
              <w:rPr>
                <w:rFonts w:ascii="Times" w:hAnsi="Times" w:cs="Times"/>
              </w:rPr>
              <w:t xml:space="preserve">(IAS) bude potrebné zabezpečiť ich odstránenie. </w:t>
            </w:r>
            <w:r w:rsidR="00DE04A9" w:rsidRPr="009301AF">
              <w:t>Podľa zákona č. 150/2019 Z. z. o prevencii a manažmente introdukcie a šírenia inváznych nepôvodných druhov a o zmene a doplnení niektorých zákonov (ďalej len „zákon č. 150/2019 Z. z.“) je vlastník, správca alebo užívateľ pozemku povinný odstraňovať zo svojho pozemku invázne nepôvodné druhy uvedené v národnom zozname alebo v zozname Európskej únie a starať sa o pozemok tak, aby sa zamedzilo ich šíreniu. Ak ide o výskyt IAS na lesných pozemkoch, za ich odstraňovanie je zodpovedný obhospodarovateľ lesa pri činnostiach vykonávaných v rámci bežného hospodárenia v lesoch a pri činnostiach vykonávaných  v rámci plnenia opatrení určených akčným plánom podľa § 6 zákona č. 150/2019 Z. z., za spracovanie ktorých je zodpovedné Ministerstvo životného prostredia Slovenskej republiky (MŽP SR). Na plnenie opatrení určených akčným plánom možno poskytnúť finančné prostriedky v súlade s osobitným predpisom a za podmienok ustanovených osobitnými predpismi. Opatrenia určené akčným plánom vo vzťahu k IAS, ktoré sa majú uplatňovať na lesných pozemkoch, sa navrhujú a vykonávajú v rozsahu, v akom možno zabezpečiť ich financovanie podľa § 6  ods. 4 prvej vety zákona č. 150/2019 Z. z. Týmto sa zabezpečí eliminácia IAS nielen v rámci CHA Ostrovné lúčky, ale aj v širšom okolí.</w:t>
            </w:r>
          </w:p>
          <w:p w14:paraId="6517E82A" w14:textId="77777777" w:rsidR="00DE04A9" w:rsidRDefault="00DE04A9" w:rsidP="00250490">
            <w:pPr>
              <w:jc w:val="both"/>
              <w:rPr>
                <w:rFonts w:ascii="Times" w:hAnsi="Times" w:cs="Times"/>
              </w:rPr>
            </w:pPr>
          </w:p>
          <w:p w14:paraId="613289A5" w14:textId="77777777" w:rsidR="00250490" w:rsidRDefault="00DF7EB2" w:rsidP="00250490">
            <w:pPr>
              <w:jc w:val="both"/>
              <w:rPr>
                <w:rFonts w:ascii="Times" w:hAnsi="Times" w:cs="Times"/>
              </w:rPr>
            </w:pPr>
            <w:r>
              <w:rPr>
                <w:rFonts w:ascii="Times" w:hAnsi="Times" w:cs="Times"/>
              </w:rPr>
              <w:lastRenderedPageBreak/>
              <w:t xml:space="preserve">CHA </w:t>
            </w:r>
            <w:r w:rsidR="00CC57AE">
              <w:rPr>
                <w:rFonts w:ascii="Times" w:hAnsi="Times" w:cs="Times"/>
              </w:rPr>
              <w:t>O</w:t>
            </w:r>
            <w:r>
              <w:rPr>
                <w:rFonts w:ascii="Times" w:hAnsi="Times" w:cs="Times"/>
              </w:rPr>
              <w:t>strovné lúčky bude po jeho vyhlásení zapísaný v katastri nehnuteľností (§ 51 ods. 5 zákona), v </w:t>
            </w:r>
            <w:r w:rsidR="00863282">
              <w:rPr>
                <w:rFonts w:ascii="Times" w:hAnsi="Times" w:cs="Times"/>
              </w:rPr>
              <w:t>Š</w:t>
            </w:r>
            <w:r>
              <w:rPr>
                <w:rFonts w:ascii="Times" w:hAnsi="Times" w:cs="Times"/>
              </w:rPr>
              <w:t xml:space="preserve">tátnom zozname osobitne chránených častí prírody a krajiny (§ 51 ods. 4) a pre potreby praxe budú na Okresnom úrade Bratislava uložené grafické podklady, v ktorých je zakreslená hranica CHA Ostrovné lúčky. V prípade zmeny vlastníctva pozemkov v CHA Ostrovné lúčky tak bude budúci vlastník vopred informovaný o existencii CHA Ostrovné lúčky a o obmedzeniach vyplývajúcich zo stanoveného stupňa ochrany a z vymedzených cieľov ochrany. </w:t>
            </w:r>
          </w:p>
          <w:p w14:paraId="6AD7587A" w14:textId="77777777" w:rsidR="00DF7EB2" w:rsidRDefault="00DF7EB2" w:rsidP="00250490">
            <w:pPr>
              <w:jc w:val="both"/>
            </w:pPr>
          </w:p>
          <w:p w14:paraId="626A42D8" w14:textId="1CBC5D74" w:rsidR="00CB2B6E" w:rsidRDefault="00CB2B6E" w:rsidP="00EC28E8">
            <w:pPr>
              <w:jc w:val="both"/>
            </w:pPr>
            <w:r>
              <w:t>Vyhlásen</w:t>
            </w:r>
            <w:r w:rsidR="00A42B3E">
              <w:t>ím</w:t>
            </w:r>
            <w:r>
              <w:t xml:space="preserve"> CHA Ostrovné lúčky nevzniknú nové pracovné miesta a ani nedôjde k zániku pracovných miest. </w:t>
            </w:r>
            <w:r w:rsidR="00C777B5">
              <w:t>Vyhlásenie CHA Ostrovné lúčky nebude mať vplyv na fungova</w:t>
            </w:r>
            <w:r w:rsidR="00184531">
              <w:t xml:space="preserve">nie trhu práce, na špecifické vekové skupiny zamestnancov </w:t>
            </w:r>
            <w:r w:rsidR="00EC28E8">
              <w:t xml:space="preserve">ani nebude mať špecifické negatívne dôsledky pre isté skupiny profesií, skupín zamestnancov či živnostníkov. Vyhlásenie CHA Ostrovné lúčky aj v kontexte ďalších vyhlásených chránených území  môže prispieť k vzniku požiadavky na nové služby v regióne, napr. na sprievodcovskú činnosť prípadne vytvorenie sezónnych pracovných miest zabezpečujúcich manažment územia. </w:t>
            </w:r>
          </w:p>
          <w:p w14:paraId="2193427F" w14:textId="77777777" w:rsidR="00424A55" w:rsidRDefault="00424A55" w:rsidP="00EC28E8">
            <w:pPr>
              <w:jc w:val="both"/>
            </w:pPr>
            <w:r>
              <w:t xml:space="preserve">V navrhovanom CHA Ostrovné lúčky sa nachádzajú pozemky oslobodené od dane z nehnuteľností podľa § 17 ods. 1 zákona č. 582/2004 Z. z. o miestnych daniach a poplatkoch a miestnom poplatku za komunálne odpady a drobné stavebné odpady. Zoznam pozemkov </w:t>
            </w:r>
            <w:r w:rsidR="00881053">
              <w:t xml:space="preserve">oslobodených od daní </w:t>
            </w:r>
            <w:r>
              <w:t xml:space="preserve">je uvedený v projekte ochrany CHA Ostrovné lúčky. </w:t>
            </w:r>
          </w:p>
          <w:p w14:paraId="296AB670" w14:textId="77777777" w:rsidR="00DF7EB2" w:rsidRDefault="00DF7EB2" w:rsidP="00EC28E8">
            <w:pPr>
              <w:jc w:val="both"/>
            </w:pPr>
          </w:p>
          <w:p w14:paraId="7DE5B848" w14:textId="77777777" w:rsidR="00424A55" w:rsidRPr="004C1A80" w:rsidRDefault="00424A55" w:rsidP="00250490">
            <w:pPr>
              <w:jc w:val="both"/>
              <w:rPr>
                <w:rFonts w:ascii="Times" w:hAnsi="Times" w:cs="Times"/>
              </w:rPr>
            </w:pPr>
            <w:r w:rsidRPr="00250490">
              <w:t xml:space="preserve">Na základe uvedených skutočností </w:t>
            </w:r>
            <w:r w:rsidR="00DF7EB2" w:rsidRPr="00250490">
              <w:t>Ministerstvo životného prostredia Slovenskej republiky (</w:t>
            </w:r>
            <w:r w:rsidRPr="00250490">
              <w:t>MŽP SR</w:t>
            </w:r>
            <w:r w:rsidR="00DF7EB2" w:rsidRPr="00250490">
              <w:t>)</w:t>
            </w:r>
            <w:r w:rsidRPr="00250490">
              <w:t xml:space="preserve"> vyhodnotilo, že vyhlásenie CHA Ostrovné lúčky </w:t>
            </w:r>
            <w:r w:rsidR="00485BBA">
              <w:t>ne</w:t>
            </w:r>
            <w:r w:rsidR="009E01B0" w:rsidRPr="00250490">
              <w:t xml:space="preserve">bude </w:t>
            </w:r>
            <w:r w:rsidRPr="00250490">
              <w:t>mať vplyv na podnikateľské prostredie.</w:t>
            </w:r>
            <w:r>
              <w:t xml:space="preserve"> </w:t>
            </w:r>
          </w:p>
        </w:tc>
      </w:tr>
      <w:tr w:rsidR="003501A1" w:rsidRPr="00A179AE" w14:paraId="628E0001" w14:textId="77777777" w:rsidTr="00184531">
        <w:tc>
          <w:tcPr>
            <w:tcW w:w="9209" w:type="dxa"/>
            <w:tcBorders>
              <w:top w:val="single" w:sz="4" w:space="0" w:color="auto"/>
              <w:left w:val="single" w:sz="4" w:space="0" w:color="auto"/>
              <w:bottom w:val="single" w:sz="4" w:space="0" w:color="FFFFFF" w:themeColor="background1"/>
              <w:right w:val="single" w:sz="4" w:space="0" w:color="auto"/>
            </w:tcBorders>
            <w:shd w:val="clear" w:color="auto" w:fill="E2E2E2"/>
          </w:tcPr>
          <w:p w14:paraId="33D3E1E6" w14:textId="77777777"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lastRenderedPageBreak/>
              <w:t>Kontakt na spracovateľa</w:t>
            </w:r>
          </w:p>
        </w:tc>
      </w:tr>
      <w:tr w:rsidR="003501A1" w:rsidRPr="00A179AE" w14:paraId="198A002C" w14:textId="77777777" w:rsidTr="00DF7EB2">
        <w:trPr>
          <w:trHeight w:val="344"/>
        </w:trPr>
        <w:tc>
          <w:tcPr>
            <w:tcW w:w="9209"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14:paraId="7CA32331" w14:textId="77777777" w:rsidR="00702A8B" w:rsidRPr="00702A8B" w:rsidRDefault="00DF7EB2" w:rsidP="00DF7EB2">
            <w:r>
              <w:t>Ing. Janka Guzmová</w:t>
            </w:r>
            <w:r w:rsidR="0083656C">
              <w:t xml:space="preserve">, sekcia ochrany prírody, biodiverzity a krajiny </w:t>
            </w:r>
            <w:r>
              <w:t>MŽP SR</w:t>
            </w:r>
            <w:r w:rsidR="0083656C">
              <w:t xml:space="preserve"> (</w:t>
            </w:r>
            <w:r>
              <w:t>janka.guzmova</w:t>
            </w:r>
            <w:r w:rsidR="00702A8B" w:rsidRPr="0083656C">
              <w:t>@enviro.gov.sk</w:t>
            </w:r>
            <w:r w:rsidR="0083656C">
              <w:t>)</w:t>
            </w:r>
            <w:r w:rsidR="00702A8B">
              <w:t xml:space="preserve">. </w:t>
            </w:r>
          </w:p>
        </w:tc>
      </w:tr>
      <w:tr w:rsidR="003501A1" w:rsidRPr="00A179AE" w14:paraId="3C9A0B2E" w14:textId="77777777" w:rsidTr="00184531">
        <w:tc>
          <w:tcPr>
            <w:tcW w:w="9209" w:type="dxa"/>
            <w:tcBorders>
              <w:top w:val="single" w:sz="4" w:space="0" w:color="auto"/>
              <w:left w:val="single" w:sz="4" w:space="0" w:color="auto"/>
              <w:bottom w:val="single" w:sz="4" w:space="0" w:color="FFFFFF" w:themeColor="background1"/>
              <w:right w:val="single" w:sz="4" w:space="0" w:color="auto"/>
            </w:tcBorders>
            <w:shd w:val="clear" w:color="auto" w:fill="E2E2E2"/>
          </w:tcPr>
          <w:p w14:paraId="5E3544B7" w14:textId="77777777"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Zdroje</w:t>
            </w:r>
          </w:p>
        </w:tc>
      </w:tr>
      <w:tr w:rsidR="003501A1" w:rsidRPr="00A179AE" w14:paraId="6199B2A7" w14:textId="77777777" w:rsidTr="00DF7EB2">
        <w:trPr>
          <w:trHeight w:val="168"/>
        </w:trPr>
        <w:tc>
          <w:tcPr>
            <w:tcW w:w="9209"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14:paraId="7CABB05C" w14:textId="77777777" w:rsidR="0011267E" w:rsidRPr="00DF7EB2" w:rsidRDefault="007F0F79" w:rsidP="007B71A4">
            <w:pPr>
              <w:rPr>
                <w:rFonts w:ascii="Times" w:hAnsi="Times" w:cs="Times"/>
              </w:rPr>
            </w:pPr>
            <w:r w:rsidRPr="00702A8B">
              <w:rPr>
                <w:rFonts w:ascii="Times" w:hAnsi="Times" w:cs="Times"/>
              </w:rPr>
              <w:t xml:space="preserve">Doložka vplyvov bola vypracovaná v spolupráci so </w:t>
            </w:r>
            <w:r w:rsidR="00DF7EB2">
              <w:rPr>
                <w:rFonts w:ascii="Times" w:hAnsi="Times" w:cs="Times"/>
              </w:rPr>
              <w:t>ŠOP SR</w:t>
            </w:r>
            <w:r w:rsidRPr="00702A8B">
              <w:rPr>
                <w:rFonts w:ascii="Times" w:hAnsi="Times" w:cs="Times"/>
              </w:rPr>
              <w:t xml:space="preserve"> (marta.mutnanova@sopsr.sk).</w:t>
            </w:r>
            <w:r>
              <w:rPr>
                <w:rFonts w:ascii="Times" w:hAnsi="Times" w:cs="Times"/>
              </w:rPr>
              <w:t xml:space="preserve"> </w:t>
            </w:r>
          </w:p>
        </w:tc>
      </w:tr>
      <w:tr w:rsidR="003501A1" w:rsidRPr="00A179AE" w14:paraId="0463B36A" w14:textId="77777777" w:rsidTr="00184531">
        <w:tc>
          <w:tcPr>
            <w:tcW w:w="9209" w:type="dxa"/>
            <w:tcBorders>
              <w:top w:val="single" w:sz="4" w:space="0" w:color="auto"/>
              <w:left w:val="single" w:sz="4" w:space="0" w:color="auto"/>
              <w:bottom w:val="single" w:sz="4" w:space="0" w:color="FFFFFF" w:themeColor="background1"/>
              <w:right w:val="single" w:sz="4" w:space="0" w:color="auto"/>
            </w:tcBorders>
            <w:shd w:val="clear" w:color="auto" w:fill="E2E2E2"/>
          </w:tcPr>
          <w:p w14:paraId="6067ACF9" w14:textId="77777777"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 xml:space="preserve">Stanovisko </w:t>
            </w:r>
            <w:r>
              <w:rPr>
                <w:rFonts w:ascii="Times New Roman" w:hAnsi="Times New Roman" w:cs="Times New Roman"/>
                <w:b/>
              </w:rPr>
              <w:t>Komisie pre posudzovanie vybraných vplyvov</w:t>
            </w:r>
            <w:r w:rsidRPr="00A179AE">
              <w:rPr>
                <w:rFonts w:ascii="Times New Roman" w:hAnsi="Times New Roman" w:cs="Times New Roman"/>
                <w:b/>
              </w:rPr>
              <w:t xml:space="preserve"> z PPK</w:t>
            </w:r>
          </w:p>
        </w:tc>
      </w:tr>
      <w:tr w:rsidR="003501A1" w:rsidRPr="00A179AE" w14:paraId="4AAE9D69" w14:textId="77777777" w:rsidTr="00184531">
        <w:tc>
          <w:tcPr>
            <w:tcW w:w="9209"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14:paraId="5512D2DC" w14:textId="77777777" w:rsidR="003501A1" w:rsidRDefault="00950CAF" w:rsidP="00950CAF">
            <w:pPr>
              <w:jc w:val="both"/>
              <w:rPr>
                <w:bCs/>
              </w:rPr>
            </w:pPr>
            <w:r>
              <w:rPr>
                <w:bCs/>
              </w:rPr>
              <w:t xml:space="preserve">Stála pracovná komisia pre posudzovanie vybraných vplyvov v stanovisku č. 139/2020 zo dňa 29.10.2020 uplatnila k materiálu zásadné pripomienky: </w:t>
            </w:r>
          </w:p>
          <w:p w14:paraId="2A93EC40" w14:textId="77777777" w:rsidR="00950CAF" w:rsidRDefault="00950CAF" w:rsidP="00E8660C">
            <w:pPr>
              <w:rPr>
                <w:bCs/>
              </w:rPr>
            </w:pPr>
          </w:p>
          <w:p w14:paraId="0E74200D" w14:textId="77777777" w:rsidR="00950CAF" w:rsidRPr="00950CAF" w:rsidRDefault="00950CAF" w:rsidP="00950CAF">
            <w:pPr>
              <w:jc w:val="both"/>
              <w:rPr>
                <w:b/>
              </w:rPr>
            </w:pPr>
            <w:r w:rsidRPr="00950CAF">
              <w:rPr>
                <w:b/>
              </w:rPr>
              <w:t>K analýze vplyvov na rozpočet verejnej správy</w:t>
            </w:r>
          </w:p>
          <w:p w14:paraId="4585B7FA" w14:textId="161131F4" w:rsidR="00950CAF" w:rsidRDefault="00950CAF" w:rsidP="00950CAF">
            <w:pPr>
              <w:jc w:val="both"/>
              <w:rPr>
                <w:bCs/>
              </w:rPr>
            </w:pPr>
            <w:r w:rsidRPr="00950CAF">
              <w:rPr>
                <w:bCs/>
              </w:rPr>
              <w:t>Predkladateľ vo vypracovanej doložke vybraných vplyvov označil vplyvy materiálu ako negatívne a rozpočtovo zabezpečené len čiastočne. Uvedené konštatovanie nie je v súlade s vypracovanou analýzou vplyvov na rozpočet verejnej správy, z ktorej vyplýva, že všetky vplyvy materiálu sú zabezpečené v rozpočtoch kapitol MŽP SR a MV SR. Z uvedeného dôvodu žiada Komisia v časti 9. Vplyvy navrhovaného materiálu doložky vybraných vplyvov označiť vplyvy materiálu na rozpočet verejnej správy ako rozpočtovo zabezpečené v plnej miere (možnosť „áno“).</w:t>
            </w:r>
          </w:p>
          <w:p w14:paraId="2CB625A6" w14:textId="0CB5311C" w:rsidR="00AA4CC9" w:rsidRDefault="00AA4CC9" w:rsidP="00950CAF">
            <w:pPr>
              <w:jc w:val="both"/>
              <w:rPr>
                <w:bCs/>
              </w:rPr>
            </w:pPr>
          </w:p>
          <w:p w14:paraId="1E29AE4E" w14:textId="726A464A" w:rsidR="00AA4CC9" w:rsidRDefault="00AA4CC9" w:rsidP="00950CAF">
            <w:pPr>
              <w:jc w:val="both"/>
              <w:rPr>
                <w:bCs/>
              </w:rPr>
            </w:pPr>
            <w:r w:rsidRPr="00AA4CC9">
              <w:rPr>
                <w:bCs/>
              </w:rPr>
              <w:t xml:space="preserve">Konštatovanie uvedené v časti 2.2.4. Výpočty vplyvov na verejné financie analýzy vplyvov na rozpočet verejnej správy, že v prípade výskytu inváznych druhov rastlín v lesných porastoch chráneného areálu Ostrovné lúčky je potrebné na ich odstraňovanie vynaložiť finančné náklady vo výške 500 – 1 500 </w:t>
            </w:r>
            <w:r w:rsidRPr="007C6975">
              <w:rPr>
                <w:bCs/>
              </w:rPr>
              <w:t>EUR na hektár v závislosti</w:t>
            </w:r>
            <w:r w:rsidRPr="00AA4CC9">
              <w:rPr>
                <w:bCs/>
              </w:rPr>
              <w:t xml:space="preserve"> od množstva zaznamenaných druhov inváznych drevín, žiada Komisia zosúladiť so sumami uvádzanými v príslušných tabuľkách a s konštatovaním v časti 2.1.1. Financovanie návrhu (V prípade výskytu nepôvodných inváznych druhov je na ich odstraňovanie potrebná suma 1 000 EUR v rokoch 2021 – 2023) analýzy vplyvov na rozpočet verejnej správy</w:t>
            </w:r>
            <w:r>
              <w:rPr>
                <w:bCs/>
              </w:rPr>
              <w:t>.</w:t>
            </w:r>
          </w:p>
          <w:p w14:paraId="3C2001EB" w14:textId="77777777" w:rsidR="0031034D" w:rsidRDefault="0031034D" w:rsidP="00950CAF">
            <w:pPr>
              <w:jc w:val="both"/>
              <w:rPr>
                <w:bCs/>
              </w:rPr>
            </w:pPr>
          </w:p>
          <w:p w14:paraId="78DF5517" w14:textId="1D457AFB" w:rsidR="0031034D" w:rsidRPr="0031034D" w:rsidRDefault="0031034D" w:rsidP="0031034D">
            <w:pPr>
              <w:jc w:val="both"/>
              <w:rPr>
                <w:bCs/>
              </w:rPr>
            </w:pPr>
            <w:r w:rsidRPr="0031034D">
              <w:rPr>
                <w:bCs/>
              </w:rPr>
              <w:t xml:space="preserve">Stála pracovná komisia na posudzovanie vybraných vplyvov vyjadruje </w:t>
            </w:r>
            <w:r w:rsidRPr="00AA4CC9">
              <w:rPr>
                <w:b/>
              </w:rPr>
              <w:t>nesúhlasné stanovisko</w:t>
            </w:r>
            <w:r>
              <w:rPr>
                <w:bCs/>
              </w:rPr>
              <w:t xml:space="preserve"> </w:t>
            </w:r>
            <w:r w:rsidRPr="0031034D">
              <w:rPr>
                <w:bCs/>
              </w:rPr>
              <w:t>s materiálom predloženým na predbežné pripomienkové konanie.</w:t>
            </w:r>
          </w:p>
          <w:p w14:paraId="67F32390" w14:textId="77777777" w:rsidR="0031034D" w:rsidRDefault="0031034D" w:rsidP="0031034D">
            <w:pPr>
              <w:jc w:val="both"/>
              <w:rPr>
                <w:bCs/>
              </w:rPr>
            </w:pPr>
          </w:p>
          <w:p w14:paraId="13D7D57F" w14:textId="07BFE64F" w:rsidR="0031034D" w:rsidRPr="0031034D" w:rsidRDefault="0031034D" w:rsidP="0031034D">
            <w:pPr>
              <w:jc w:val="both"/>
              <w:rPr>
                <w:bCs/>
              </w:rPr>
            </w:pPr>
            <w:r w:rsidRPr="00AA4CC9">
              <w:rPr>
                <w:b/>
              </w:rPr>
              <w:t>Poznámka</w:t>
            </w:r>
            <w:r w:rsidRPr="0031034D">
              <w:rPr>
                <w:bCs/>
              </w:rPr>
              <w:t>: Predkladateľ zapracuje pripomienky a odporúčania na úpravu uvedené v bode II a uvedie stanovisko Komisie do doložky vybraných vplyvov spolu s vyhodnotením pripomienok.</w:t>
            </w:r>
          </w:p>
          <w:p w14:paraId="051B8E14" w14:textId="77777777" w:rsidR="0031034D" w:rsidRPr="0031034D" w:rsidRDefault="0031034D" w:rsidP="0031034D">
            <w:pPr>
              <w:jc w:val="both"/>
              <w:rPr>
                <w:bCs/>
              </w:rPr>
            </w:pPr>
          </w:p>
          <w:p w14:paraId="5E291D1B" w14:textId="77777777" w:rsidR="0031034D" w:rsidRDefault="0031034D" w:rsidP="0031034D">
            <w:pPr>
              <w:jc w:val="both"/>
              <w:rPr>
                <w:bCs/>
              </w:rPr>
            </w:pPr>
            <w:r w:rsidRPr="0031034D">
              <w:rPr>
                <w:bCs/>
              </w:rPr>
              <w:t>Nesúhlasné stanovisko Komisie neznamená zastavenie ďalšieho schvaľovacieho procesu. Stanovisko Komisie slúži ako podklad pre informované rozhodovanie vlády Slovenskej republiky a ďalších subjektov v rámci schvaľovacieho procesu. Predkladateľ má možnosť dopracovať materiál podľa pripomienok a zaslať ho na opätovné schválenie Komisie, ktorá môže následne zmeniť svoje stanovisko.</w:t>
            </w:r>
          </w:p>
          <w:p w14:paraId="4FE9CA7B" w14:textId="77777777" w:rsidR="00AA4CC9" w:rsidRDefault="00AA4CC9" w:rsidP="0031034D">
            <w:pPr>
              <w:jc w:val="both"/>
              <w:rPr>
                <w:bCs/>
              </w:rPr>
            </w:pPr>
          </w:p>
          <w:p w14:paraId="7FE68CA5" w14:textId="72176EE8" w:rsidR="00C70D68" w:rsidRPr="00950CAF" w:rsidRDefault="00AA4CC9" w:rsidP="008B1D34">
            <w:pPr>
              <w:jc w:val="both"/>
              <w:rPr>
                <w:bCs/>
              </w:rPr>
            </w:pPr>
            <w:r w:rsidRPr="007C6975">
              <w:rPr>
                <w:b/>
                <w:bCs/>
              </w:rPr>
              <w:t>Stanovisko MŽP SR</w:t>
            </w:r>
            <w:r w:rsidRPr="007C6975">
              <w:rPr>
                <w:bCs/>
              </w:rPr>
              <w:t xml:space="preserve"> – MŽP SR čiastočne akceptovalo pripomienku a to tak, že v Doložke vybraných vplyvov v časti 9. Vplyvy navrhovaného materiálu označilo vplyvy na rozpočet verejnej správy ako zabezpečené. </w:t>
            </w:r>
            <w:r w:rsidR="00C70D68" w:rsidRPr="007C6975">
              <w:rPr>
                <w:bCs/>
              </w:rPr>
              <w:t xml:space="preserve">MŽP SR zároveň upravilo financie v tabuľke č. 1 v Analýze vplyvov na rozpočet verejnej správy, na zamestnanosť vo verejnej správe a financovanie návrhu tak, že vypustilo sumu 1 000 EUR potrebnú na odstraňovanie inváznych </w:t>
            </w:r>
            <w:r w:rsidR="00C70D68" w:rsidRPr="007C6975">
              <w:rPr>
                <w:bCs/>
              </w:rPr>
              <w:lastRenderedPageBreak/>
              <w:t xml:space="preserve">nepôvodných druhov, nakoľko </w:t>
            </w:r>
            <w:r w:rsidR="00A42B3E" w:rsidRPr="007C6975">
              <w:rPr>
                <w:bCs/>
              </w:rPr>
              <w:t xml:space="preserve">ide </w:t>
            </w:r>
            <w:r w:rsidR="00C70D68" w:rsidRPr="007C6975">
              <w:rPr>
                <w:bCs/>
              </w:rPr>
              <w:t xml:space="preserve">len o potenciálne výdavky (v prípade, ak sa nepôvodné invázne druhy v CHA Ostrovné lúčky </w:t>
            </w:r>
            <w:r w:rsidR="008B1D34" w:rsidRPr="007C6975">
              <w:rPr>
                <w:bCs/>
              </w:rPr>
              <w:t>vyskytnú</w:t>
            </w:r>
            <w:r w:rsidR="00C70D68" w:rsidRPr="007C6975">
              <w:rPr>
                <w:bCs/>
              </w:rPr>
              <w:t>).</w:t>
            </w:r>
            <w:r w:rsidR="00C70D68">
              <w:rPr>
                <w:bCs/>
              </w:rPr>
              <w:t xml:space="preserve"> </w:t>
            </w:r>
          </w:p>
        </w:tc>
      </w:tr>
    </w:tbl>
    <w:p w14:paraId="27D9AE92" w14:textId="77777777" w:rsidR="003501A1" w:rsidRDefault="003501A1" w:rsidP="003501A1">
      <w:pPr>
        <w:rPr>
          <w:b/>
        </w:rPr>
      </w:pPr>
    </w:p>
    <w:p w14:paraId="650AE051" w14:textId="77777777" w:rsidR="003501A1" w:rsidRDefault="003501A1" w:rsidP="003501A1">
      <w:pPr>
        <w:rPr>
          <w:b/>
        </w:rPr>
      </w:pPr>
    </w:p>
    <w:p w14:paraId="6D4C75FD" w14:textId="77777777" w:rsidR="00CB3623" w:rsidRDefault="00CB3623"/>
    <w:sectPr w:rsidR="00CB3623" w:rsidSect="004C60B8">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6C1B6E" w14:textId="77777777" w:rsidR="00E45F6D" w:rsidRDefault="00E45F6D" w:rsidP="003501A1">
      <w:r>
        <w:separator/>
      </w:r>
    </w:p>
  </w:endnote>
  <w:endnote w:type="continuationSeparator" w:id="0">
    <w:p w14:paraId="12E6A759" w14:textId="77777777" w:rsidR="00E45F6D" w:rsidRDefault="00E45F6D" w:rsidP="00350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altName w:val="Times"/>
    <w:panose1 w:val="02020603050405020304"/>
    <w:charset w:val="EE"/>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6471075"/>
      <w:docPartObj>
        <w:docPartGallery w:val="Page Numbers (Bottom of Page)"/>
        <w:docPartUnique/>
      </w:docPartObj>
    </w:sdtPr>
    <w:sdtEndPr/>
    <w:sdtContent>
      <w:p w14:paraId="664A6B70" w14:textId="5D6FF1A9" w:rsidR="008A147E" w:rsidRDefault="008A147E">
        <w:pPr>
          <w:pStyle w:val="Pta"/>
          <w:jc w:val="right"/>
        </w:pPr>
        <w:r>
          <w:fldChar w:fldCharType="begin"/>
        </w:r>
        <w:r>
          <w:instrText>PAGE   \* MERGEFORMAT</w:instrText>
        </w:r>
        <w:r>
          <w:fldChar w:fldCharType="separate"/>
        </w:r>
        <w:r w:rsidR="0052241A">
          <w:rPr>
            <w:noProof/>
          </w:rPr>
          <w:t>3</w:t>
        </w:r>
        <w:r>
          <w:fldChar w:fldCharType="end"/>
        </w:r>
      </w:p>
    </w:sdtContent>
  </w:sdt>
  <w:p w14:paraId="5008983B" w14:textId="77777777" w:rsidR="008A147E" w:rsidRDefault="008A147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4562E1" w14:textId="77777777" w:rsidR="00E45F6D" w:rsidRDefault="00E45F6D" w:rsidP="003501A1">
      <w:r>
        <w:separator/>
      </w:r>
    </w:p>
  </w:footnote>
  <w:footnote w:type="continuationSeparator" w:id="0">
    <w:p w14:paraId="0DA52C4C" w14:textId="77777777" w:rsidR="00E45F6D" w:rsidRDefault="00E45F6D" w:rsidP="003501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AAB22" w14:textId="77777777" w:rsidR="003501A1" w:rsidRPr="000A15AE" w:rsidRDefault="003501A1" w:rsidP="003501A1">
    <w:pPr>
      <w:pStyle w:val="Hlavika"/>
      <w:jc w:val="right"/>
      <w:rPr>
        <w:sz w:val="24"/>
        <w:szCs w:val="24"/>
      </w:rPr>
    </w:pPr>
    <w:r>
      <w:rPr>
        <w:sz w:val="24"/>
        <w:szCs w:val="24"/>
      </w:rPr>
      <w:t>Príloha č. 1</w:t>
    </w:r>
  </w:p>
  <w:p w14:paraId="7A7416A8" w14:textId="77777777" w:rsidR="003501A1" w:rsidRDefault="003501A1">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 w15:restartNumberingAfterBreak="0">
    <w:nsid w:val="7EEA22E8"/>
    <w:multiLevelType w:val="hybridMultilevel"/>
    <w:tmpl w:val="7BAAAC1E"/>
    <w:lvl w:ilvl="0" w:tplc="97C60E36">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A86"/>
    <w:rsid w:val="000226F1"/>
    <w:rsid w:val="00036A60"/>
    <w:rsid w:val="000D0CBA"/>
    <w:rsid w:val="00104F99"/>
    <w:rsid w:val="0011267E"/>
    <w:rsid w:val="00145919"/>
    <w:rsid w:val="00163992"/>
    <w:rsid w:val="00171DAA"/>
    <w:rsid w:val="00175FD8"/>
    <w:rsid w:val="00184531"/>
    <w:rsid w:val="001D0FCA"/>
    <w:rsid w:val="001D7BF2"/>
    <w:rsid w:val="00250490"/>
    <w:rsid w:val="0028074A"/>
    <w:rsid w:val="002C0886"/>
    <w:rsid w:val="0031034D"/>
    <w:rsid w:val="00344899"/>
    <w:rsid w:val="003501A1"/>
    <w:rsid w:val="0036633D"/>
    <w:rsid w:val="00395098"/>
    <w:rsid w:val="003F2E1E"/>
    <w:rsid w:val="00412E31"/>
    <w:rsid w:val="00424A55"/>
    <w:rsid w:val="004339A8"/>
    <w:rsid w:val="00447F24"/>
    <w:rsid w:val="00452B1E"/>
    <w:rsid w:val="0045465B"/>
    <w:rsid w:val="00485BBA"/>
    <w:rsid w:val="004B5C6B"/>
    <w:rsid w:val="004C1A80"/>
    <w:rsid w:val="004C60B8"/>
    <w:rsid w:val="004C794A"/>
    <w:rsid w:val="004F2E5B"/>
    <w:rsid w:val="004F6F1F"/>
    <w:rsid w:val="004F7D6F"/>
    <w:rsid w:val="0052241A"/>
    <w:rsid w:val="00546E41"/>
    <w:rsid w:val="00562B10"/>
    <w:rsid w:val="00570B48"/>
    <w:rsid w:val="005A5D7B"/>
    <w:rsid w:val="005A6308"/>
    <w:rsid w:val="005B5368"/>
    <w:rsid w:val="005B7A8D"/>
    <w:rsid w:val="005E3B94"/>
    <w:rsid w:val="00611AA7"/>
    <w:rsid w:val="00651F45"/>
    <w:rsid w:val="00683ED3"/>
    <w:rsid w:val="00684FD2"/>
    <w:rsid w:val="00694035"/>
    <w:rsid w:val="006973E1"/>
    <w:rsid w:val="006B0BCA"/>
    <w:rsid w:val="006C3B7D"/>
    <w:rsid w:val="00702A8B"/>
    <w:rsid w:val="00725D2D"/>
    <w:rsid w:val="0078081C"/>
    <w:rsid w:val="00790727"/>
    <w:rsid w:val="00791CFC"/>
    <w:rsid w:val="007B5423"/>
    <w:rsid w:val="007C6975"/>
    <w:rsid w:val="007D30CA"/>
    <w:rsid w:val="007D4F66"/>
    <w:rsid w:val="007D6C01"/>
    <w:rsid w:val="007F0F79"/>
    <w:rsid w:val="00816435"/>
    <w:rsid w:val="0083656C"/>
    <w:rsid w:val="00837930"/>
    <w:rsid w:val="00863282"/>
    <w:rsid w:val="008779E8"/>
    <w:rsid w:val="00881053"/>
    <w:rsid w:val="00893A9A"/>
    <w:rsid w:val="008A147E"/>
    <w:rsid w:val="008B01B9"/>
    <w:rsid w:val="008B1D34"/>
    <w:rsid w:val="008F171D"/>
    <w:rsid w:val="009055B1"/>
    <w:rsid w:val="00926D39"/>
    <w:rsid w:val="009301AF"/>
    <w:rsid w:val="00950CAF"/>
    <w:rsid w:val="00971E0C"/>
    <w:rsid w:val="00983D2F"/>
    <w:rsid w:val="009B1D23"/>
    <w:rsid w:val="009E01B0"/>
    <w:rsid w:val="00A147DC"/>
    <w:rsid w:val="00A42B3E"/>
    <w:rsid w:val="00A767C1"/>
    <w:rsid w:val="00AA4CC9"/>
    <w:rsid w:val="00AA4D3F"/>
    <w:rsid w:val="00AC2477"/>
    <w:rsid w:val="00AD2128"/>
    <w:rsid w:val="00AF2A0A"/>
    <w:rsid w:val="00B65A86"/>
    <w:rsid w:val="00BB340F"/>
    <w:rsid w:val="00BC5F8B"/>
    <w:rsid w:val="00BC7674"/>
    <w:rsid w:val="00C1030C"/>
    <w:rsid w:val="00C2108E"/>
    <w:rsid w:val="00C40359"/>
    <w:rsid w:val="00C70D68"/>
    <w:rsid w:val="00C777B5"/>
    <w:rsid w:val="00CA37CE"/>
    <w:rsid w:val="00CB2B6E"/>
    <w:rsid w:val="00CB3623"/>
    <w:rsid w:val="00CC57AE"/>
    <w:rsid w:val="00CE056D"/>
    <w:rsid w:val="00D13B6F"/>
    <w:rsid w:val="00D669AF"/>
    <w:rsid w:val="00D72982"/>
    <w:rsid w:val="00D75D35"/>
    <w:rsid w:val="00DB7020"/>
    <w:rsid w:val="00DC2FA0"/>
    <w:rsid w:val="00DC3B60"/>
    <w:rsid w:val="00DD0D9A"/>
    <w:rsid w:val="00DE04A9"/>
    <w:rsid w:val="00DE2A12"/>
    <w:rsid w:val="00DF3D04"/>
    <w:rsid w:val="00DF7EB2"/>
    <w:rsid w:val="00E13854"/>
    <w:rsid w:val="00E14F74"/>
    <w:rsid w:val="00E42CED"/>
    <w:rsid w:val="00E45328"/>
    <w:rsid w:val="00E45F6D"/>
    <w:rsid w:val="00E8660C"/>
    <w:rsid w:val="00EB59E3"/>
    <w:rsid w:val="00EC28E8"/>
    <w:rsid w:val="00ED413F"/>
    <w:rsid w:val="00F22831"/>
    <w:rsid w:val="00F442B0"/>
    <w:rsid w:val="00F62771"/>
    <w:rsid w:val="00FC2F37"/>
    <w:rsid w:val="00FC300E"/>
    <w:rsid w:val="00FC3A6E"/>
    <w:rsid w:val="00FF64D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247B8"/>
  <w15:docId w15:val="{68DAA522-6B1E-40FC-BF34-E3C65C31B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501A1"/>
    <w:pPr>
      <w:spacing w:after="0" w:line="240" w:lineRule="auto"/>
    </w:pPr>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3501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3501A1"/>
    <w:pPr>
      <w:spacing w:after="200" w:line="276" w:lineRule="auto"/>
      <w:ind w:left="720"/>
      <w:contextualSpacing/>
    </w:pPr>
    <w:rPr>
      <w:rFonts w:asciiTheme="minorHAnsi" w:eastAsiaTheme="minorHAnsi" w:hAnsiTheme="minorHAnsi" w:cstheme="minorBidi"/>
      <w:sz w:val="22"/>
      <w:szCs w:val="22"/>
      <w:lang w:eastAsia="en-US"/>
    </w:rPr>
  </w:style>
  <w:style w:type="paragraph" w:styleId="Textbubliny">
    <w:name w:val="Balloon Text"/>
    <w:basedOn w:val="Normlny"/>
    <w:link w:val="TextbublinyChar"/>
    <w:uiPriority w:val="99"/>
    <w:semiHidden/>
    <w:unhideWhenUsed/>
    <w:rsid w:val="003501A1"/>
    <w:rPr>
      <w:rFonts w:ascii="Tahoma" w:hAnsi="Tahoma" w:cs="Tahoma"/>
      <w:sz w:val="16"/>
      <w:szCs w:val="16"/>
    </w:rPr>
  </w:style>
  <w:style w:type="character" w:customStyle="1" w:styleId="TextbublinyChar">
    <w:name w:val="Text bubliny Char"/>
    <w:basedOn w:val="Predvolenpsmoodseku"/>
    <w:link w:val="Textbubliny"/>
    <w:uiPriority w:val="99"/>
    <w:semiHidden/>
    <w:rsid w:val="003501A1"/>
    <w:rPr>
      <w:rFonts w:ascii="Tahoma" w:eastAsia="Times New Roman" w:hAnsi="Tahoma" w:cs="Tahoma"/>
      <w:sz w:val="16"/>
      <w:szCs w:val="16"/>
      <w:lang w:eastAsia="sk-SK"/>
    </w:rPr>
  </w:style>
  <w:style w:type="paragraph" w:styleId="Hlavika">
    <w:name w:val="header"/>
    <w:basedOn w:val="Normlny"/>
    <w:link w:val="HlavikaChar"/>
    <w:uiPriority w:val="99"/>
    <w:unhideWhenUsed/>
    <w:rsid w:val="003501A1"/>
    <w:pPr>
      <w:tabs>
        <w:tab w:val="center" w:pos="4536"/>
        <w:tab w:val="right" w:pos="9072"/>
      </w:tabs>
    </w:pPr>
  </w:style>
  <w:style w:type="character" w:customStyle="1" w:styleId="HlavikaChar">
    <w:name w:val="Hlavička Char"/>
    <w:basedOn w:val="Predvolenpsmoodseku"/>
    <w:link w:val="Hlavika"/>
    <w:uiPriority w:val="99"/>
    <w:rsid w:val="003501A1"/>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3501A1"/>
    <w:pPr>
      <w:tabs>
        <w:tab w:val="center" w:pos="4536"/>
        <w:tab w:val="right" w:pos="9072"/>
      </w:tabs>
    </w:pPr>
  </w:style>
  <w:style w:type="character" w:customStyle="1" w:styleId="PtaChar">
    <w:name w:val="Päta Char"/>
    <w:basedOn w:val="Predvolenpsmoodseku"/>
    <w:link w:val="Pta"/>
    <w:uiPriority w:val="99"/>
    <w:rsid w:val="003501A1"/>
    <w:rPr>
      <w:rFonts w:ascii="Times New Roman" w:eastAsia="Times New Roman" w:hAnsi="Times New Roman" w:cs="Times New Roman"/>
      <w:sz w:val="20"/>
      <w:szCs w:val="20"/>
      <w:lang w:eastAsia="sk-SK"/>
    </w:rPr>
  </w:style>
  <w:style w:type="paragraph" w:styleId="Textpoznmkypodiarou">
    <w:name w:val="footnote text"/>
    <w:basedOn w:val="Normlny"/>
    <w:link w:val="TextpoznmkypodiarouChar"/>
    <w:uiPriority w:val="99"/>
    <w:semiHidden/>
    <w:unhideWhenUsed/>
    <w:rsid w:val="00F22831"/>
  </w:style>
  <w:style w:type="character" w:customStyle="1" w:styleId="TextpoznmkypodiarouChar">
    <w:name w:val="Text poznámky pod čiarou Char"/>
    <w:basedOn w:val="Predvolenpsmoodseku"/>
    <w:link w:val="Textpoznmkypodiarou"/>
    <w:uiPriority w:val="99"/>
    <w:semiHidden/>
    <w:rsid w:val="00F22831"/>
    <w:rPr>
      <w:rFonts w:ascii="Times New Roman" w:eastAsia="Times New Roman" w:hAnsi="Times New Roman" w:cs="Times New Roman"/>
      <w:sz w:val="20"/>
      <w:szCs w:val="20"/>
      <w:lang w:eastAsia="sk-SK"/>
    </w:rPr>
  </w:style>
  <w:style w:type="character" w:styleId="Odkaznapoznmkupodiarou">
    <w:name w:val="footnote reference"/>
    <w:basedOn w:val="Predvolenpsmoodseku"/>
    <w:uiPriority w:val="99"/>
    <w:semiHidden/>
    <w:unhideWhenUsed/>
    <w:rsid w:val="00F22831"/>
    <w:rPr>
      <w:vertAlign w:val="superscript"/>
    </w:rPr>
  </w:style>
  <w:style w:type="character" w:styleId="Odkaznakomentr">
    <w:name w:val="annotation reference"/>
    <w:basedOn w:val="Predvolenpsmoodseku"/>
    <w:uiPriority w:val="99"/>
    <w:semiHidden/>
    <w:unhideWhenUsed/>
    <w:rsid w:val="00175FD8"/>
    <w:rPr>
      <w:sz w:val="16"/>
      <w:szCs w:val="16"/>
    </w:rPr>
  </w:style>
  <w:style w:type="paragraph" w:styleId="Textkomentra">
    <w:name w:val="annotation text"/>
    <w:basedOn w:val="Normlny"/>
    <w:link w:val="TextkomentraChar"/>
    <w:uiPriority w:val="99"/>
    <w:semiHidden/>
    <w:unhideWhenUsed/>
    <w:rsid w:val="00175FD8"/>
  </w:style>
  <w:style w:type="character" w:customStyle="1" w:styleId="TextkomentraChar">
    <w:name w:val="Text komentára Char"/>
    <w:basedOn w:val="Predvolenpsmoodseku"/>
    <w:link w:val="Textkomentra"/>
    <w:uiPriority w:val="99"/>
    <w:semiHidden/>
    <w:rsid w:val="00175FD8"/>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175FD8"/>
    <w:rPr>
      <w:b/>
      <w:bCs/>
    </w:rPr>
  </w:style>
  <w:style w:type="character" w:customStyle="1" w:styleId="PredmetkomentraChar">
    <w:name w:val="Predmet komentára Char"/>
    <w:basedOn w:val="TextkomentraChar"/>
    <w:link w:val="Predmetkomentra"/>
    <w:uiPriority w:val="99"/>
    <w:semiHidden/>
    <w:rsid w:val="00175FD8"/>
    <w:rPr>
      <w:rFonts w:ascii="Times New Roman" w:eastAsia="Times New Roman" w:hAnsi="Times New Roman" w:cs="Times New Roman"/>
      <w:b/>
      <w:bCs/>
      <w:sz w:val="20"/>
      <w:szCs w:val="20"/>
      <w:lang w:eastAsia="sk-SK"/>
    </w:rPr>
  </w:style>
  <w:style w:type="character" w:styleId="Hypertextovprepojenie">
    <w:name w:val="Hyperlink"/>
    <w:basedOn w:val="Predvolenpsmoodseku"/>
    <w:uiPriority w:val="99"/>
    <w:unhideWhenUsed/>
    <w:rsid w:val="00926D39"/>
    <w:rPr>
      <w:color w:val="0000FF" w:themeColor="hyperlink"/>
      <w:u w:val="single"/>
    </w:rPr>
  </w:style>
  <w:style w:type="character" w:customStyle="1" w:styleId="Nevyrieenzmienka1">
    <w:name w:val="Nevyriešená zmienka1"/>
    <w:basedOn w:val="Predvolenpsmoodseku"/>
    <w:uiPriority w:val="99"/>
    <w:semiHidden/>
    <w:unhideWhenUsed/>
    <w:rsid w:val="00702A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9CEDE-9CB7-496F-AE62-153CB72C9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1813</Words>
  <Characters>10339</Characters>
  <Application>Microsoft Office Word</Application>
  <DocSecurity>0</DocSecurity>
  <Lines>86</Lines>
  <Paragraphs>24</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12128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Simoncicova Iveta</dc:creator>
  <cp:lastModifiedBy>Lojková Silvia</cp:lastModifiedBy>
  <cp:revision>4</cp:revision>
  <cp:lastPrinted>2021-01-13T10:40:00Z</cp:lastPrinted>
  <dcterms:created xsi:type="dcterms:W3CDTF">2021-01-13T10:28:00Z</dcterms:created>
  <dcterms:modified xsi:type="dcterms:W3CDTF">2021-01-13T10:40:00Z</dcterms:modified>
</cp:coreProperties>
</file>