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9328" w14:textId="77777777" w:rsidR="001A45EA" w:rsidRDefault="001A45EA" w:rsidP="001A45EA">
      <w:pPr>
        <w:spacing w:after="0" w:line="240" w:lineRule="auto"/>
        <w:jc w:val="center"/>
        <w:rPr>
          <w:rFonts w:ascii="Times New Roman" w:eastAsia="Times New Roman" w:hAnsi="Times New Roman" w:cs="Times New Roman"/>
          <w:b/>
          <w:bCs/>
          <w:color w:val="000000"/>
          <w:sz w:val="24"/>
          <w:szCs w:val="24"/>
          <w:lang w:eastAsia="sk-SK"/>
        </w:rPr>
      </w:pPr>
      <w:r w:rsidRPr="001A45EA">
        <w:rPr>
          <w:rFonts w:ascii="Times New Roman" w:eastAsia="Times New Roman" w:hAnsi="Times New Roman" w:cs="Times New Roman"/>
          <w:b/>
          <w:bCs/>
          <w:color w:val="000000"/>
          <w:sz w:val="24"/>
          <w:szCs w:val="24"/>
          <w:lang w:eastAsia="sk-SK"/>
        </w:rPr>
        <w:t>DOLOŽKA ZLUČITEĽNOSTI</w:t>
      </w:r>
    </w:p>
    <w:p w14:paraId="02BD412C" w14:textId="77777777" w:rsidR="003A68BE" w:rsidRPr="001A45EA" w:rsidRDefault="003A68BE" w:rsidP="001A45EA">
      <w:pPr>
        <w:spacing w:after="0" w:line="240" w:lineRule="auto"/>
        <w:jc w:val="center"/>
        <w:rPr>
          <w:rFonts w:ascii="Times New Roman" w:eastAsia="Times New Roman" w:hAnsi="Times New Roman" w:cs="Times New Roman"/>
          <w:color w:val="000000"/>
          <w:sz w:val="27"/>
          <w:szCs w:val="27"/>
          <w:lang w:eastAsia="sk-SK"/>
        </w:rPr>
      </w:pPr>
    </w:p>
    <w:p w14:paraId="3179EE15" w14:textId="77777777" w:rsidR="003A68BE" w:rsidRPr="00A338B7" w:rsidRDefault="001A45EA" w:rsidP="001A45EA">
      <w:pPr>
        <w:spacing w:after="0" w:line="240" w:lineRule="auto"/>
        <w:jc w:val="center"/>
        <w:rPr>
          <w:rFonts w:ascii="Times New Roman" w:eastAsia="Times New Roman" w:hAnsi="Times New Roman" w:cs="Times New Roman"/>
          <w:b/>
          <w:bCs/>
          <w:color w:val="000000"/>
          <w:sz w:val="24"/>
          <w:szCs w:val="24"/>
          <w:lang w:eastAsia="sk-SK"/>
        </w:rPr>
      </w:pPr>
      <w:r w:rsidRPr="00A338B7">
        <w:rPr>
          <w:rFonts w:ascii="Times New Roman" w:eastAsia="Times New Roman" w:hAnsi="Times New Roman" w:cs="Times New Roman"/>
          <w:b/>
          <w:bCs/>
          <w:color w:val="000000"/>
          <w:sz w:val="24"/>
          <w:szCs w:val="24"/>
          <w:lang w:eastAsia="sk-SK"/>
        </w:rPr>
        <w:t>návrhu zákona</w:t>
      </w:r>
      <w:r w:rsidR="00021528" w:rsidRPr="00A338B7">
        <w:rPr>
          <w:rFonts w:ascii="Times New Roman" w:eastAsia="Times New Roman" w:hAnsi="Times New Roman" w:cs="Times New Roman"/>
          <w:b/>
          <w:bCs/>
          <w:color w:val="000000"/>
          <w:sz w:val="24"/>
          <w:szCs w:val="24"/>
          <w:lang w:eastAsia="sk-SK"/>
        </w:rPr>
        <w:t xml:space="preserve"> </w:t>
      </w:r>
    </w:p>
    <w:p w14:paraId="2DAF5ED8" w14:textId="77777777" w:rsidR="001A45EA" w:rsidRDefault="001A45EA" w:rsidP="001A45EA">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sk-SK"/>
        </w:rPr>
      </w:pPr>
      <w:r w:rsidRPr="00A338B7">
        <w:rPr>
          <w:rFonts w:ascii="Times New Roman" w:eastAsia="Times New Roman" w:hAnsi="Times New Roman" w:cs="Times New Roman"/>
          <w:b/>
          <w:bCs/>
          <w:color w:val="000000"/>
          <w:sz w:val="24"/>
          <w:szCs w:val="24"/>
          <w:lang w:eastAsia="sk-SK"/>
        </w:rPr>
        <w:t>s právom Európskej únie</w:t>
      </w:r>
    </w:p>
    <w:p w14:paraId="3BD64C53" w14:textId="77777777" w:rsidR="001A45EA" w:rsidRDefault="001A45EA" w:rsidP="001A45EA">
      <w:pPr>
        <w:spacing w:after="0" w:line="240" w:lineRule="auto"/>
        <w:rPr>
          <w:rFonts w:ascii="Times New Roman" w:eastAsia="Times New Roman" w:hAnsi="Times New Roman" w:cs="Times New Roman"/>
          <w:color w:val="000000"/>
          <w:sz w:val="27"/>
          <w:szCs w:val="27"/>
          <w:lang w:eastAsia="sk-SK"/>
        </w:rPr>
      </w:pPr>
    </w:p>
    <w:p w14:paraId="273AED69" w14:textId="77777777" w:rsidR="00703A5A" w:rsidRPr="001A45EA" w:rsidRDefault="00703A5A" w:rsidP="001A45EA">
      <w:pPr>
        <w:spacing w:after="0" w:line="240" w:lineRule="auto"/>
        <w:rPr>
          <w:rFonts w:ascii="Times New Roman" w:eastAsia="Times New Roman" w:hAnsi="Times New Roman" w:cs="Times New Roman"/>
          <w:color w:val="000000"/>
          <w:sz w:val="27"/>
          <w:szCs w:val="27"/>
          <w:lang w:eastAsia="sk-SK"/>
        </w:rPr>
      </w:pPr>
    </w:p>
    <w:p w14:paraId="1AB2A625" w14:textId="77777777" w:rsidR="001A45EA" w:rsidRPr="001A45EA"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Navrhovateľ</w:t>
      </w:r>
      <w:r w:rsidRPr="001A45EA">
        <w:rPr>
          <w:rFonts w:ascii="Times New Roman" w:eastAsia="Times New Roman" w:hAnsi="Times New Roman" w:cs="Times New Roman"/>
          <w:b/>
          <w:bCs/>
          <w:color w:val="000000"/>
          <w:sz w:val="24"/>
          <w:szCs w:val="24"/>
          <w:lang w:eastAsia="sk-SK"/>
        </w:rPr>
        <w:t xml:space="preserve"> zákona:</w:t>
      </w:r>
    </w:p>
    <w:p w14:paraId="529C9A7A" w14:textId="77777777" w:rsidR="001A45EA" w:rsidRDefault="00B77702" w:rsidP="001A45EA">
      <w:pPr>
        <w:spacing w:after="0" w:line="240" w:lineRule="auto"/>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Vláda</w:t>
      </w:r>
      <w:r w:rsidR="001A45EA" w:rsidRPr="00A338B7">
        <w:rPr>
          <w:rFonts w:ascii="Times New Roman" w:eastAsia="Times New Roman" w:hAnsi="Times New Roman" w:cs="Times New Roman"/>
          <w:color w:val="000000"/>
          <w:sz w:val="24"/>
          <w:szCs w:val="24"/>
          <w:lang w:eastAsia="sk-SK"/>
        </w:rPr>
        <w:t xml:space="preserve"> S</w:t>
      </w:r>
      <w:r w:rsidR="001A45EA">
        <w:rPr>
          <w:rFonts w:ascii="Times New Roman" w:eastAsia="Times New Roman" w:hAnsi="Times New Roman" w:cs="Times New Roman"/>
          <w:color w:val="000000"/>
          <w:sz w:val="24"/>
          <w:szCs w:val="24"/>
          <w:lang w:eastAsia="sk-SK"/>
        </w:rPr>
        <w:t>lovenskej republiky</w:t>
      </w:r>
      <w:r>
        <w:rPr>
          <w:rFonts w:ascii="Times New Roman" w:eastAsia="Times New Roman" w:hAnsi="Times New Roman" w:cs="Times New Roman"/>
          <w:color w:val="000000"/>
          <w:sz w:val="24"/>
          <w:szCs w:val="24"/>
          <w:lang w:eastAsia="sk-SK"/>
        </w:rPr>
        <w:t>.</w:t>
      </w:r>
    </w:p>
    <w:p w14:paraId="5CDF2DA2" w14:textId="77777777" w:rsidR="00703A5A" w:rsidRPr="001A45EA" w:rsidRDefault="00703A5A" w:rsidP="001A45EA">
      <w:pPr>
        <w:spacing w:after="0" w:line="240" w:lineRule="auto"/>
        <w:rPr>
          <w:rFonts w:ascii="Times New Roman" w:eastAsia="Times New Roman" w:hAnsi="Times New Roman" w:cs="Times New Roman"/>
          <w:color w:val="000000"/>
          <w:sz w:val="27"/>
          <w:szCs w:val="27"/>
          <w:lang w:eastAsia="sk-SK"/>
        </w:rPr>
      </w:pPr>
    </w:p>
    <w:p w14:paraId="78E68E98" w14:textId="77777777" w:rsidR="001A45EA" w:rsidRPr="001A45EA"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Názov návrhu</w:t>
      </w:r>
      <w:r w:rsidRPr="001A45EA">
        <w:rPr>
          <w:rFonts w:ascii="Times New Roman" w:eastAsia="Times New Roman" w:hAnsi="Times New Roman" w:cs="Times New Roman"/>
          <w:b/>
          <w:bCs/>
          <w:color w:val="000000"/>
          <w:sz w:val="24"/>
          <w:szCs w:val="24"/>
          <w:lang w:eastAsia="sk-SK"/>
        </w:rPr>
        <w:t xml:space="preserve"> zákona:</w:t>
      </w:r>
    </w:p>
    <w:p w14:paraId="3FF948E4" w14:textId="77777777" w:rsidR="00703A5A" w:rsidRDefault="001A45EA" w:rsidP="00B9033B">
      <w:pPr>
        <w:spacing w:after="0" w:line="240" w:lineRule="auto"/>
        <w:jc w:val="both"/>
        <w:rPr>
          <w:rFonts w:ascii="Times New Roman" w:eastAsia="Times New Roman" w:hAnsi="Times New Roman" w:cs="Times New Roman"/>
          <w:color w:val="000000"/>
          <w:sz w:val="24"/>
          <w:szCs w:val="24"/>
          <w:lang w:eastAsia="sk-SK"/>
        </w:rPr>
      </w:pPr>
      <w:r w:rsidRPr="001A45EA">
        <w:rPr>
          <w:rFonts w:ascii="Times New Roman" w:eastAsia="Times New Roman" w:hAnsi="Times New Roman" w:cs="Times New Roman"/>
          <w:color w:val="000000"/>
          <w:sz w:val="24"/>
          <w:szCs w:val="24"/>
          <w:lang w:eastAsia="sk-SK"/>
        </w:rPr>
        <w:t>Návrh</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zákona,</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ktorým</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sa</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mení</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pacing w:val="51"/>
          <w:sz w:val="24"/>
          <w:szCs w:val="24"/>
          <w:lang w:eastAsia="sk-SK"/>
        </w:rPr>
        <w:t> </w:t>
      </w:r>
      <w:r w:rsidRPr="001A45EA">
        <w:rPr>
          <w:rFonts w:ascii="Times New Roman" w:eastAsia="Times New Roman" w:hAnsi="Times New Roman" w:cs="Times New Roman"/>
          <w:color w:val="000000"/>
          <w:sz w:val="24"/>
          <w:szCs w:val="24"/>
          <w:lang w:eastAsia="sk-SK"/>
        </w:rPr>
        <w:t>dopĺňa</w:t>
      </w:r>
      <w:r>
        <w:rPr>
          <w:rFonts w:ascii="Times New Roman" w:eastAsia="Times New Roman" w:hAnsi="Times New Roman" w:cs="Times New Roman"/>
          <w:color w:val="000000"/>
          <w:sz w:val="24"/>
          <w:szCs w:val="24"/>
          <w:lang w:eastAsia="sk-SK"/>
        </w:rPr>
        <w:t xml:space="preserve"> </w:t>
      </w:r>
      <w:r w:rsidRPr="001A45EA">
        <w:rPr>
          <w:rFonts w:ascii="Times New Roman" w:eastAsia="Times New Roman" w:hAnsi="Times New Roman" w:cs="Times New Roman"/>
          <w:color w:val="000000"/>
          <w:sz w:val="24"/>
          <w:szCs w:val="24"/>
          <w:lang w:eastAsia="sk-SK"/>
        </w:rPr>
        <w:t>zákon</w:t>
      </w:r>
      <w:r w:rsidRPr="001A45EA">
        <w:rPr>
          <w:rFonts w:ascii="Times New Roman" w:eastAsia="Times New Roman" w:hAnsi="Times New Roman" w:cs="Times New Roman"/>
          <w:color w:val="000000"/>
          <w:spacing w:val="51"/>
          <w:sz w:val="24"/>
          <w:szCs w:val="24"/>
          <w:lang w:eastAsia="sk-SK"/>
        </w:rPr>
        <w:t xml:space="preserve"> </w:t>
      </w:r>
      <w:r w:rsidRPr="001A45EA">
        <w:rPr>
          <w:rFonts w:ascii="Times New Roman" w:eastAsia="Times New Roman" w:hAnsi="Times New Roman" w:cs="Times New Roman"/>
          <w:color w:val="000000"/>
          <w:sz w:val="24"/>
          <w:szCs w:val="24"/>
          <w:lang w:eastAsia="sk-SK"/>
        </w:rPr>
        <w:t xml:space="preserve">č. </w:t>
      </w:r>
      <w:r w:rsidR="00B9033B">
        <w:rPr>
          <w:rFonts w:ascii="Times New Roman" w:eastAsia="Times New Roman" w:hAnsi="Times New Roman" w:cs="Times New Roman"/>
          <w:color w:val="000000"/>
          <w:sz w:val="24"/>
          <w:szCs w:val="24"/>
          <w:lang w:eastAsia="sk-SK"/>
        </w:rPr>
        <w:t>566</w:t>
      </w:r>
      <w:r w:rsidRPr="001A45EA">
        <w:rPr>
          <w:rFonts w:ascii="Times New Roman" w:eastAsia="Times New Roman" w:hAnsi="Times New Roman" w:cs="Times New Roman"/>
          <w:color w:val="000000"/>
          <w:sz w:val="24"/>
          <w:szCs w:val="24"/>
          <w:lang w:eastAsia="sk-SK"/>
        </w:rPr>
        <w:t>/2001 Z. z.</w:t>
      </w:r>
      <w:r w:rsidRPr="001A45EA">
        <w:rPr>
          <w:rFonts w:ascii="Times New Roman" w:eastAsia="Times New Roman" w:hAnsi="Times New Roman" w:cs="Times New Roman"/>
          <w:color w:val="000000"/>
          <w:spacing w:val="51"/>
          <w:sz w:val="24"/>
          <w:szCs w:val="24"/>
          <w:lang w:eastAsia="sk-SK"/>
        </w:rPr>
        <w:t xml:space="preserve"> </w:t>
      </w:r>
      <w:r w:rsidR="00B9033B" w:rsidRPr="00B9033B">
        <w:rPr>
          <w:rFonts w:ascii="Times New Roman" w:eastAsia="Times New Roman" w:hAnsi="Times New Roman" w:cs="Times New Roman"/>
          <w:color w:val="000000"/>
          <w:sz w:val="24"/>
          <w:szCs w:val="24"/>
          <w:lang w:eastAsia="sk-SK"/>
        </w:rPr>
        <w:t>o cenných papieroch a investičných službách a o zmene a doplnení niektorých zákonov (zákon o cenných papieroch) a ktorým sa menia a dopĺňajú niektoré zákony</w:t>
      </w:r>
      <w:r w:rsidR="00B77702">
        <w:rPr>
          <w:rFonts w:ascii="Times New Roman" w:eastAsia="Times New Roman" w:hAnsi="Times New Roman" w:cs="Times New Roman"/>
          <w:color w:val="000000"/>
          <w:sz w:val="24"/>
          <w:szCs w:val="24"/>
          <w:lang w:eastAsia="sk-SK"/>
        </w:rPr>
        <w:t>.</w:t>
      </w:r>
    </w:p>
    <w:p w14:paraId="596E2D6A" w14:textId="77777777" w:rsidR="00B9033B" w:rsidRPr="001A45EA" w:rsidRDefault="00B9033B" w:rsidP="00B9033B">
      <w:pPr>
        <w:spacing w:after="0" w:line="240" w:lineRule="auto"/>
        <w:jc w:val="both"/>
        <w:rPr>
          <w:rFonts w:ascii="Times New Roman" w:eastAsia="Times New Roman" w:hAnsi="Times New Roman" w:cs="Times New Roman"/>
          <w:color w:val="000000"/>
          <w:sz w:val="27"/>
          <w:szCs w:val="27"/>
          <w:lang w:eastAsia="sk-SK"/>
        </w:rPr>
      </w:pPr>
    </w:p>
    <w:p w14:paraId="72D12C7F" w14:textId="77777777" w:rsidR="001A45EA" w:rsidRPr="001A45EA"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Predmet návrhu</w:t>
      </w:r>
      <w:r w:rsidRPr="001A45EA">
        <w:rPr>
          <w:rFonts w:ascii="Times New Roman" w:eastAsia="Times New Roman" w:hAnsi="Times New Roman" w:cs="Times New Roman"/>
          <w:b/>
          <w:bCs/>
          <w:color w:val="000000"/>
          <w:sz w:val="24"/>
          <w:szCs w:val="24"/>
          <w:lang w:eastAsia="sk-SK"/>
        </w:rPr>
        <w:t xml:space="preserve"> zákona</w:t>
      </w:r>
      <w:r>
        <w:rPr>
          <w:rFonts w:ascii="Times New Roman" w:eastAsia="Times New Roman" w:hAnsi="Times New Roman" w:cs="Times New Roman"/>
          <w:b/>
          <w:bCs/>
          <w:color w:val="000000"/>
          <w:sz w:val="24"/>
          <w:szCs w:val="24"/>
          <w:lang w:eastAsia="sk-SK"/>
        </w:rPr>
        <w:t xml:space="preserve"> je upravený v práve Európskej únie</w:t>
      </w:r>
      <w:r w:rsidRPr="001A45EA">
        <w:rPr>
          <w:rFonts w:ascii="Times New Roman" w:eastAsia="Times New Roman" w:hAnsi="Times New Roman" w:cs="Times New Roman"/>
          <w:b/>
          <w:bCs/>
          <w:color w:val="000000"/>
          <w:sz w:val="24"/>
          <w:szCs w:val="24"/>
          <w:lang w:eastAsia="sk-SK"/>
        </w:rPr>
        <w:t>:</w:t>
      </w:r>
    </w:p>
    <w:p w14:paraId="5DA5010A" w14:textId="77777777" w:rsidR="001A45EA" w:rsidRPr="001A45EA" w:rsidRDefault="001A45EA" w:rsidP="001A45EA">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primárnom práve</w:t>
      </w:r>
    </w:p>
    <w:p w14:paraId="1E25D50C" w14:textId="1EF105FB" w:rsidR="001A45EA" w:rsidRPr="00A338B7" w:rsidRDefault="001A45EA" w:rsidP="008545C6">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9D6F4B">
        <w:rPr>
          <w:rFonts w:ascii="Times New Roman" w:eastAsia="Times New Roman" w:hAnsi="Times New Roman" w:cs="Times New Roman"/>
          <w:color w:val="000000"/>
          <w:sz w:val="24"/>
          <w:szCs w:val="24"/>
          <w:lang w:eastAsia="sk-SK"/>
        </w:rPr>
        <w:t xml:space="preserve">čl. </w:t>
      </w:r>
      <w:r w:rsidR="009D6F4B" w:rsidRPr="009D6F4B">
        <w:rPr>
          <w:rFonts w:ascii="Times New Roman" w:eastAsia="Times New Roman" w:hAnsi="Times New Roman" w:cs="Times New Roman"/>
          <w:color w:val="000000"/>
          <w:sz w:val="24"/>
          <w:szCs w:val="24"/>
          <w:lang w:eastAsia="sk-SK"/>
        </w:rPr>
        <w:t xml:space="preserve">3 ods. 1 písm. b), čl. 4, čl. 26 </w:t>
      </w:r>
      <w:r w:rsidR="009D6F4B" w:rsidRPr="00A338B7">
        <w:rPr>
          <w:rFonts w:ascii="Times New Roman" w:eastAsia="Times New Roman" w:hAnsi="Times New Roman" w:cs="Times New Roman"/>
          <w:color w:val="000000"/>
          <w:sz w:val="24"/>
          <w:szCs w:val="24"/>
          <w:lang w:eastAsia="sk-SK"/>
        </w:rPr>
        <w:t xml:space="preserve">ods. 2, čl. </w:t>
      </w:r>
      <w:r w:rsidR="00725E46" w:rsidRPr="00A338B7">
        <w:rPr>
          <w:rFonts w:ascii="Times New Roman" w:eastAsia="Times New Roman" w:hAnsi="Times New Roman" w:cs="Times New Roman"/>
          <w:color w:val="000000"/>
          <w:sz w:val="24"/>
          <w:szCs w:val="24"/>
          <w:lang w:eastAsia="sk-SK"/>
        </w:rPr>
        <w:t>54</w:t>
      </w:r>
      <w:r w:rsidR="009D6F4B"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až 66 Zmluvy o fungovaní Európskej únie</w:t>
      </w:r>
      <w:r w:rsidR="00D31A90" w:rsidRPr="00A338B7">
        <w:rPr>
          <w:rFonts w:ascii="Times New Roman" w:hAnsi="Times New Roman" w:cs="Times New Roman"/>
          <w:sz w:val="24"/>
          <w:szCs w:val="24"/>
        </w:rPr>
        <w:t xml:space="preserve"> (Ú. v. EÚ C 202, 7.6. 2016) v platnom znení,</w:t>
      </w:r>
    </w:p>
    <w:p w14:paraId="2C6ADCDE" w14:textId="35F77F7B" w:rsidR="00D31A90" w:rsidRPr="00A338B7" w:rsidRDefault="002C76C3" w:rsidP="008545C6">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hAnsi="Times New Roman" w:cs="Times New Roman"/>
          <w:sz w:val="24"/>
          <w:szCs w:val="24"/>
        </w:rPr>
        <w:t xml:space="preserve">Protokol č. 4 o Štatúte Európskeho systému centrálnych bánk a Európskej centrálnej banky pripojený k </w:t>
      </w:r>
      <w:r w:rsidRPr="00A338B7">
        <w:rPr>
          <w:rFonts w:ascii="Times New Roman" w:eastAsia="Times New Roman" w:hAnsi="Times New Roman" w:cs="Times New Roman"/>
          <w:color w:val="000000"/>
          <w:sz w:val="24"/>
          <w:szCs w:val="24"/>
          <w:lang w:eastAsia="sk-SK"/>
        </w:rPr>
        <w:t xml:space="preserve">Zmluve o fungovaní Európskej únie </w:t>
      </w:r>
      <w:r w:rsidR="00E8175F">
        <w:rPr>
          <w:rFonts w:ascii="Times New Roman" w:hAnsi="Times New Roman" w:cs="Times New Roman"/>
          <w:sz w:val="24"/>
          <w:szCs w:val="24"/>
        </w:rPr>
        <w:t>(Ú. v. EÚ C 202, 7.6. 2016).</w:t>
      </w:r>
    </w:p>
    <w:p w14:paraId="1AA7EA45" w14:textId="77777777" w:rsidR="008545C6" w:rsidRPr="00A338B7" w:rsidRDefault="008545C6" w:rsidP="001A45EA">
      <w:pPr>
        <w:spacing w:after="0" w:line="240" w:lineRule="auto"/>
        <w:rPr>
          <w:rFonts w:ascii="Times New Roman" w:eastAsia="Times New Roman" w:hAnsi="Times New Roman" w:cs="Times New Roman"/>
          <w:b/>
          <w:bCs/>
          <w:i/>
          <w:iCs/>
          <w:color w:val="000000"/>
          <w:sz w:val="24"/>
          <w:szCs w:val="24"/>
          <w:lang w:eastAsia="sk-SK"/>
        </w:rPr>
      </w:pPr>
    </w:p>
    <w:p w14:paraId="36D326B1" w14:textId="77777777" w:rsidR="008545C6" w:rsidRPr="00A338B7" w:rsidRDefault="008545C6" w:rsidP="008545C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v sekundárnom práve</w:t>
      </w:r>
    </w:p>
    <w:p w14:paraId="62515C3B" w14:textId="55469942" w:rsidR="00065E47" w:rsidRPr="00E8175F" w:rsidRDefault="00065E47" w:rsidP="00F33808">
      <w:pPr>
        <w:pStyle w:val="Odsekzoznamu"/>
        <w:numPr>
          <w:ilvl w:val="0"/>
          <w:numId w:val="3"/>
        </w:numPr>
        <w:spacing w:after="0" w:line="240" w:lineRule="auto"/>
        <w:jc w:val="both"/>
        <w:rPr>
          <w:rFonts w:ascii="Times New Roman" w:hAnsi="Times New Roman" w:cs="Times New Roman"/>
          <w:sz w:val="24"/>
          <w:szCs w:val="24"/>
        </w:rPr>
      </w:pPr>
      <w:r w:rsidRPr="00E8175F">
        <w:rPr>
          <w:rFonts w:ascii="Times New Roman" w:hAnsi="Times New Roman" w:cs="Times New Roman"/>
          <w:sz w:val="24"/>
          <w:szCs w:val="24"/>
        </w:rPr>
        <w:t>smernic</w:t>
      </w:r>
      <w:r>
        <w:rPr>
          <w:rFonts w:ascii="Times New Roman" w:hAnsi="Times New Roman" w:cs="Times New Roman"/>
          <w:sz w:val="24"/>
          <w:szCs w:val="24"/>
        </w:rPr>
        <w:t xml:space="preserve">a </w:t>
      </w:r>
      <w:r w:rsidRPr="00D449AF">
        <w:rPr>
          <w:rFonts w:ascii="Times New Roman" w:hAnsi="Times New Roman" w:cs="Times New Roman"/>
          <w:sz w:val="24"/>
          <w:szCs w:val="24"/>
        </w:rPr>
        <w:t xml:space="preserve">Európskeho parlamentu a Rady (EÚ) </w:t>
      </w:r>
      <w:r w:rsidRPr="00D449AF">
        <w:rPr>
          <w:rFonts w:ascii="Times New Roman" w:hAnsi="Times New Roman" w:cs="Times New Roman"/>
          <w:sz w:val="24"/>
          <w:szCs w:val="24"/>
          <w:u w:val="single"/>
        </w:rPr>
        <w:t xml:space="preserve">2020/1504 </w:t>
      </w:r>
      <w:r w:rsidRPr="00D449AF">
        <w:rPr>
          <w:rFonts w:ascii="Times New Roman" w:hAnsi="Times New Roman" w:cs="Times New Roman"/>
          <w:sz w:val="24"/>
          <w:szCs w:val="24"/>
        </w:rPr>
        <w:t xml:space="preserve">zo 7. októbra 2020, ktorou sa mení smernica 2014/65/EÚ o trhoch s finančnými nástrojmi </w:t>
      </w:r>
      <w:r w:rsidR="00F33808" w:rsidRPr="00E8175F">
        <w:rPr>
          <w:rFonts w:ascii="Times New Roman" w:hAnsi="Times New Roman" w:cs="Times New Roman"/>
          <w:sz w:val="24"/>
          <w:szCs w:val="24"/>
        </w:rPr>
        <w:t>(Ú. v. EÚ L 347, 20.10.2020)</w:t>
      </w:r>
      <w:r w:rsidRPr="00E8175F">
        <w:rPr>
          <w:rFonts w:ascii="Times New Roman" w:hAnsi="Times New Roman" w:cs="Times New Roman"/>
          <w:sz w:val="24"/>
          <w:szCs w:val="24"/>
        </w:rPr>
        <w:t>,</w:t>
      </w:r>
      <w:r w:rsidR="00F33808" w:rsidRPr="00E8175F">
        <w:rPr>
          <w:rFonts w:ascii="Times New Roman" w:hAnsi="Times New Roman" w:cs="Times New Roman"/>
          <w:sz w:val="24"/>
          <w:szCs w:val="24"/>
        </w:rPr>
        <w:t xml:space="preserve"> gestor: </w:t>
      </w:r>
      <w:r w:rsidR="00E8175F" w:rsidRPr="00E8175F">
        <w:rPr>
          <w:rFonts w:ascii="Times New Roman" w:hAnsi="Times New Roman" w:cs="Times New Roman"/>
          <w:sz w:val="24"/>
          <w:szCs w:val="24"/>
        </w:rPr>
        <w:t>MF SR, ÚV SR</w:t>
      </w:r>
    </w:p>
    <w:p w14:paraId="5D803508" w14:textId="77777777" w:rsidR="00A82C6C" w:rsidRPr="00D449AF" w:rsidRDefault="00A82C6C" w:rsidP="00A82C6C">
      <w:pPr>
        <w:pStyle w:val="Odsekzoznamu"/>
        <w:numPr>
          <w:ilvl w:val="0"/>
          <w:numId w:val="3"/>
        </w:numPr>
        <w:spacing w:after="0" w:line="240" w:lineRule="auto"/>
        <w:jc w:val="both"/>
        <w:rPr>
          <w:rFonts w:ascii="Times New Roman" w:hAnsi="Times New Roman" w:cs="Times New Roman"/>
          <w:sz w:val="24"/>
          <w:szCs w:val="24"/>
        </w:rPr>
      </w:pPr>
      <w:r w:rsidRPr="00D449AF">
        <w:rPr>
          <w:rFonts w:ascii="Times New Roman" w:hAnsi="Times New Roman" w:cs="Times New Roman"/>
          <w:sz w:val="24"/>
          <w:szCs w:val="24"/>
        </w:rPr>
        <w:t xml:space="preserve">smernica Európskeho parlamentu a Rady (EÚ) </w:t>
      </w:r>
      <w:r w:rsidRPr="00D449AF">
        <w:rPr>
          <w:rFonts w:ascii="Times New Roman" w:hAnsi="Times New Roman" w:cs="Times New Roman"/>
          <w:sz w:val="24"/>
          <w:szCs w:val="24"/>
          <w:u w:val="single"/>
        </w:rPr>
        <w:t>2019/2177</w:t>
      </w:r>
      <w:r w:rsidRPr="00D449AF">
        <w:rPr>
          <w:rFonts w:ascii="Times New Roman" w:hAnsi="Times New Roman" w:cs="Times New Roman"/>
          <w:sz w:val="24"/>
          <w:szCs w:val="24"/>
        </w:rPr>
        <w:t xml:space="preserve">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 gestor MF SR, </w:t>
      </w:r>
      <w:proofErr w:type="spellStart"/>
      <w:r w:rsidRPr="00D449AF">
        <w:rPr>
          <w:rFonts w:ascii="Times New Roman" w:hAnsi="Times New Roman" w:cs="Times New Roman"/>
          <w:sz w:val="24"/>
          <w:szCs w:val="24"/>
        </w:rPr>
        <w:t>spolugestor</w:t>
      </w:r>
      <w:proofErr w:type="spellEnd"/>
      <w:r w:rsidRPr="00D449AF">
        <w:rPr>
          <w:rFonts w:ascii="Times New Roman" w:hAnsi="Times New Roman" w:cs="Times New Roman"/>
          <w:sz w:val="24"/>
          <w:szCs w:val="24"/>
        </w:rPr>
        <w:t xml:space="preserve"> MV SR,</w:t>
      </w:r>
      <w:r w:rsidR="00773DED" w:rsidRPr="00D449AF">
        <w:rPr>
          <w:rFonts w:ascii="Times New Roman" w:hAnsi="Times New Roman" w:cs="Times New Roman"/>
          <w:sz w:val="24"/>
          <w:szCs w:val="24"/>
        </w:rPr>
        <w:t xml:space="preserve"> NBS,</w:t>
      </w:r>
    </w:p>
    <w:p w14:paraId="1A7F60DB" w14:textId="77777777" w:rsidR="00735A06" w:rsidRPr="00D449AF" w:rsidRDefault="00735A06" w:rsidP="0044329F">
      <w:pPr>
        <w:pStyle w:val="Odsekzoznamu"/>
        <w:numPr>
          <w:ilvl w:val="0"/>
          <w:numId w:val="3"/>
        </w:numPr>
        <w:spacing w:after="0" w:line="240" w:lineRule="auto"/>
        <w:jc w:val="both"/>
        <w:rPr>
          <w:rFonts w:ascii="Times New Roman" w:eastAsia="Times New Roman" w:hAnsi="Times New Roman" w:cs="Times New Roman"/>
          <w:color w:val="000000"/>
          <w:sz w:val="27"/>
          <w:szCs w:val="27"/>
          <w:lang w:eastAsia="sk-SK"/>
        </w:rPr>
      </w:pPr>
      <w:r w:rsidRPr="00D449AF">
        <w:rPr>
          <w:rFonts w:ascii="Times New Roman" w:eastAsia="Times New Roman" w:hAnsi="Times New Roman" w:cs="Times New Roman"/>
          <w:color w:val="000000"/>
          <w:sz w:val="24"/>
          <w:szCs w:val="24"/>
          <w:lang w:eastAsia="sk-SK"/>
        </w:rPr>
        <w:t xml:space="preserve">smernica Európskeho parlamentu a Rady (EÚ) </w:t>
      </w:r>
      <w:r w:rsidRPr="00D449AF">
        <w:rPr>
          <w:rFonts w:ascii="Times New Roman" w:eastAsia="Times New Roman" w:hAnsi="Times New Roman" w:cs="Times New Roman"/>
          <w:color w:val="000000"/>
          <w:sz w:val="24"/>
          <w:szCs w:val="24"/>
          <w:u w:val="single"/>
          <w:lang w:eastAsia="sk-SK"/>
        </w:rPr>
        <w:t>2019/2034</w:t>
      </w:r>
      <w:r w:rsidRPr="00D449AF">
        <w:rPr>
          <w:rFonts w:ascii="Times New Roman" w:eastAsia="Times New Roman" w:hAnsi="Times New Roman" w:cs="Times New Roman"/>
          <w:color w:val="000000"/>
          <w:sz w:val="24"/>
          <w:szCs w:val="24"/>
          <w:lang w:eastAsia="sk-SK"/>
        </w:rPr>
        <w:t xml:space="preserve"> z 27. novembra 2019 o </w:t>
      </w:r>
      <w:proofErr w:type="spellStart"/>
      <w:r w:rsidRPr="00D449AF">
        <w:rPr>
          <w:rFonts w:ascii="Times New Roman" w:eastAsia="Times New Roman" w:hAnsi="Times New Roman" w:cs="Times New Roman"/>
          <w:color w:val="000000"/>
          <w:sz w:val="24"/>
          <w:szCs w:val="24"/>
          <w:lang w:eastAsia="sk-SK"/>
        </w:rPr>
        <w:t>prudenciálnom</w:t>
      </w:r>
      <w:proofErr w:type="spellEnd"/>
      <w:r w:rsidRPr="00D449AF">
        <w:rPr>
          <w:rFonts w:ascii="Times New Roman" w:eastAsia="Times New Roman" w:hAnsi="Times New Roman" w:cs="Times New Roman"/>
          <w:color w:val="000000"/>
          <w:sz w:val="24"/>
          <w:szCs w:val="24"/>
          <w:lang w:eastAsia="sk-SK"/>
        </w:rPr>
        <w:t xml:space="preserve"> dohľade nad investičnými spoločnosťami a o zmene smerníc 2002/87/ES, 2009/65/ES, 2011/61/ES, 2013/36/EÚ, 2014/59/EÚ a 2014/65/EÚ (Ú. v. EÚ L 314, 5. 12. 2019), gestor: MF SR,</w:t>
      </w:r>
      <w:r w:rsidR="00773DED" w:rsidRPr="00D449AF">
        <w:rPr>
          <w:rFonts w:ascii="Times New Roman" w:eastAsia="Times New Roman" w:hAnsi="Times New Roman" w:cs="Times New Roman"/>
          <w:color w:val="000000"/>
          <w:sz w:val="24"/>
          <w:szCs w:val="24"/>
          <w:lang w:eastAsia="sk-SK"/>
        </w:rPr>
        <w:t xml:space="preserve"> </w:t>
      </w:r>
      <w:proofErr w:type="spellStart"/>
      <w:r w:rsidR="00773DED" w:rsidRPr="00D449AF">
        <w:rPr>
          <w:rFonts w:ascii="Times New Roman" w:eastAsia="Times New Roman" w:hAnsi="Times New Roman" w:cs="Times New Roman"/>
          <w:color w:val="000000"/>
          <w:sz w:val="24"/>
          <w:szCs w:val="24"/>
          <w:lang w:eastAsia="sk-SK"/>
        </w:rPr>
        <w:t>spolugestor</w:t>
      </w:r>
      <w:proofErr w:type="spellEnd"/>
      <w:r w:rsidR="00773DED" w:rsidRPr="00D449AF">
        <w:rPr>
          <w:rFonts w:ascii="Times New Roman" w:eastAsia="Times New Roman" w:hAnsi="Times New Roman" w:cs="Times New Roman"/>
          <w:color w:val="000000"/>
          <w:sz w:val="24"/>
          <w:szCs w:val="24"/>
          <w:lang w:eastAsia="sk-SK"/>
        </w:rPr>
        <w:t>: NBS,</w:t>
      </w:r>
    </w:p>
    <w:p w14:paraId="23B36915" w14:textId="00C21EA0" w:rsidR="00551FD0" w:rsidRPr="00D449AF" w:rsidRDefault="00551FD0" w:rsidP="0044329F">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hAnsi="Times New Roman" w:cs="Times New Roman"/>
          <w:bCs/>
          <w:sz w:val="24"/>
          <w:szCs w:val="24"/>
        </w:rPr>
        <w:t xml:space="preserve">smernica Európskeho parlamentu a Rady </w:t>
      </w:r>
      <w:r w:rsidRPr="00D449AF">
        <w:rPr>
          <w:rFonts w:ascii="Times New Roman" w:hAnsi="Times New Roman" w:cs="Times New Roman"/>
          <w:bCs/>
          <w:sz w:val="24"/>
          <w:szCs w:val="24"/>
          <w:u w:val="single"/>
        </w:rPr>
        <w:t>2014/65/EÚ</w:t>
      </w:r>
      <w:r w:rsidRPr="00D449AF">
        <w:rPr>
          <w:rFonts w:ascii="Times New Roman" w:hAnsi="Times New Roman" w:cs="Times New Roman"/>
          <w:bCs/>
          <w:sz w:val="24"/>
          <w:szCs w:val="24"/>
        </w:rPr>
        <w:t xml:space="preserve"> z 15. mája 2014 o trhoch s finančnými nástrojmi, ktorou sa mení smernica 2002/92/ES a smernica 2011/61/</w:t>
      </w:r>
      <w:r w:rsidRPr="00E8175F">
        <w:rPr>
          <w:rFonts w:ascii="Times New Roman" w:hAnsi="Times New Roman" w:cs="Times New Roman"/>
          <w:bCs/>
          <w:sz w:val="24"/>
          <w:szCs w:val="24"/>
        </w:rPr>
        <w:t>EÚ</w:t>
      </w:r>
      <w:r w:rsidR="00833B0C" w:rsidRPr="00E8175F">
        <w:rPr>
          <w:rFonts w:ascii="Times New Roman" w:hAnsi="Times New Roman" w:cs="Times New Roman"/>
          <w:bCs/>
          <w:sz w:val="24"/>
          <w:szCs w:val="24"/>
        </w:rPr>
        <w:t xml:space="preserve"> (prepracované znenie)</w:t>
      </w:r>
      <w:r w:rsidRPr="00E8175F">
        <w:rPr>
          <w:rFonts w:ascii="Times New Roman" w:hAnsi="Times New Roman" w:cs="Times New Roman"/>
          <w:bCs/>
          <w:sz w:val="24"/>
          <w:szCs w:val="24"/>
        </w:rPr>
        <w:t xml:space="preserve"> (</w:t>
      </w:r>
      <w:r w:rsidRPr="00D449AF">
        <w:rPr>
          <w:rFonts w:ascii="Times New Roman" w:hAnsi="Times New Roman" w:cs="Times New Roman"/>
          <w:bCs/>
          <w:iCs/>
          <w:sz w:val="24"/>
          <w:szCs w:val="24"/>
        </w:rPr>
        <w:t>Ú. v. EÚ L 173, 12.6.2014) v platnom znení, gestor:</w:t>
      </w:r>
      <w:r w:rsidR="00140B76" w:rsidRPr="00D449AF">
        <w:rPr>
          <w:rFonts w:ascii="Times New Roman" w:hAnsi="Times New Roman" w:cs="Times New Roman"/>
          <w:bCs/>
          <w:iCs/>
          <w:sz w:val="24"/>
          <w:szCs w:val="24"/>
        </w:rPr>
        <w:t xml:space="preserve"> MF SR, </w:t>
      </w:r>
      <w:proofErr w:type="spellStart"/>
      <w:r w:rsidR="00140B76" w:rsidRPr="00D449AF">
        <w:rPr>
          <w:rFonts w:ascii="Times New Roman" w:hAnsi="Times New Roman" w:cs="Times New Roman"/>
          <w:bCs/>
          <w:iCs/>
          <w:sz w:val="24"/>
          <w:szCs w:val="24"/>
        </w:rPr>
        <w:t>spolugestor</w:t>
      </w:r>
      <w:proofErr w:type="spellEnd"/>
      <w:r w:rsidR="00140B76" w:rsidRPr="00D449AF">
        <w:rPr>
          <w:rFonts w:ascii="Times New Roman" w:hAnsi="Times New Roman" w:cs="Times New Roman"/>
          <w:bCs/>
          <w:iCs/>
          <w:sz w:val="24"/>
          <w:szCs w:val="24"/>
        </w:rPr>
        <w:t>: NBS,</w:t>
      </w:r>
    </w:p>
    <w:p w14:paraId="0DD59834" w14:textId="0FD46108" w:rsidR="00065E47" w:rsidRPr="00E8175F" w:rsidRDefault="00065E47" w:rsidP="008872D4">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hAnsi="Times New Roman" w:cs="Times New Roman"/>
          <w:bCs/>
          <w:iCs/>
          <w:sz w:val="24"/>
          <w:szCs w:val="24"/>
        </w:rPr>
        <w:t xml:space="preserve">smernica Európskeho parlamentu a Rady </w:t>
      </w:r>
      <w:r w:rsidRPr="00D449AF">
        <w:rPr>
          <w:rFonts w:ascii="Times New Roman" w:hAnsi="Times New Roman" w:cs="Times New Roman"/>
          <w:bCs/>
          <w:iCs/>
          <w:sz w:val="24"/>
          <w:szCs w:val="24"/>
          <w:u w:val="single"/>
        </w:rPr>
        <w:t>2014/59/EÚ</w:t>
      </w:r>
      <w:r w:rsidRPr="00D449AF">
        <w:rPr>
          <w:rFonts w:ascii="Times New Roman" w:hAnsi="Times New Roman" w:cs="Times New Roman"/>
          <w:bCs/>
          <w:iCs/>
          <w:sz w:val="24"/>
          <w:szCs w:val="24"/>
        </w:rPr>
        <w:t xml:space="preserve"> z 15. mája 2014 ,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w:t>
      </w:r>
      <w:r w:rsidRPr="00E8175F">
        <w:rPr>
          <w:rFonts w:ascii="Times New Roman" w:hAnsi="Times New Roman" w:cs="Times New Roman"/>
          <w:bCs/>
          <w:iCs/>
          <w:sz w:val="24"/>
          <w:szCs w:val="24"/>
        </w:rPr>
        <w:t xml:space="preserve">648/2012, </w:t>
      </w:r>
      <w:r w:rsidR="008872D4" w:rsidRPr="00E8175F">
        <w:rPr>
          <w:rFonts w:ascii="Times New Roman" w:hAnsi="Times New Roman" w:cs="Times New Roman"/>
          <w:bCs/>
          <w:iCs/>
          <w:sz w:val="24"/>
          <w:szCs w:val="24"/>
        </w:rPr>
        <w:t xml:space="preserve">(Ú. v. EÚ L 173, 12.6.2014), v platnom znení, </w:t>
      </w:r>
      <w:r w:rsidRPr="00E8175F">
        <w:rPr>
          <w:rFonts w:ascii="Times New Roman" w:hAnsi="Times New Roman" w:cs="Times New Roman"/>
          <w:bCs/>
          <w:iCs/>
          <w:sz w:val="24"/>
          <w:szCs w:val="24"/>
        </w:rPr>
        <w:t xml:space="preserve">gestor MF SR, </w:t>
      </w:r>
      <w:proofErr w:type="spellStart"/>
      <w:r w:rsidRPr="00E8175F">
        <w:rPr>
          <w:rFonts w:ascii="Times New Roman" w:hAnsi="Times New Roman" w:cs="Times New Roman"/>
          <w:bCs/>
          <w:iCs/>
          <w:sz w:val="24"/>
          <w:szCs w:val="24"/>
        </w:rPr>
        <w:t>spolugestor</w:t>
      </w:r>
      <w:proofErr w:type="spellEnd"/>
      <w:r w:rsidRPr="00E8175F">
        <w:rPr>
          <w:rFonts w:ascii="Times New Roman" w:hAnsi="Times New Roman" w:cs="Times New Roman"/>
          <w:bCs/>
          <w:iCs/>
          <w:sz w:val="24"/>
          <w:szCs w:val="24"/>
        </w:rPr>
        <w:t>: NBS,</w:t>
      </w:r>
    </w:p>
    <w:p w14:paraId="34D314F5" w14:textId="77777777" w:rsidR="001A45EA" w:rsidRPr="00A338B7" w:rsidRDefault="001A45EA" w:rsidP="00735A06">
      <w:pPr>
        <w:pStyle w:val="Odsekzoznamu"/>
        <w:numPr>
          <w:ilvl w:val="0"/>
          <w:numId w:val="3"/>
        </w:numPr>
        <w:spacing w:after="0" w:line="240" w:lineRule="auto"/>
        <w:jc w:val="both"/>
        <w:rPr>
          <w:rFonts w:ascii="Times New Roman" w:eastAsia="Times New Roman" w:hAnsi="Times New Roman" w:cs="Times New Roman"/>
          <w:color w:val="000000"/>
          <w:sz w:val="27"/>
          <w:szCs w:val="27"/>
          <w:lang w:eastAsia="sk-SK"/>
        </w:rPr>
      </w:pPr>
      <w:r w:rsidRPr="00D449AF">
        <w:rPr>
          <w:rFonts w:ascii="Times New Roman" w:eastAsia="Times New Roman" w:hAnsi="Times New Roman" w:cs="Times New Roman"/>
          <w:color w:val="000000"/>
          <w:sz w:val="24"/>
          <w:szCs w:val="24"/>
          <w:lang w:eastAsia="sk-SK"/>
        </w:rPr>
        <w:t>smernica</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Európskeho</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parlamentu</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a</w:t>
      </w:r>
      <w:r w:rsidR="008545C6" w:rsidRPr="00D449AF">
        <w:rPr>
          <w:rFonts w:ascii="Times New Roman" w:eastAsia="Times New Roman" w:hAnsi="Times New Roman" w:cs="Times New Roman"/>
          <w:color w:val="000000"/>
          <w:spacing w:val="6"/>
          <w:sz w:val="24"/>
          <w:szCs w:val="24"/>
          <w:lang w:eastAsia="sk-SK"/>
        </w:rPr>
        <w:t> </w:t>
      </w:r>
      <w:r w:rsidRPr="00D449AF">
        <w:rPr>
          <w:rFonts w:ascii="Times New Roman" w:eastAsia="Times New Roman" w:hAnsi="Times New Roman" w:cs="Times New Roman"/>
          <w:color w:val="000000"/>
          <w:sz w:val="24"/>
          <w:szCs w:val="24"/>
          <w:lang w:eastAsia="sk-SK"/>
        </w:rPr>
        <w:t>Rady</w:t>
      </w:r>
      <w:r w:rsidR="008545C6" w:rsidRPr="00D449AF">
        <w:rPr>
          <w:rFonts w:ascii="Times New Roman" w:eastAsia="Times New Roman" w:hAnsi="Times New Roman" w:cs="Times New Roman"/>
          <w:color w:val="000000"/>
          <w:sz w:val="24"/>
          <w:szCs w:val="24"/>
          <w:lang w:eastAsia="sk-SK"/>
        </w:rPr>
        <w:t xml:space="preserve"> </w:t>
      </w:r>
      <w:r w:rsidRPr="00D449AF">
        <w:rPr>
          <w:rFonts w:ascii="Times New Roman" w:eastAsia="Times New Roman" w:hAnsi="Times New Roman" w:cs="Times New Roman"/>
          <w:color w:val="000000"/>
          <w:sz w:val="24"/>
          <w:szCs w:val="24"/>
          <w:u w:val="single"/>
          <w:lang w:eastAsia="sk-SK"/>
        </w:rPr>
        <w:t>2013/36/EÚ</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z</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26.</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júna</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2013</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o</w:t>
      </w:r>
      <w:r w:rsidR="008545C6" w:rsidRPr="00D449AF">
        <w:rPr>
          <w:rFonts w:ascii="Times New Roman" w:eastAsia="Times New Roman" w:hAnsi="Times New Roman" w:cs="Times New Roman"/>
          <w:color w:val="000000"/>
          <w:spacing w:val="6"/>
          <w:sz w:val="24"/>
          <w:szCs w:val="24"/>
          <w:lang w:eastAsia="sk-SK"/>
        </w:rPr>
        <w:t> </w:t>
      </w:r>
      <w:r w:rsidRPr="00D449AF">
        <w:rPr>
          <w:rFonts w:ascii="Times New Roman" w:eastAsia="Times New Roman" w:hAnsi="Times New Roman" w:cs="Times New Roman"/>
          <w:color w:val="000000"/>
          <w:sz w:val="24"/>
          <w:szCs w:val="24"/>
          <w:lang w:eastAsia="sk-SK"/>
        </w:rPr>
        <w:t>prístupe</w:t>
      </w:r>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k</w:t>
      </w:r>
      <w:r w:rsidR="008545C6" w:rsidRPr="00A338B7">
        <w:rPr>
          <w:rFonts w:ascii="Times New Roman" w:eastAsia="Times New Roman" w:hAnsi="Times New Roman" w:cs="Times New Roman"/>
          <w:color w:val="000000"/>
          <w:spacing w:val="6"/>
          <w:sz w:val="24"/>
          <w:szCs w:val="24"/>
          <w:lang w:eastAsia="sk-SK"/>
        </w:rPr>
        <w:t> </w:t>
      </w:r>
      <w:r w:rsidRPr="00A338B7">
        <w:rPr>
          <w:rFonts w:ascii="Times New Roman" w:eastAsia="Times New Roman" w:hAnsi="Times New Roman" w:cs="Times New Roman"/>
          <w:color w:val="000000"/>
          <w:sz w:val="24"/>
          <w:szCs w:val="24"/>
          <w:lang w:eastAsia="sk-SK"/>
        </w:rPr>
        <w:t>činnosti</w:t>
      </w:r>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úverových</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inštitúcií</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008545C6" w:rsidRPr="00A338B7">
        <w:rPr>
          <w:rFonts w:ascii="Times New Roman" w:eastAsia="Times New Roman" w:hAnsi="Times New Roman" w:cs="Times New Roman"/>
          <w:color w:val="000000"/>
          <w:spacing w:val="24"/>
          <w:sz w:val="24"/>
          <w:szCs w:val="24"/>
          <w:lang w:eastAsia="sk-SK"/>
        </w:rPr>
        <w:t> </w:t>
      </w:r>
      <w:proofErr w:type="spellStart"/>
      <w:r w:rsidRPr="00A338B7">
        <w:rPr>
          <w:rFonts w:ascii="Times New Roman" w:eastAsia="Times New Roman" w:hAnsi="Times New Roman" w:cs="Times New Roman"/>
          <w:color w:val="000000"/>
          <w:sz w:val="24"/>
          <w:szCs w:val="24"/>
          <w:lang w:eastAsia="sk-SK"/>
        </w:rPr>
        <w:t>prudenciálnom</w:t>
      </w:r>
      <w:proofErr w:type="spellEnd"/>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dohľade</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nad</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úverovými</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lastRenderedPageBreak/>
        <w:t>inštitúciami</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008545C6" w:rsidRPr="00A338B7">
        <w:rPr>
          <w:rFonts w:ascii="Times New Roman" w:eastAsia="Times New Roman" w:hAnsi="Times New Roman" w:cs="Times New Roman"/>
          <w:color w:val="000000"/>
          <w:spacing w:val="24"/>
          <w:sz w:val="24"/>
          <w:szCs w:val="24"/>
          <w:lang w:eastAsia="sk-SK"/>
        </w:rPr>
        <w:t> </w:t>
      </w:r>
      <w:r w:rsidRPr="00A338B7">
        <w:rPr>
          <w:rFonts w:ascii="Times New Roman" w:eastAsia="Times New Roman" w:hAnsi="Times New Roman" w:cs="Times New Roman"/>
          <w:color w:val="000000"/>
          <w:sz w:val="24"/>
          <w:szCs w:val="24"/>
          <w:lang w:eastAsia="sk-SK"/>
        </w:rPr>
        <w:t>investičnými</w:t>
      </w:r>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spoločnosťami,</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o</w:t>
      </w:r>
      <w:r w:rsidR="008545C6" w:rsidRPr="00A338B7">
        <w:rPr>
          <w:rFonts w:ascii="Times New Roman" w:eastAsia="Times New Roman" w:hAnsi="Times New Roman" w:cs="Times New Roman"/>
          <w:color w:val="000000"/>
          <w:spacing w:val="107"/>
          <w:sz w:val="24"/>
          <w:szCs w:val="24"/>
          <w:lang w:eastAsia="sk-SK"/>
        </w:rPr>
        <w:t> </w:t>
      </w:r>
      <w:r w:rsidRPr="00A338B7">
        <w:rPr>
          <w:rFonts w:ascii="Times New Roman" w:eastAsia="Times New Roman" w:hAnsi="Times New Roman" w:cs="Times New Roman"/>
          <w:color w:val="000000"/>
          <w:sz w:val="24"/>
          <w:szCs w:val="24"/>
          <w:lang w:eastAsia="sk-SK"/>
        </w:rPr>
        <w:t>zmene</w:t>
      </w:r>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smernice</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2002/87/ES</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008545C6" w:rsidRPr="00A338B7">
        <w:rPr>
          <w:rFonts w:ascii="Times New Roman" w:eastAsia="Times New Roman" w:hAnsi="Times New Roman" w:cs="Times New Roman"/>
          <w:color w:val="000000"/>
          <w:spacing w:val="107"/>
          <w:sz w:val="24"/>
          <w:szCs w:val="24"/>
          <w:lang w:eastAsia="sk-SK"/>
        </w:rPr>
        <w:t> </w:t>
      </w:r>
      <w:r w:rsidRPr="00A338B7">
        <w:rPr>
          <w:rFonts w:ascii="Times New Roman" w:eastAsia="Times New Roman" w:hAnsi="Times New Roman" w:cs="Times New Roman"/>
          <w:color w:val="000000"/>
          <w:sz w:val="24"/>
          <w:szCs w:val="24"/>
          <w:lang w:eastAsia="sk-SK"/>
        </w:rPr>
        <w:t>o</w:t>
      </w:r>
      <w:r w:rsidR="008545C6" w:rsidRPr="00A338B7">
        <w:rPr>
          <w:rFonts w:ascii="Times New Roman" w:eastAsia="Times New Roman" w:hAnsi="Times New Roman" w:cs="Times New Roman"/>
          <w:color w:val="000000"/>
          <w:sz w:val="24"/>
          <w:szCs w:val="24"/>
          <w:lang w:eastAsia="sk-SK"/>
        </w:rPr>
        <w:t> </w:t>
      </w:r>
      <w:r w:rsidRPr="00A338B7">
        <w:rPr>
          <w:rFonts w:ascii="Times New Roman" w:eastAsia="Times New Roman" w:hAnsi="Times New Roman" w:cs="Times New Roman"/>
          <w:color w:val="000000"/>
          <w:sz w:val="24"/>
          <w:szCs w:val="24"/>
          <w:lang w:eastAsia="sk-SK"/>
        </w:rPr>
        <w:t>zrušení</w:t>
      </w:r>
      <w:r w:rsidR="008545C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smerníc</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2006/48/ES</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a 2006/49/ES (Ú. v. EÚ L 176, 27.6.2013)</w:t>
      </w:r>
      <w:r w:rsidR="00735A06" w:rsidRPr="00A338B7">
        <w:rPr>
          <w:rFonts w:ascii="Times New Roman" w:eastAsia="Times New Roman" w:hAnsi="Times New Roman" w:cs="Times New Roman"/>
          <w:color w:val="000000"/>
          <w:sz w:val="24"/>
          <w:szCs w:val="24"/>
          <w:lang w:eastAsia="sk-SK"/>
        </w:rPr>
        <w:t xml:space="preserve"> v platnom znení</w:t>
      </w:r>
      <w:r w:rsidRPr="00A338B7">
        <w:rPr>
          <w:rFonts w:ascii="Times New Roman" w:eastAsia="Times New Roman" w:hAnsi="Times New Roman" w:cs="Times New Roman"/>
          <w:color w:val="000000"/>
          <w:sz w:val="24"/>
          <w:szCs w:val="24"/>
          <w:lang w:eastAsia="sk-SK"/>
        </w:rPr>
        <w:t>,</w:t>
      </w:r>
      <w:r w:rsidR="00735A06" w:rsidRPr="00A338B7">
        <w:rPr>
          <w:rFonts w:ascii="Times New Roman" w:eastAsia="Times New Roman" w:hAnsi="Times New Roman" w:cs="Times New Roman"/>
          <w:color w:val="000000"/>
          <w:sz w:val="24"/>
          <w:szCs w:val="24"/>
          <w:lang w:eastAsia="sk-SK"/>
        </w:rPr>
        <w:t xml:space="preserve"> gestor: MF SR, </w:t>
      </w:r>
      <w:proofErr w:type="spellStart"/>
      <w:r w:rsidR="00735A06" w:rsidRPr="00A338B7">
        <w:rPr>
          <w:rFonts w:ascii="Times New Roman" w:eastAsia="Times New Roman" w:hAnsi="Times New Roman" w:cs="Times New Roman"/>
          <w:color w:val="000000"/>
          <w:sz w:val="24"/>
          <w:szCs w:val="24"/>
          <w:lang w:eastAsia="sk-SK"/>
        </w:rPr>
        <w:t>spolugestor</w:t>
      </w:r>
      <w:proofErr w:type="spellEnd"/>
      <w:r w:rsidR="00735A06" w:rsidRPr="00A338B7">
        <w:rPr>
          <w:rFonts w:ascii="Times New Roman" w:eastAsia="Times New Roman" w:hAnsi="Times New Roman" w:cs="Times New Roman"/>
          <w:color w:val="000000"/>
          <w:sz w:val="24"/>
          <w:szCs w:val="24"/>
          <w:lang w:eastAsia="sk-SK"/>
        </w:rPr>
        <w:t>: NBS,</w:t>
      </w:r>
    </w:p>
    <w:p w14:paraId="20D7DC0A" w14:textId="77777777" w:rsidR="00A82C6C" w:rsidRPr="00A338B7" w:rsidRDefault="00A82C6C" w:rsidP="00A82C6C">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smernica Európskeho parlamentu a Rady (EÚ) </w:t>
      </w:r>
      <w:r w:rsidRPr="00A338B7">
        <w:rPr>
          <w:rFonts w:ascii="Times New Roman" w:hAnsi="Times New Roman" w:cs="Times New Roman"/>
          <w:sz w:val="24"/>
          <w:szCs w:val="24"/>
          <w:u w:val="single"/>
        </w:rPr>
        <w:t>2009/138/ES</w:t>
      </w:r>
      <w:r w:rsidRPr="00A338B7">
        <w:rPr>
          <w:rFonts w:ascii="Times New Roman" w:hAnsi="Times New Roman" w:cs="Times New Roman"/>
          <w:sz w:val="24"/>
          <w:szCs w:val="24"/>
        </w:rPr>
        <w:t xml:space="preserve"> z 25. novembra 2009 o začatí a vykonávaní poistenia a zaistenia (Solventnosť II) (prepracované znenie) (Ú. v. EÚ L 335, 17.12.2009) v platnom znení, gestor: MF SR,</w:t>
      </w:r>
      <w:r w:rsidR="008953E8" w:rsidRPr="00A338B7">
        <w:rPr>
          <w:rFonts w:ascii="Times New Roman" w:hAnsi="Times New Roman" w:cs="Times New Roman"/>
          <w:sz w:val="24"/>
          <w:szCs w:val="24"/>
        </w:rPr>
        <w:t xml:space="preserve"> </w:t>
      </w:r>
      <w:proofErr w:type="spellStart"/>
      <w:r w:rsidR="008953E8" w:rsidRPr="00A338B7">
        <w:rPr>
          <w:rFonts w:ascii="Times New Roman" w:eastAsia="Times New Roman" w:hAnsi="Times New Roman" w:cs="Times New Roman"/>
          <w:color w:val="000000"/>
          <w:sz w:val="24"/>
          <w:szCs w:val="24"/>
          <w:lang w:eastAsia="sk-SK"/>
        </w:rPr>
        <w:t>spolugestor</w:t>
      </w:r>
      <w:proofErr w:type="spellEnd"/>
      <w:r w:rsidR="008953E8" w:rsidRPr="00A338B7">
        <w:rPr>
          <w:rFonts w:ascii="Times New Roman" w:eastAsia="Times New Roman" w:hAnsi="Times New Roman" w:cs="Times New Roman"/>
          <w:color w:val="000000"/>
          <w:sz w:val="24"/>
          <w:szCs w:val="24"/>
          <w:lang w:eastAsia="sk-SK"/>
        </w:rPr>
        <w:t>: NBS,</w:t>
      </w:r>
    </w:p>
    <w:p w14:paraId="142127BA" w14:textId="77777777" w:rsidR="00EA46B3" w:rsidRPr="00A338B7" w:rsidRDefault="00EA46B3" w:rsidP="00B12415">
      <w:pPr>
        <w:pStyle w:val="Odsekzoznamu"/>
        <w:numPr>
          <w:ilvl w:val="0"/>
          <w:numId w:val="3"/>
        </w:numPr>
        <w:spacing w:before="120" w:after="12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w:t>
      </w:r>
      <w:r w:rsidRPr="00A338B7">
        <w:rPr>
          <w:rFonts w:ascii="Times New Roman" w:hAnsi="Times New Roman" w:cs="Times New Roman"/>
          <w:sz w:val="24"/>
          <w:szCs w:val="24"/>
          <w:u w:val="single"/>
        </w:rPr>
        <w:t>2019/2175</w:t>
      </w:r>
      <w:r w:rsidRPr="00A338B7">
        <w:rPr>
          <w:rFonts w:ascii="Times New Roman" w:hAnsi="Times New Roman" w:cs="Times New Roman"/>
          <w:sz w:val="24"/>
          <w:szCs w:val="24"/>
        </w:rPr>
        <w:t xml:space="preserve">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 gestor: MF SR, NBS, </w:t>
      </w:r>
      <w:r w:rsidR="00140B76" w:rsidRPr="00A338B7">
        <w:rPr>
          <w:rFonts w:ascii="Times New Roman" w:hAnsi="Times New Roman" w:cs="Times New Roman"/>
          <w:sz w:val="24"/>
          <w:szCs w:val="24"/>
        </w:rPr>
        <w:t>MV SR,</w:t>
      </w:r>
    </w:p>
    <w:p w14:paraId="56FDD7F8" w14:textId="77777777" w:rsidR="00B12415" w:rsidRPr="00A338B7" w:rsidRDefault="00B12415" w:rsidP="00B12415">
      <w:pPr>
        <w:pStyle w:val="Odsekzoznamu"/>
        <w:numPr>
          <w:ilvl w:val="0"/>
          <w:numId w:val="3"/>
        </w:numPr>
        <w:spacing w:before="120" w:after="12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w:t>
      </w:r>
      <w:r w:rsidRPr="00A338B7">
        <w:rPr>
          <w:rFonts w:ascii="Times New Roman" w:hAnsi="Times New Roman" w:cs="Times New Roman"/>
          <w:sz w:val="24"/>
          <w:szCs w:val="24"/>
          <w:u w:val="single"/>
        </w:rPr>
        <w:t>2019/2033</w:t>
      </w:r>
      <w:r w:rsidRPr="00A338B7">
        <w:rPr>
          <w:rFonts w:ascii="Times New Roman" w:hAnsi="Times New Roman" w:cs="Times New Roman"/>
          <w:sz w:val="24"/>
          <w:szCs w:val="24"/>
        </w:rPr>
        <w:t xml:space="preserve"> z 27. novembra 2019 o prudenciálnych požiadavkách na investičné spoločnosti a o zmene nariadení (EÚ) č. 1093/2010, (EÚ) č. 575/2013, (EÚ) č. 600/2014 a (EÚ) č. 806/2014 (Ú. v. EÚ L 314, 5.12.2019), gestor: MF SR,</w:t>
      </w:r>
      <w:r w:rsidR="00140B76" w:rsidRPr="00A338B7">
        <w:rPr>
          <w:rFonts w:ascii="Times New Roman" w:hAnsi="Times New Roman" w:cs="Times New Roman"/>
          <w:sz w:val="24"/>
          <w:szCs w:val="24"/>
        </w:rPr>
        <w:t xml:space="preserve"> NBS,</w:t>
      </w:r>
    </w:p>
    <w:p w14:paraId="63533748" w14:textId="77777777" w:rsidR="00E5089D" w:rsidRPr="00A338B7" w:rsidRDefault="00E5089D" w:rsidP="00E5089D">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600/2014</w:t>
      </w:r>
      <w:r w:rsidRPr="00A338B7">
        <w:rPr>
          <w:rFonts w:ascii="Times New Roman" w:hAnsi="Times New Roman" w:cs="Times New Roman"/>
          <w:sz w:val="24"/>
          <w:szCs w:val="24"/>
        </w:rPr>
        <w:t xml:space="preserve"> z 15. mája 2014 o trhoch s finančnými nástrojmi, ktorým sa mení nariadenie (EÚ) č. 648/2012 (Ú. v. EÚ L 173, 12.6.2014) v platnom znení, gestor: MF SR, NBS,</w:t>
      </w:r>
    </w:p>
    <w:p w14:paraId="0A7CBE78" w14:textId="77777777" w:rsidR="009C04AA" w:rsidRPr="00A338B7" w:rsidRDefault="009C04AA" w:rsidP="00E5089D">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eastAsia="Times New Roman" w:hAnsi="Times New Roman" w:cs="Times New Roman"/>
          <w:color w:val="000000"/>
          <w:sz w:val="24"/>
          <w:szCs w:val="24"/>
          <w:lang w:eastAsia="sk-SK"/>
        </w:rPr>
        <w:t>nariadenie Európskeho</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parlamentu</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a Rady</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(EÚ)</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 xml:space="preserve">č. </w:t>
      </w:r>
      <w:r w:rsidRPr="00A338B7">
        <w:rPr>
          <w:rFonts w:ascii="Times New Roman" w:eastAsia="Times New Roman" w:hAnsi="Times New Roman" w:cs="Times New Roman"/>
          <w:color w:val="000000"/>
          <w:sz w:val="24"/>
          <w:szCs w:val="24"/>
          <w:u w:val="single"/>
          <w:lang w:eastAsia="sk-SK"/>
        </w:rPr>
        <w:t>575/2013</w:t>
      </w:r>
      <w:r w:rsidRPr="00A338B7">
        <w:rPr>
          <w:rFonts w:ascii="Times New Roman" w:eastAsia="Times New Roman" w:hAnsi="Times New Roman" w:cs="Times New Roman"/>
          <w:color w:val="000000"/>
          <w:sz w:val="24"/>
          <w:szCs w:val="24"/>
          <w:lang w:eastAsia="sk-SK"/>
        </w:rPr>
        <w:t xml:space="preserve"> z 26. júna 2013 o prudenciálnych požiadavkách na úverové inštitúcie a investičné spoločnosti a o zmene nariadenia (EÚ)</w:t>
      </w:r>
      <w:r w:rsidR="00EA46B3" w:rsidRPr="00A338B7">
        <w:rPr>
          <w:rFonts w:ascii="Times New Roman" w:eastAsia="Times New Roman" w:hAnsi="Times New Roman" w:cs="Times New Roman"/>
          <w:color w:val="000000"/>
          <w:sz w:val="24"/>
          <w:szCs w:val="24"/>
          <w:lang w:eastAsia="sk-SK"/>
        </w:rPr>
        <w:t xml:space="preserve"> č. 648/2012 (Ú. v. EÚ L 176, 27</w:t>
      </w:r>
      <w:r w:rsidRPr="00A338B7">
        <w:rPr>
          <w:rFonts w:ascii="Times New Roman" w:eastAsia="Times New Roman" w:hAnsi="Times New Roman" w:cs="Times New Roman"/>
          <w:color w:val="000000"/>
          <w:sz w:val="24"/>
          <w:szCs w:val="24"/>
          <w:lang w:eastAsia="sk-SK"/>
        </w:rPr>
        <w:t>.6.2013)</w:t>
      </w:r>
      <w:r w:rsidR="00735A06" w:rsidRPr="00A338B7">
        <w:rPr>
          <w:rFonts w:ascii="Times New Roman" w:eastAsia="Times New Roman" w:hAnsi="Times New Roman" w:cs="Times New Roman"/>
          <w:color w:val="000000"/>
          <w:sz w:val="24"/>
          <w:szCs w:val="24"/>
          <w:lang w:eastAsia="sk-SK"/>
        </w:rPr>
        <w:t xml:space="preserve"> v platnom znení</w:t>
      </w:r>
      <w:r w:rsidRPr="00A338B7">
        <w:rPr>
          <w:rFonts w:ascii="Times New Roman" w:eastAsia="Times New Roman" w:hAnsi="Times New Roman" w:cs="Times New Roman"/>
          <w:color w:val="000000"/>
          <w:sz w:val="24"/>
          <w:szCs w:val="24"/>
          <w:lang w:eastAsia="sk-SK"/>
        </w:rPr>
        <w:t>,</w:t>
      </w:r>
      <w:r w:rsidR="00735A06"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 xml:space="preserve"> </w:t>
      </w:r>
      <w:r w:rsidR="007B7522" w:rsidRPr="00A338B7">
        <w:rPr>
          <w:rFonts w:ascii="Times New Roman" w:eastAsia="Times New Roman" w:hAnsi="Times New Roman" w:cs="Times New Roman"/>
          <w:color w:val="000000"/>
          <w:sz w:val="24"/>
          <w:szCs w:val="24"/>
          <w:lang w:eastAsia="sk-SK"/>
        </w:rPr>
        <w:t>gestor: MF SR, NBS,</w:t>
      </w:r>
    </w:p>
    <w:p w14:paraId="6EA3B7FD" w14:textId="77777777" w:rsidR="00E5089D" w:rsidRPr="00A338B7" w:rsidRDefault="00E5089D" w:rsidP="00E5089D">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hAnsi="Times New Roman" w:cs="Times New Roman"/>
          <w:bCs/>
          <w:iCs/>
          <w:sz w:val="24"/>
          <w:szCs w:val="24"/>
        </w:rPr>
        <w:t xml:space="preserve">nariadenie </w:t>
      </w:r>
      <w:r w:rsidRPr="00A338B7">
        <w:rPr>
          <w:rFonts w:ascii="Times New Roman" w:hAnsi="Times New Roman" w:cs="Times New Roman"/>
          <w:sz w:val="24"/>
          <w:szCs w:val="24"/>
        </w:rPr>
        <w:t xml:space="preserve">Európskeho parlamentu a Rady (EÚ) č. </w:t>
      </w:r>
      <w:r w:rsidRPr="00A338B7">
        <w:rPr>
          <w:rFonts w:ascii="Times New Roman" w:hAnsi="Times New Roman" w:cs="Times New Roman"/>
          <w:sz w:val="24"/>
          <w:szCs w:val="24"/>
          <w:u w:val="single"/>
        </w:rPr>
        <w:t>1092/2010</w:t>
      </w:r>
      <w:r w:rsidRPr="00A338B7">
        <w:rPr>
          <w:rFonts w:ascii="Times New Roman" w:hAnsi="Times New Roman" w:cs="Times New Roman"/>
          <w:sz w:val="24"/>
          <w:szCs w:val="24"/>
        </w:rPr>
        <w:t xml:space="preserve"> z  24. novembra 2010 o </w:t>
      </w:r>
      <w:proofErr w:type="spellStart"/>
      <w:r w:rsidRPr="00A338B7">
        <w:rPr>
          <w:rFonts w:ascii="Times New Roman" w:hAnsi="Times New Roman" w:cs="Times New Roman"/>
          <w:sz w:val="24"/>
          <w:szCs w:val="24"/>
        </w:rPr>
        <w:t>makroprudenciálnom</w:t>
      </w:r>
      <w:proofErr w:type="spellEnd"/>
      <w:r w:rsidRPr="00A338B7">
        <w:rPr>
          <w:rFonts w:ascii="Times New Roman" w:hAnsi="Times New Roman" w:cs="Times New Roman"/>
          <w:sz w:val="24"/>
          <w:szCs w:val="24"/>
        </w:rPr>
        <w:t xml:space="preserve"> dohľade Európskej únie nad finančným systémom a o zriadení Európskeho výboru pre systémové riziká (</w:t>
      </w:r>
      <w:r w:rsidRPr="00A338B7">
        <w:rPr>
          <w:rFonts w:ascii="Times New Roman" w:hAnsi="Times New Roman" w:cs="Times New Roman"/>
          <w:iCs/>
          <w:sz w:val="24"/>
          <w:szCs w:val="24"/>
        </w:rPr>
        <w:t>Ú. v. EÚ L 331, 15.12.2010),</w:t>
      </w:r>
      <w:r w:rsidR="008A0654" w:rsidRPr="00A338B7">
        <w:rPr>
          <w:rFonts w:ascii="Times New Roman" w:hAnsi="Times New Roman" w:cs="Times New Roman"/>
          <w:iCs/>
          <w:sz w:val="24"/>
          <w:szCs w:val="24"/>
        </w:rPr>
        <w:t xml:space="preserve"> </w:t>
      </w:r>
      <w:r w:rsidR="008A0654" w:rsidRPr="00A338B7">
        <w:rPr>
          <w:rFonts w:ascii="Times New Roman" w:eastAsia="Times New Roman" w:hAnsi="Times New Roman" w:cs="Times New Roman"/>
          <w:color w:val="000000"/>
          <w:sz w:val="24"/>
          <w:szCs w:val="24"/>
          <w:lang w:eastAsia="sk-SK"/>
        </w:rPr>
        <w:t xml:space="preserve">v platnom znení, </w:t>
      </w:r>
      <w:r w:rsidRPr="00A338B7">
        <w:rPr>
          <w:rFonts w:ascii="Times New Roman" w:hAnsi="Times New Roman" w:cs="Times New Roman"/>
          <w:iCs/>
          <w:sz w:val="24"/>
          <w:szCs w:val="24"/>
        </w:rPr>
        <w:t xml:space="preserve"> gestor: </w:t>
      </w:r>
      <w:r w:rsidR="00140B76" w:rsidRPr="00A338B7">
        <w:rPr>
          <w:rFonts w:ascii="Times New Roman" w:hAnsi="Times New Roman" w:cs="Times New Roman"/>
          <w:iCs/>
          <w:sz w:val="24"/>
          <w:szCs w:val="24"/>
        </w:rPr>
        <w:t>MF SR, NBS,</w:t>
      </w:r>
    </w:p>
    <w:p w14:paraId="19D6602B" w14:textId="77777777" w:rsidR="00FB7EF9" w:rsidRPr="00A338B7" w:rsidRDefault="00FB7EF9" w:rsidP="007B7522">
      <w:pPr>
        <w:pStyle w:val="Odsekzoznamu"/>
        <w:numPr>
          <w:ilvl w:val="0"/>
          <w:numId w:val="3"/>
        </w:numPr>
        <w:spacing w:after="0" w:line="240" w:lineRule="auto"/>
        <w:jc w:val="both"/>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color w:val="000000"/>
          <w:sz w:val="24"/>
          <w:szCs w:val="24"/>
          <w:lang w:eastAsia="sk-SK"/>
        </w:rPr>
        <w:t>nariadenie</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Európskeho</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parlamentu</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00B12415" w:rsidRPr="00A338B7">
        <w:rPr>
          <w:rFonts w:ascii="Times New Roman" w:eastAsia="Times New Roman" w:hAnsi="Times New Roman" w:cs="Times New Roman"/>
          <w:color w:val="000000"/>
          <w:sz w:val="24"/>
          <w:szCs w:val="24"/>
          <w:lang w:eastAsia="sk-SK"/>
        </w:rPr>
        <w:t> </w:t>
      </w:r>
      <w:r w:rsidRPr="00A338B7">
        <w:rPr>
          <w:rFonts w:ascii="Times New Roman" w:eastAsia="Times New Roman" w:hAnsi="Times New Roman" w:cs="Times New Roman"/>
          <w:color w:val="000000"/>
          <w:sz w:val="24"/>
          <w:szCs w:val="24"/>
          <w:lang w:eastAsia="sk-SK"/>
        </w:rPr>
        <w:t>Rady</w:t>
      </w:r>
      <w:r w:rsidR="00B12415" w:rsidRPr="00A338B7">
        <w:rPr>
          <w:rFonts w:ascii="Times New Roman" w:eastAsia="Times New Roman" w:hAnsi="Times New Roman" w:cs="Times New Roman"/>
          <w:color w:val="000000"/>
          <w:sz w:val="24"/>
          <w:szCs w:val="24"/>
          <w:lang w:eastAsia="sk-SK"/>
        </w:rPr>
        <w:t xml:space="preserve"> </w:t>
      </w:r>
      <w:r w:rsidRPr="00A338B7">
        <w:rPr>
          <w:rFonts w:ascii="Times New Roman" w:eastAsia="Times New Roman" w:hAnsi="Times New Roman" w:cs="Times New Roman"/>
          <w:color w:val="000000"/>
          <w:sz w:val="24"/>
          <w:szCs w:val="24"/>
          <w:lang w:eastAsia="sk-SK"/>
        </w:rPr>
        <w:t>(EÚ)</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č. </w:t>
      </w:r>
      <w:r w:rsidRPr="00A338B7">
        <w:rPr>
          <w:rFonts w:ascii="Times New Roman" w:eastAsia="Times New Roman" w:hAnsi="Times New Roman" w:cs="Times New Roman"/>
          <w:color w:val="000000"/>
          <w:sz w:val="24"/>
          <w:szCs w:val="24"/>
          <w:u w:val="single"/>
          <w:lang w:eastAsia="sk-SK"/>
        </w:rPr>
        <w:t>1093/2010</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z 24. novembra</w:t>
      </w:r>
      <w:r w:rsidRPr="00A338B7">
        <w:rPr>
          <w:rFonts w:ascii="Times New Roman" w:eastAsia="Times New Roman" w:hAnsi="Times New Roman" w:cs="Times New Roman"/>
          <w:color w:val="000000"/>
          <w:spacing w:val="82"/>
          <w:sz w:val="24"/>
          <w:szCs w:val="24"/>
          <w:lang w:eastAsia="sk-SK"/>
        </w:rPr>
        <w:t xml:space="preserve"> </w:t>
      </w:r>
      <w:r w:rsidRPr="00A338B7">
        <w:rPr>
          <w:rFonts w:ascii="Times New Roman" w:eastAsia="Times New Roman" w:hAnsi="Times New Roman" w:cs="Times New Roman"/>
          <w:color w:val="000000"/>
          <w:sz w:val="24"/>
          <w:szCs w:val="24"/>
          <w:lang w:eastAsia="sk-SK"/>
        </w:rPr>
        <w:t>2010, ktorým</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sa</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zriaďuje</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Európsky</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orgán</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dohľadu</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(Európsky</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orgán</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pre</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bankovníctvo)</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a ktorým sa</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mení</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a dopĺňa rozhodnutie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č. 716/2009/ES</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a zrušuje rozhodnutie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Komisie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2009/78/ES (Ú. v. EÚ L 331, 15.12.2010)</w:t>
      </w:r>
      <w:r w:rsidR="0066120D" w:rsidRPr="00A338B7">
        <w:rPr>
          <w:rFonts w:ascii="Times New Roman" w:eastAsia="Times New Roman" w:hAnsi="Times New Roman" w:cs="Times New Roman"/>
          <w:color w:val="000000"/>
          <w:sz w:val="24"/>
          <w:szCs w:val="24"/>
          <w:lang w:eastAsia="sk-SK"/>
        </w:rPr>
        <w:t xml:space="preserve"> v platnom znení</w:t>
      </w:r>
      <w:r w:rsidRPr="00A338B7">
        <w:rPr>
          <w:rFonts w:ascii="Times New Roman" w:eastAsia="Times New Roman" w:hAnsi="Times New Roman" w:cs="Times New Roman"/>
          <w:color w:val="000000"/>
          <w:sz w:val="24"/>
          <w:szCs w:val="24"/>
          <w:lang w:eastAsia="sk-SK"/>
        </w:rPr>
        <w:t>,</w:t>
      </w:r>
      <w:r w:rsidR="00585E01" w:rsidRPr="00A338B7">
        <w:rPr>
          <w:rFonts w:ascii="Times New Roman" w:eastAsia="Times New Roman" w:hAnsi="Times New Roman" w:cs="Times New Roman"/>
          <w:color w:val="000000"/>
          <w:sz w:val="24"/>
          <w:szCs w:val="24"/>
          <w:lang w:eastAsia="sk-SK"/>
        </w:rPr>
        <w:t xml:space="preserve"> gestor: MF SR, NBS,</w:t>
      </w:r>
    </w:p>
    <w:p w14:paraId="503423D1" w14:textId="77777777" w:rsidR="008A0654" w:rsidRPr="00A338B7" w:rsidRDefault="008A0654" w:rsidP="008A0654">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1094/2010</w:t>
      </w:r>
      <w:r w:rsidRPr="00A338B7">
        <w:rPr>
          <w:rFonts w:ascii="Times New Roman" w:hAnsi="Times New Roman" w:cs="Times New Roman"/>
          <w:sz w:val="24"/>
          <w:szCs w:val="24"/>
        </w:rPr>
        <w:t xml:space="preserve"> z  24. novembra 2010, ktorým sa zriaďuje Európsky orgán dohľadu (Európsky orgán pre poisťovníctvo a dôchodkové poistenie zamestnancov), a ktorým sa mení a dopĺňa rozhodnutie č. 716/2009/ES a zrušuje rozhodnutie Komisie 2009/79/ES (Ú. v. EÚ L 331, 15.12.2010) v platnom znení, gestor: MF SR, NBS,</w:t>
      </w:r>
      <w:r w:rsidR="00140B76" w:rsidRPr="00A338B7">
        <w:rPr>
          <w:rFonts w:ascii="Times New Roman" w:hAnsi="Times New Roman" w:cs="Times New Roman"/>
          <w:sz w:val="24"/>
          <w:szCs w:val="24"/>
        </w:rPr>
        <w:t xml:space="preserve"> MPSVR SR,</w:t>
      </w:r>
    </w:p>
    <w:p w14:paraId="7B4EECBA" w14:textId="77777777" w:rsidR="00585E01" w:rsidRPr="00A338B7" w:rsidRDefault="007B7522" w:rsidP="008A0654">
      <w:pPr>
        <w:pStyle w:val="Odsekzoznamu"/>
        <w:numPr>
          <w:ilvl w:val="0"/>
          <w:numId w:val="3"/>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1095/2010</w:t>
      </w:r>
      <w:r w:rsidR="001E58A5" w:rsidRPr="00A338B7">
        <w:rPr>
          <w:rFonts w:ascii="Times New Roman" w:hAnsi="Times New Roman" w:cs="Times New Roman"/>
          <w:sz w:val="24"/>
          <w:szCs w:val="24"/>
        </w:rPr>
        <w:t xml:space="preserve"> z  24. novembra 2010</w:t>
      </w:r>
      <w:r w:rsidRPr="00A338B7">
        <w:rPr>
          <w:rFonts w:ascii="Times New Roman" w:hAnsi="Times New Roman" w:cs="Times New Roman"/>
          <w:sz w:val="24"/>
          <w:szCs w:val="24"/>
        </w:rPr>
        <w:t>, ktorým sa zriaďuje Európsky orgán dohľadu (Európsky orgán pre cenné papiere a trhy) a ktorým sa mení a dopĺňa rozhodnutie č. 716/2009/ES a zrušuje rozhodnutie Komisie 2009/77/ES (Ú. v. EÚ L 331, 15.12.2010) v platnom znení,</w:t>
      </w:r>
      <w:r w:rsidR="008A0654" w:rsidRPr="00A338B7">
        <w:rPr>
          <w:rFonts w:ascii="Times New Roman" w:hAnsi="Times New Roman" w:cs="Times New Roman"/>
          <w:sz w:val="24"/>
          <w:szCs w:val="24"/>
        </w:rPr>
        <w:t xml:space="preserve"> gestor MF SR, NBS</w:t>
      </w:r>
      <w:r w:rsidR="001E58A5" w:rsidRPr="00A338B7">
        <w:rPr>
          <w:rFonts w:ascii="Times New Roman" w:hAnsi="Times New Roman" w:cs="Times New Roman"/>
          <w:sz w:val="24"/>
          <w:szCs w:val="24"/>
        </w:rPr>
        <w:t>.</w:t>
      </w:r>
    </w:p>
    <w:p w14:paraId="1DDC99AD" w14:textId="77777777" w:rsidR="009C04AA" w:rsidRPr="00A338B7" w:rsidRDefault="009C04AA" w:rsidP="001A45EA">
      <w:pPr>
        <w:spacing w:after="0" w:line="240" w:lineRule="auto"/>
        <w:rPr>
          <w:rFonts w:ascii="Times New Roman" w:eastAsia="Times New Roman" w:hAnsi="Times New Roman" w:cs="Times New Roman"/>
          <w:color w:val="000000"/>
          <w:sz w:val="24"/>
          <w:szCs w:val="24"/>
          <w:lang w:eastAsia="sk-SK"/>
        </w:rPr>
      </w:pPr>
    </w:p>
    <w:p w14:paraId="3300504C" w14:textId="77777777" w:rsidR="008545C6" w:rsidRPr="00A338B7" w:rsidRDefault="008545C6" w:rsidP="008545C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v judikatúre Súdneho dvora Európskej únie</w:t>
      </w:r>
      <w:r w:rsidR="00A70665" w:rsidRPr="00A338B7">
        <w:rPr>
          <w:rFonts w:ascii="Times New Roman" w:eastAsia="Times New Roman" w:hAnsi="Times New Roman" w:cs="Times New Roman"/>
          <w:color w:val="000000"/>
          <w:sz w:val="24"/>
          <w:szCs w:val="24"/>
          <w:lang w:eastAsia="sk-SK"/>
        </w:rPr>
        <w:t>:</w:t>
      </w:r>
    </w:p>
    <w:p w14:paraId="2E155445" w14:textId="2793116A" w:rsidR="00A70665" w:rsidRPr="00A338B7" w:rsidRDefault="00410753" w:rsidP="00577C45">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sz w:val="24"/>
          <w:szCs w:val="24"/>
          <w:lang w:eastAsia="sk-SK"/>
        </w:rPr>
        <w:lastRenderedPageBreak/>
        <w:t>rozsudok</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Súdneho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dvora</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vo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 xml:space="preserve">veci </w:t>
      </w:r>
      <w:r w:rsidR="00577C45" w:rsidRPr="00A338B7">
        <w:rPr>
          <w:rFonts w:ascii="Times New Roman" w:hAnsi="Times New Roman" w:cs="Times New Roman"/>
          <w:sz w:val="24"/>
          <w:szCs w:val="24"/>
        </w:rPr>
        <w:t xml:space="preserve">C - </w:t>
      </w:r>
      <w:r w:rsidR="00577C45" w:rsidRPr="00A338B7">
        <w:rPr>
          <w:rFonts w:ascii="Times New Roman" w:hAnsi="Times New Roman" w:cs="Times New Roman"/>
          <w:sz w:val="24"/>
          <w:szCs w:val="24"/>
          <w:lang w:val="et-EE"/>
        </w:rPr>
        <w:t>384/93</w:t>
      </w:r>
      <w:r w:rsidR="00577C45" w:rsidRPr="00A338B7">
        <w:rPr>
          <w:rFonts w:ascii="Times New Roman" w:hAnsi="Times New Roman" w:cs="Times New Roman"/>
          <w:sz w:val="24"/>
          <w:szCs w:val="24"/>
        </w:rPr>
        <w:t xml:space="preserve"> </w:t>
      </w:r>
      <w:proofErr w:type="spellStart"/>
      <w:r w:rsidR="00577C45" w:rsidRPr="00A338B7">
        <w:rPr>
          <w:rFonts w:ascii="Times New Roman" w:hAnsi="Times New Roman" w:cs="Times New Roman"/>
          <w:sz w:val="24"/>
          <w:szCs w:val="24"/>
        </w:rPr>
        <w:t>Alpine</w:t>
      </w:r>
      <w:proofErr w:type="spellEnd"/>
      <w:r w:rsidR="00577C45" w:rsidRPr="00A338B7">
        <w:rPr>
          <w:rFonts w:ascii="Times New Roman" w:hAnsi="Times New Roman" w:cs="Times New Roman"/>
          <w:sz w:val="24"/>
          <w:szCs w:val="24"/>
        </w:rPr>
        <w:t xml:space="preserve"> </w:t>
      </w:r>
      <w:proofErr w:type="spellStart"/>
      <w:r w:rsidR="00577C45" w:rsidRPr="00A338B7">
        <w:rPr>
          <w:rFonts w:ascii="Times New Roman" w:hAnsi="Times New Roman" w:cs="Times New Roman"/>
          <w:sz w:val="24"/>
          <w:szCs w:val="24"/>
        </w:rPr>
        <w:t>Investments</w:t>
      </w:r>
      <w:proofErr w:type="spellEnd"/>
      <w:r w:rsidR="00577C45" w:rsidRPr="00A338B7">
        <w:rPr>
          <w:rFonts w:ascii="Times New Roman" w:hAnsi="Times New Roman" w:cs="Times New Roman"/>
          <w:sz w:val="24"/>
          <w:szCs w:val="24"/>
        </w:rPr>
        <w:t xml:space="preserve"> v. Minister van </w:t>
      </w:r>
      <w:proofErr w:type="spellStart"/>
      <w:r w:rsidR="00577C45" w:rsidRPr="00A338B7">
        <w:rPr>
          <w:rFonts w:ascii="Times New Roman" w:hAnsi="Times New Roman" w:cs="Times New Roman"/>
          <w:sz w:val="24"/>
          <w:szCs w:val="24"/>
        </w:rPr>
        <w:t>Financiën</w:t>
      </w:r>
      <w:proofErr w:type="spellEnd"/>
      <w:r w:rsidR="00577C45" w:rsidRPr="00A338B7">
        <w:rPr>
          <w:rFonts w:ascii="Times New Roman" w:hAnsi="Times New Roman" w:cs="Times New Roman"/>
          <w:sz w:val="24"/>
          <w:szCs w:val="24"/>
        </w:rPr>
        <w:t>, [1995].</w:t>
      </w:r>
    </w:p>
    <w:p w14:paraId="034E9AAF" w14:textId="77777777" w:rsidR="00577C45" w:rsidRPr="00A338B7" w:rsidRDefault="00577C45" w:rsidP="00577C45">
      <w:pPr>
        <w:pStyle w:val="Odsekzoznamu"/>
        <w:spacing w:after="0" w:line="240" w:lineRule="auto"/>
        <w:ind w:left="1068"/>
        <w:jc w:val="both"/>
        <w:rPr>
          <w:rFonts w:ascii="Times New Roman" w:eastAsia="Times New Roman" w:hAnsi="Times New Roman" w:cs="Times New Roman"/>
          <w:sz w:val="24"/>
          <w:szCs w:val="24"/>
          <w:lang w:eastAsia="sk-SK"/>
        </w:rPr>
      </w:pPr>
    </w:p>
    <w:p w14:paraId="7990E737" w14:textId="77777777" w:rsidR="00577C45" w:rsidRPr="00A338B7" w:rsidRDefault="00577C45" w:rsidP="00577C45">
      <w:pPr>
        <w:pStyle w:val="Odsekzoznamu"/>
        <w:spacing w:after="0" w:line="240" w:lineRule="auto"/>
        <w:ind w:left="1068"/>
        <w:jc w:val="both"/>
        <w:rPr>
          <w:rFonts w:ascii="Times New Roman" w:eastAsia="Times New Roman" w:hAnsi="Times New Roman" w:cs="Times New Roman"/>
          <w:b/>
          <w:sz w:val="24"/>
          <w:szCs w:val="24"/>
          <w:lang w:eastAsia="sk-SK"/>
        </w:rPr>
      </w:pPr>
      <w:r w:rsidRPr="00A338B7">
        <w:rPr>
          <w:rFonts w:ascii="Times New Roman" w:eastAsia="Times New Roman" w:hAnsi="Times New Roman" w:cs="Times New Roman"/>
          <w:b/>
          <w:sz w:val="24"/>
          <w:szCs w:val="24"/>
          <w:lang w:eastAsia="sk-SK"/>
        </w:rPr>
        <w:t>Výrok rozhodnutia:</w:t>
      </w:r>
    </w:p>
    <w:p w14:paraId="4703194D" w14:textId="77777777" w:rsidR="00577C45" w:rsidRPr="00A338B7" w:rsidRDefault="00577C45" w:rsidP="00577C45">
      <w:pPr>
        <w:pStyle w:val="c08dispositif"/>
        <w:spacing w:after="240" w:afterAutospacing="0"/>
        <w:ind w:left="1134" w:hanging="567"/>
        <w:jc w:val="both"/>
        <w:rPr>
          <w:bCs/>
          <w:color w:val="000000"/>
        </w:rPr>
      </w:pPr>
      <w:r w:rsidRPr="00A338B7">
        <w:rPr>
          <w:bCs/>
          <w:color w:val="000000"/>
        </w:rPr>
        <w:t>1. </w:t>
      </w:r>
      <w:r w:rsidRPr="00A338B7">
        <w:rPr>
          <w:bCs/>
          <w:color w:val="000000"/>
        </w:rPr>
        <w:tab/>
        <w:t>Článok 59 Zmluvy EHS treba vykladať v tom zmysle, že sa týka služieb, ktoré poskytovateľ ponúka telefonicky potenciálnym príjemcom usadeným v iných členských štátoch a poskytuje ich bez opustenia členského štátu, v ktorom je usadený.</w:t>
      </w:r>
    </w:p>
    <w:p w14:paraId="5CEE742A" w14:textId="77777777" w:rsidR="00577C45" w:rsidRPr="00A338B7" w:rsidRDefault="00577C45" w:rsidP="00577C45">
      <w:pPr>
        <w:pStyle w:val="c08dispositif"/>
        <w:spacing w:after="240" w:afterAutospacing="0"/>
        <w:ind w:left="1134" w:hanging="567"/>
        <w:jc w:val="both"/>
        <w:rPr>
          <w:bCs/>
          <w:color w:val="000000"/>
        </w:rPr>
      </w:pPr>
      <w:r w:rsidRPr="00A338B7">
        <w:rPr>
          <w:bCs/>
          <w:color w:val="000000"/>
        </w:rPr>
        <w:t>2.      Predpisy niektorého členského štátu zakazujúce poskytovateľom služieb usadeným na jeho území obracať sa s nevyžiadanými telefonátmi na potenciálnych zákazníkov v iných členských štátoch s cieľom ponúknuť im svoje služby sú obmedzením slobodného poskytovania služieb v zmysle článku 59 Zmluvy.</w:t>
      </w:r>
    </w:p>
    <w:p w14:paraId="42EB5D41" w14:textId="77777777" w:rsidR="00577C45" w:rsidRPr="00A338B7" w:rsidRDefault="00577C45" w:rsidP="00577C45">
      <w:pPr>
        <w:pStyle w:val="c08dispositif"/>
        <w:spacing w:after="240" w:afterAutospacing="0"/>
        <w:ind w:left="1134" w:hanging="567"/>
        <w:jc w:val="both"/>
        <w:rPr>
          <w:bCs/>
          <w:color w:val="000000"/>
        </w:rPr>
      </w:pPr>
      <w:r w:rsidRPr="00A338B7">
        <w:rPr>
          <w:bCs/>
          <w:color w:val="000000"/>
        </w:rPr>
        <w:t>3.      Článok 59 Zmluvy nebráni vnútroštátnej úprave, ktorá v záujme ochrany dôvery investorov vo vnútroštátne finančné trhy zakazuje prax spočívajúcu v nevyžiadaných telefonátoch potencionálnym zákazníkom s bydliskom v iných členských štátoch s cieľom ponúknuť im služby spojené s investovaním do termínovaných obchodov s tovarom.</w:t>
      </w:r>
    </w:p>
    <w:p w14:paraId="5A6552F7" w14:textId="77777777" w:rsidR="00577C45" w:rsidRPr="00A338B7" w:rsidRDefault="00577C45" w:rsidP="00577C45">
      <w:pPr>
        <w:spacing w:after="0" w:line="240" w:lineRule="auto"/>
        <w:jc w:val="both"/>
        <w:rPr>
          <w:rFonts w:ascii="Times New Roman" w:eastAsia="Times New Roman" w:hAnsi="Times New Roman" w:cs="Times New Roman"/>
          <w:color w:val="000000"/>
          <w:sz w:val="24"/>
          <w:szCs w:val="24"/>
          <w:lang w:eastAsia="sk-SK"/>
        </w:rPr>
      </w:pPr>
    </w:p>
    <w:p w14:paraId="7C2CAB16" w14:textId="500FD9B0" w:rsidR="00577C45" w:rsidRPr="00A338B7" w:rsidRDefault="00577C45" w:rsidP="00577C45">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sz w:val="24"/>
          <w:szCs w:val="24"/>
          <w:lang w:eastAsia="sk-SK"/>
        </w:rPr>
        <w:t>rozsudok</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Súdneho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dvora</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vo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 xml:space="preserve">veci C – 15/16 </w:t>
      </w:r>
      <w:proofErr w:type="spellStart"/>
      <w:r w:rsidRPr="00A338B7">
        <w:rPr>
          <w:rFonts w:ascii="Times New Roman" w:hAnsi="Times New Roman" w:cs="Times New Roman"/>
          <w:bCs/>
          <w:color w:val="000000"/>
          <w:sz w:val="24"/>
          <w:szCs w:val="24"/>
        </w:rPr>
        <w:t>Bundesanstalt</w:t>
      </w:r>
      <w:proofErr w:type="spellEnd"/>
      <w:r w:rsidRPr="00A338B7">
        <w:rPr>
          <w:rFonts w:ascii="Times New Roman" w:hAnsi="Times New Roman" w:cs="Times New Roman"/>
          <w:bCs/>
          <w:color w:val="000000"/>
          <w:sz w:val="24"/>
          <w:szCs w:val="24"/>
        </w:rPr>
        <w:t xml:space="preserve"> </w:t>
      </w:r>
      <w:proofErr w:type="spellStart"/>
      <w:r w:rsidRPr="00A338B7">
        <w:rPr>
          <w:rFonts w:ascii="Times New Roman" w:hAnsi="Times New Roman" w:cs="Times New Roman"/>
          <w:bCs/>
          <w:color w:val="000000"/>
          <w:sz w:val="24"/>
          <w:szCs w:val="24"/>
        </w:rPr>
        <w:t>für</w:t>
      </w:r>
      <w:proofErr w:type="spellEnd"/>
      <w:r w:rsidRPr="00A338B7">
        <w:rPr>
          <w:rFonts w:ascii="Times New Roman" w:hAnsi="Times New Roman" w:cs="Times New Roman"/>
          <w:bCs/>
          <w:color w:val="000000"/>
          <w:sz w:val="24"/>
          <w:szCs w:val="24"/>
        </w:rPr>
        <w:t xml:space="preserve"> </w:t>
      </w:r>
      <w:proofErr w:type="spellStart"/>
      <w:r w:rsidRPr="00A338B7">
        <w:rPr>
          <w:rFonts w:ascii="Times New Roman" w:hAnsi="Times New Roman" w:cs="Times New Roman"/>
          <w:bCs/>
          <w:color w:val="000000"/>
          <w:sz w:val="24"/>
          <w:szCs w:val="24"/>
        </w:rPr>
        <w:t>Finanzdienstleistungsaufsicht</w:t>
      </w:r>
      <w:proofErr w:type="spellEnd"/>
      <w:r w:rsidR="00D51C40" w:rsidRPr="00A338B7">
        <w:rPr>
          <w:rFonts w:ascii="Times New Roman" w:hAnsi="Times New Roman" w:cs="Times New Roman"/>
          <w:bCs/>
          <w:color w:val="000000"/>
          <w:sz w:val="24"/>
          <w:szCs w:val="24"/>
        </w:rPr>
        <w:t xml:space="preserve"> proti </w:t>
      </w:r>
      <w:proofErr w:type="spellStart"/>
      <w:r w:rsidR="00D51C40" w:rsidRPr="00A338B7">
        <w:rPr>
          <w:rFonts w:ascii="Times New Roman" w:hAnsi="Times New Roman" w:cs="Times New Roman"/>
          <w:bCs/>
          <w:color w:val="000000"/>
          <w:sz w:val="24"/>
          <w:szCs w:val="24"/>
        </w:rPr>
        <w:t>Ewaldovi</w:t>
      </w:r>
      <w:proofErr w:type="spellEnd"/>
      <w:r w:rsidR="00D51C40" w:rsidRPr="00A338B7">
        <w:rPr>
          <w:rFonts w:ascii="Times New Roman" w:hAnsi="Times New Roman" w:cs="Times New Roman"/>
          <w:bCs/>
          <w:color w:val="000000"/>
          <w:sz w:val="24"/>
          <w:szCs w:val="24"/>
        </w:rPr>
        <w:t xml:space="preserve"> </w:t>
      </w:r>
      <w:proofErr w:type="spellStart"/>
      <w:r w:rsidR="00D51C40" w:rsidRPr="00A338B7">
        <w:rPr>
          <w:rFonts w:ascii="Times New Roman" w:hAnsi="Times New Roman" w:cs="Times New Roman"/>
          <w:bCs/>
          <w:color w:val="000000"/>
          <w:sz w:val="24"/>
          <w:szCs w:val="24"/>
        </w:rPr>
        <w:t>Baumeisterovi</w:t>
      </w:r>
      <w:proofErr w:type="spellEnd"/>
      <w:r w:rsidR="00D51C40" w:rsidRPr="00A338B7">
        <w:rPr>
          <w:rFonts w:ascii="Times New Roman" w:hAnsi="Times New Roman" w:cs="Times New Roman"/>
          <w:bCs/>
          <w:color w:val="000000"/>
          <w:sz w:val="24"/>
          <w:szCs w:val="24"/>
        </w:rPr>
        <w:t>,</w:t>
      </w:r>
      <w:r w:rsidR="00D51C40" w:rsidRPr="00A338B7">
        <w:rPr>
          <w:rFonts w:ascii="Times New Roman" w:hAnsi="Times New Roman" w:cs="Times New Roman"/>
          <w:sz w:val="24"/>
          <w:szCs w:val="24"/>
        </w:rPr>
        <w:t xml:space="preserve"> [2018].</w:t>
      </w:r>
    </w:p>
    <w:p w14:paraId="58AC77A2" w14:textId="77777777" w:rsidR="00D51C40" w:rsidRPr="00A338B7" w:rsidRDefault="00D51C40" w:rsidP="00D51C40">
      <w:pPr>
        <w:pStyle w:val="Odsekzoznamu"/>
        <w:spacing w:after="0" w:line="240" w:lineRule="auto"/>
        <w:ind w:left="1068"/>
        <w:jc w:val="both"/>
        <w:rPr>
          <w:rFonts w:ascii="Times New Roman" w:eastAsia="Times New Roman" w:hAnsi="Times New Roman" w:cs="Times New Roman"/>
          <w:sz w:val="24"/>
          <w:szCs w:val="24"/>
          <w:lang w:eastAsia="sk-SK"/>
        </w:rPr>
      </w:pPr>
    </w:p>
    <w:p w14:paraId="6B765971" w14:textId="77777777" w:rsidR="00D51C40" w:rsidRPr="00A338B7" w:rsidRDefault="00D51C40" w:rsidP="00D51C40">
      <w:pPr>
        <w:pStyle w:val="Odsekzoznamu"/>
        <w:spacing w:after="0" w:line="240" w:lineRule="auto"/>
        <w:ind w:left="1068"/>
        <w:jc w:val="both"/>
        <w:rPr>
          <w:rFonts w:ascii="Times New Roman" w:eastAsia="Times New Roman" w:hAnsi="Times New Roman" w:cs="Times New Roman"/>
          <w:b/>
          <w:sz w:val="24"/>
          <w:szCs w:val="24"/>
          <w:lang w:eastAsia="sk-SK"/>
        </w:rPr>
      </w:pPr>
      <w:r w:rsidRPr="00A338B7">
        <w:rPr>
          <w:rFonts w:ascii="Times New Roman" w:eastAsia="Times New Roman" w:hAnsi="Times New Roman" w:cs="Times New Roman"/>
          <w:b/>
          <w:sz w:val="24"/>
          <w:szCs w:val="24"/>
          <w:lang w:eastAsia="sk-SK"/>
        </w:rPr>
        <w:t>Výrok rozhodnutia:</w:t>
      </w:r>
    </w:p>
    <w:p w14:paraId="36522ADA" w14:textId="77777777" w:rsidR="00D51C40" w:rsidRPr="00A338B7" w:rsidRDefault="00D51C40" w:rsidP="00D51C40">
      <w:pPr>
        <w:pStyle w:val="c08dispositif"/>
        <w:spacing w:after="240" w:afterAutospacing="0"/>
        <w:ind w:left="1134" w:hanging="567"/>
        <w:jc w:val="both"/>
        <w:rPr>
          <w:bCs/>
        </w:rPr>
      </w:pPr>
      <w:r w:rsidRPr="00A338B7">
        <w:rPr>
          <w:bCs/>
          <w:color w:val="000000"/>
        </w:rPr>
        <w:t>1.</w:t>
      </w:r>
      <w:r w:rsidRPr="00A338B7">
        <w:rPr>
          <w:rFonts w:ascii="Arial" w:hAnsi="Arial" w:cs="Arial"/>
          <w:b/>
          <w:bCs/>
          <w:color w:val="000000"/>
          <w:sz w:val="18"/>
          <w:szCs w:val="18"/>
        </w:rPr>
        <w:t> </w:t>
      </w:r>
      <w:r w:rsidRPr="00A338B7">
        <w:rPr>
          <w:rFonts w:ascii="Arial" w:hAnsi="Arial" w:cs="Arial"/>
          <w:b/>
          <w:bCs/>
          <w:color w:val="000000"/>
          <w:sz w:val="18"/>
          <w:szCs w:val="18"/>
        </w:rPr>
        <w:tab/>
      </w:r>
      <w:r w:rsidRPr="00A338B7">
        <w:rPr>
          <w:bCs/>
        </w:rPr>
        <w:t>Článok 54 ods. 1 smernice Európskeho parlamentu a Rady </w:t>
      </w:r>
      <w:bookmarkStart w:id="0" w:name="ctx38"/>
      <w:r w:rsidRPr="00A338B7">
        <w:rPr>
          <w:bCs/>
        </w:rPr>
        <w:t>2004/39</w:t>
      </w:r>
      <w:bookmarkEnd w:id="0"/>
      <w:r w:rsidRPr="00A338B7">
        <w:rPr>
          <w:bCs/>
        </w:rPr>
        <w:t>/ES z 21. apríla 2004 o trhoch s finančnými nástrojmi, o zmene a doplnení smerníc Rady 85/611/EHS a 93/6/EHS a smernice Európskeho parlamentu a Rady 2000/12/ES a o zrušení smernice Rady 93/22/EHS, sa má vykladať v tom zmysle, že všetky informácie týkajúce sa podniku, nad ktorým sa vykonáva dohľad, ktoré tento podnik poskytne príslušnému orgánu, ako aj všetky vyhlásenia toho orgánu uvedené v jeho dokumentácii o dohľade, vrátane jeho korešpondencie s inými orgánmi, nie sú bezpodmienečne dôvernými informáciami, na ktoré sa teda vzťahuje povinnosť zachovávať služobné tajomstvo, ktorá je stanovená v tomto ustanovení. Táto kvalifikácia sa vzťahuje na informácie, ktoré majú k dispozícii orgány určené členskými štátmi na to, aby plnili úlohy stanovené touto smernicou, a ktoré jednak nemajú verejnú povahu a jednak ich sprístupnenie by mohlo poškodiť záujmy fyzickej či právnickej osoby, ktorá ich poskytla, alebo tretej osoby, alebo aj riadne fungovanie systému monitorovania činností investičných podnikov, ktorý normotvorca Únie zaviedol prijatím smernice </w:t>
      </w:r>
      <w:bookmarkStart w:id="1" w:name="ctx39"/>
      <w:r w:rsidRPr="00A338B7">
        <w:rPr>
          <w:bCs/>
        </w:rPr>
        <w:t>2004/39</w:t>
      </w:r>
      <w:bookmarkEnd w:id="1"/>
      <w:r w:rsidRPr="00A338B7">
        <w:rPr>
          <w:bCs/>
        </w:rPr>
        <w:t>.</w:t>
      </w:r>
    </w:p>
    <w:p w14:paraId="0942CF21" w14:textId="77777777" w:rsidR="00D51C40" w:rsidRPr="00A338B7" w:rsidRDefault="00D51C40" w:rsidP="00D51C40">
      <w:pPr>
        <w:pStyle w:val="c08dispositif"/>
        <w:spacing w:after="240" w:afterAutospacing="0"/>
        <w:ind w:left="1134" w:hanging="567"/>
        <w:jc w:val="both"/>
        <w:rPr>
          <w:bCs/>
        </w:rPr>
      </w:pPr>
      <w:r w:rsidRPr="00A338B7">
        <w:rPr>
          <w:bCs/>
        </w:rPr>
        <w:t>2.      Preto treba na druhú otázku odpovedať tak, že článok 54 ods. 1 smernice </w:t>
      </w:r>
      <w:bookmarkStart w:id="2" w:name="ctx40"/>
      <w:r w:rsidRPr="00A338B7">
        <w:rPr>
          <w:bCs/>
        </w:rPr>
        <w:t>2004/39</w:t>
      </w:r>
      <w:bookmarkEnd w:id="2"/>
      <w:r w:rsidRPr="00A338B7">
        <w:rPr>
          <w:bCs/>
        </w:rPr>
        <w:t> sa má vykladať v tom zmysle, že dôverná povaha informácií týkajúcich sa podniku, nad ktorým sa vykonáva dohľad, ktoré boli poskytnuté orgánom určeným členskými štátmi na to, aby plnili úlohy stanovené touto smernicou, sa musí posúdiť ku dňu preskúmania, ktoré majú tieto orgány vykonať pri rozhodovaní o žiadosti o sprístupnenie uvedených informácií, bez ohľadu na to, ako boli kvalifikované v okamihu, keď boli uvedeným orgánom poskytnuté.</w:t>
      </w:r>
    </w:p>
    <w:p w14:paraId="6310E7F9" w14:textId="77777777" w:rsidR="00D51C40" w:rsidRPr="00A338B7" w:rsidRDefault="00D51C40" w:rsidP="00D51C40">
      <w:pPr>
        <w:pStyle w:val="c08dispositif"/>
        <w:spacing w:after="240" w:afterAutospacing="0"/>
        <w:ind w:left="1134" w:hanging="567"/>
        <w:jc w:val="both"/>
        <w:rPr>
          <w:bCs/>
        </w:rPr>
      </w:pPr>
      <w:r w:rsidRPr="00A338B7">
        <w:rPr>
          <w:bCs/>
        </w:rPr>
        <w:lastRenderedPageBreak/>
        <w:t>3.      V dôsledku toho treba na tretiu otázku odpovedať tak, že článok 54 ods. 1 smernice </w:t>
      </w:r>
      <w:bookmarkStart w:id="3" w:name="ctx41"/>
      <w:r w:rsidRPr="00A338B7">
        <w:rPr>
          <w:bCs/>
        </w:rPr>
        <w:t>2004/39</w:t>
      </w:r>
      <w:bookmarkEnd w:id="3"/>
      <w:r w:rsidRPr="00A338B7">
        <w:rPr>
          <w:bCs/>
        </w:rPr>
        <w:t> sa má vykladať v tom zmysle, že informácie, ktoré majú k dispozícii orgány určené členskými štátmi na to, aby plnili úlohy stanovené touto smernicou, a ktoré môžu predstavovať obchodné tajomstvo, no sú staré päť a viac rokov, sa v dôsledku uplynutia času v zásade považujú za zastarané, a z tohto dôvodu stratili svoj tajný charakter, ibaže by účastník konania, ktorý sa odvoláva na tento charakter, výnimočne preukázal, že tieto informácie napriek ich veku stále predstavujú podstatné prvky jeho obchodného postavenia alebo postavenia tretej osoby. Takéto úvahy neplatia v prípade informácií, ktoré majú k dispozícií tieto orgány a ktorých dôvernosť možno odôvodniť inými dôvodmi, než je ich význam pre obchodné postavenie dotknutých podnikov.</w:t>
      </w:r>
    </w:p>
    <w:p w14:paraId="1AA02422" w14:textId="77777777" w:rsidR="00703A5A" w:rsidRPr="00A338B7" w:rsidRDefault="00703A5A" w:rsidP="00703A5A">
      <w:pPr>
        <w:spacing w:after="0" w:line="240" w:lineRule="auto"/>
        <w:rPr>
          <w:rFonts w:ascii="Times New Roman" w:eastAsia="Times New Roman" w:hAnsi="Times New Roman" w:cs="Times New Roman"/>
          <w:b/>
          <w:bCs/>
          <w:color w:val="000000"/>
          <w:sz w:val="24"/>
          <w:szCs w:val="24"/>
          <w:lang w:eastAsia="sk-SK"/>
        </w:rPr>
      </w:pPr>
    </w:p>
    <w:p w14:paraId="0C96FCAE" w14:textId="77777777" w:rsidR="008545C6" w:rsidRPr="00A338B7" w:rsidRDefault="008545C6" w:rsidP="008545C6">
      <w:pPr>
        <w:pStyle w:val="Odsekzoznamu"/>
        <w:numPr>
          <w:ilvl w:val="0"/>
          <w:numId w:val="1"/>
        </w:numPr>
        <w:spacing w:after="0" w:line="240" w:lineRule="auto"/>
        <w:ind w:left="426" w:hanging="426"/>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b/>
          <w:bCs/>
          <w:color w:val="000000"/>
          <w:sz w:val="24"/>
          <w:szCs w:val="24"/>
          <w:lang w:eastAsia="sk-SK"/>
        </w:rPr>
        <w:t>Záväzky Slovenskej republiky vo vzťahu k Európskej únii:</w:t>
      </w:r>
    </w:p>
    <w:p w14:paraId="176847E6" w14:textId="114C4646" w:rsidR="00B9033B" w:rsidRPr="00E8175F" w:rsidRDefault="00703A5A" w:rsidP="00B84C35">
      <w:pPr>
        <w:spacing w:after="0" w:line="240" w:lineRule="auto"/>
        <w:ind w:left="360"/>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na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prebratie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smernice</w:t>
      </w:r>
      <w:r w:rsidRPr="00E8175F">
        <w:rPr>
          <w:rFonts w:ascii="Times New Roman" w:eastAsia="Times New Roman" w:hAnsi="Times New Roman" w:cs="Times New Roman"/>
          <w:color w:val="000000"/>
          <w:spacing w:val="82"/>
          <w:sz w:val="24"/>
          <w:szCs w:val="24"/>
          <w:lang w:eastAsia="sk-SK"/>
        </w:rPr>
        <w:t xml:space="preserve"> </w:t>
      </w:r>
      <w:r w:rsidR="00B84C35" w:rsidRPr="00E8175F">
        <w:rPr>
          <w:rFonts w:ascii="Times New Roman" w:eastAsia="Times New Roman" w:hAnsi="Times New Roman" w:cs="Times New Roman"/>
          <w:color w:val="000000"/>
          <w:sz w:val="24"/>
          <w:szCs w:val="24"/>
          <w:lang w:eastAsia="sk-SK"/>
        </w:rPr>
        <w:t>(EÚ</w:t>
      </w:r>
      <w:r w:rsidR="00B84C35" w:rsidRPr="00E8175F">
        <w:rPr>
          <w:rFonts w:ascii="Times New Roman" w:eastAsia="Times New Roman" w:hAnsi="Times New Roman" w:cs="Times New Roman"/>
          <w:color w:val="000000"/>
          <w:spacing w:val="82"/>
          <w:sz w:val="24"/>
          <w:szCs w:val="24"/>
          <w:lang w:eastAsia="sk-SK"/>
        </w:rPr>
        <w:t>)</w:t>
      </w:r>
      <w:r w:rsidRPr="00E8175F">
        <w:rPr>
          <w:rFonts w:ascii="Times New Roman" w:eastAsia="Times New Roman" w:hAnsi="Times New Roman" w:cs="Times New Roman"/>
          <w:color w:val="000000"/>
          <w:sz w:val="24"/>
          <w:szCs w:val="24"/>
          <w:lang w:eastAsia="sk-SK"/>
        </w:rPr>
        <w:t>2019/2034 je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stanovená</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do</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26. júna 2021 s výnimkou niektorých článkov.</w:t>
      </w:r>
      <w:r w:rsidR="00B9033B" w:rsidRPr="00E8175F">
        <w:rPr>
          <w:rFonts w:ascii="Times New Roman" w:eastAsia="Times New Roman" w:hAnsi="Times New Roman" w:cs="Times New Roman"/>
          <w:color w:val="000000"/>
          <w:sz w:val="24"/>
          <w:szCs w:val="24"/>
          <w:lang w:eastAsia="sk-SK"/>
        </w:rPr>
        <w:t xml:space="preserve"> </w:t>
      </w:r>
    </w:p>
    <w:p w14:paraId="169B0E3C" w14:textId="04A2E10F" w:rsidR="00703A5A" w:rsidRPr="00E8175F" w:rsidRDefault="00B9033B" w:rsidP="001E58A5">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na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prebratie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smernice</w:t>
      </w:r>
      <w:r w:rsidR="00B84C35" w:rsidRPr="00E8175F">
        <w:rPr>
          <w:rFonts w:ascii="Times New Roman" w:eastAsia="Times New Roman" w:hAnsi="Times New Roman" w:cs="Times New Roman"/>
          <w:color w:val="000000"/>
          <w:sz w:val="24"/>
          <w:szCs w:val="24"/>
          <w:lang w:eastAsia="sk-SK"/>
        </w:rPr>
        <w:t xml:space="preserve"> (EÚ)</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2019/2177 je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stanovená</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do</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30. júna 2021</w:t>
      </w:r>
      <w:r w:rsidRPr="00E8175F">
        <w:rPr>
          <w:rFonts w:ascii="Times New Roman" w:eastAsia="Times New Roman" w:hAnsi="Times New Roman" w:cs="Times New Roman"/>
          <w:color w:val="000000"/>
          <w:sz w:val="24"/>
          <w:szCs w:val="24"/>
          <w:lang w:eastAsia="sk-SK"/>
        </w:rPr>
        <w:br/>
        <w:t>s </w:t>
      </w:r>
      <w:r w:rsidR="00585E01" w:rsidRPr="00E8175F">
        <w:rPr>
          <w:rFonts w:ascii="Times New Roman" w:eastAsia="Times New Roman" w:hAnsi="Times New Roman" w:cs="Times New Roman"/>
          <w:color w:val="000000"/>
          <w:sz w:val="24"/>
          <w:szCs w:val="24"/>
          <w:lang w:eastAsia="sk-SK"/>
        </w:rPr>
        <w:t>výnimkou článku 2 bodu 1, pri ktorom je stanovená lehota do 30. júna 2020.</w:t>
      </w:r>
    </w:p>
    <w:p w14:paraId="35D6C5E2" w14:textId="3E2665D5" w:rsidR="00012424" w:rsidRPr="00E8175F" w:rsidRDefault="00012424" w:rsidP="001E58A5">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 na prebratie smernice 2014/65</w:t>
      </w:r>
      <w:r w:rsidR="00B84C35" w:rsidRPr="00E8175F">
        <w:rPr>
          <w:rFonts w:ascii="Times New Roman" w:eastAsia="Times New Roman" w:hAnsi="Times New Roman" w:cs="Times New Roman"/>
          <w:color w:val="000000"/>
          <w:sz w:val="24"/>
          <w:szCs w:val="24"/>
          <w:lang w:eastAsia="sk-SK"/>
        </w:rPr>
        <w:t>/EÚ</w:t>
      </w:r>
      <w:r w:rsidRPr="00E8175F">
        <w:rPr>
          <w:rFonts w:ascii="Times New Roman" w:eastAsia="Times New Roman" w:hAnsi="Times New Roman" w:cs="Times New Roman"/>
          <w:color w:val="000000"/>
          <w:sz w:val="24"/>
          <w:szCs w:val="24"/>
          <w:lang w:eastAsia="sk-SK"/>
        </w:rPr>
        <w:t xml:space="preserve"> v platnom znení bola stanovená do 3.7.2017.</w:t>
      </w:r>
    </w:p>
    <w:p w14:paraId="4E83C20F" w14:textId="79D7CE53" w:rsidR="00012424" w:rsidRPr="00E8175F" w:rsidRDefault="00012424" w:rsidP="001E58A5">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 xml:space="preserve">Lehota na prebratie smernice </w:t>
      </w:r>
      <w:r w:rsidR="00B84C35" w:rsidRPr="00E8175F">
        <w:rPr>
          <w:rFonts w:ascii="Times New Roman" w:eastAsia="Times New Roman" w:hAnsi="Times New Roman" w:cs="Times New Roman"/>
          <w:color w:val="000000"/>
          <w:sz w:val="24"/>
          <w:szCs w:val="24"/>
          <w:lang w:eastAsia="sk-SK"/>
        </w:rPr>
        <w:t xml:space="preserve">(EÚ) </w:t>
      </w:r>
      <w:r w:rsidRPr="00E8175F">
        <w:rPr>
          <w:rFonts w:ascii="Times New Roman" w:eastAsia="Times New Roman" w:hAnsi="Times New Roman" w:cs="Times New Roman"/>
          <w:color w:val="000000"/>
          <w:sz w:val="24"/>
          <w:szCs w:val="24"/>
          <w:lang w:eastAsia="sk-SK"/>
        </w:rPr>
        <w:t>2020/1504 je stanovená do 10. mája 2021.</w:t>
      </w:r>
    </w:p>
    <w:p w14:paraId="557DD8CE" w14:textId="77777777" w:rsidR="008545C6" w:rsidRPr="00E8175F" w:rsidRDefault="008545C6" w:rsidP="001E58A5">
      <w:pPr>
        <w:pStyle w:val="Odsekzoznamu"/>
        <w:spacing w:after="0" w:line="240" w:lineRule="auto"/>
        <w:jc w:val="both"/>
        <w:rPr>
          <w:rFonts w:ascii="Times New Roman" w:eastAsia="Times New Roman" w:hAnsi="Times New Roman" w:cs="Times New Roman"/>
          <w:color w:val="000000"/>
          <w:sz w:val="24"/>
          <w:szCs w:val="24"/>
          <w:lang w:eastAsia="sk-SK"/>
        </w:rPr>
      </w:pPr>
    </w:p>
    <w:p w14:paraId="57F33BD7" w14:textId="1F9210EA" w:rsidR="00585E01" w:rsidRPr="00E8175F" w:rsidRDefault="00585E01" w:rsidP="001E58A5">
      <w:pPr>
        <w:pStyle w:val="Odsekzoznamu"/>
        <w:numPr>
          <w:ilvl w:val="0"/>
          <w:numId w:val="5"/>
        </w:numPr>
        <w:spacing w:line="240" w:lineRule="auto"/>
        <w:jc w:val="both"/>
        <w:rPr>
          <w:rFonts w:ascii="Times New Roman" w:hAnsi="Times New Roman" w:cs="Times New Roman"/>
          <w:sz w:val="24"/>
          <w:szCs w:val="24"/>
        </w:rPr>
      </w:pPr>
      <w:r w:rsidRPr="00E8175F">
        <w:rPr>
          <w:rFonts w:ascii="Times New Roman" w:hAnsi="Times New Roman" w:cs="Times New Roman"/>
          <w:sz w:val="24"/>
          <w:szCs w:val="24"/>
        </w:rPr>
        <w:t xml:space="preserve">V súvislosti s článkom 2 bod 1 smernice </w:t>
      </w:r>
      <w:r w:rsidR="00B84C35" w:rsidRPr="00E8175F">
        <w:rPr>
          <w:rFonts w:ascii="Times New Roman" w:hAnsi="Times New Roman" w:cs="Times New Roman"/>
          <w:sz w:val="24"/>
          <w:szCs w:val="24"/>
        </w:rPr>
        <w:t xml:space="preserve">(EÚ) </w:t>
      </w:r>
      <w:r w:rsidRPr="00E8175F">
        <w:rPr>
          <w:rFonts w:ascii="Times New Roman" w:hAnsi="Times New Roman" w:cs="Times New Roman"/>
          <w:sz w:val="24"/>
          <w:szCs w:val="24"/>
        </w:rPr>
        <w:t xml:space="preserve">2019/2177 adresovala Európska komisia Slovenskej republike formálne oznámenie C (2020) 4600/26 </w:t>
      </w:r>
      <w:proofErr w:type="spellStart"/>
      <w:r w:rsidRPr="00E8175F">
        <w:rPr>
          <w:rFonts w:ascii="Times New Roman" w:hAnsi="Times New Roman" w:cs="Times New Roman"/>
          <w:sz w:val="24"/>
          <w:szCs w:val="24"/>
        </w:rPr>
        <w:t>final</w:t>
      </w:r>
      <w:proofErr w:type="spellEnd"/>
      <w:r w:rsidRPr="00E8175F">
        <w:rPr>
          <w:rFonts w:ascii="Times New Roman" w:hAnsi="Times New Roman" w:cs="Times New Roman"/>
          <w:sz w:val="24"/>
          <w:szCs w:val="24"/>
        </w:rPr>
        <w:t xml:space="preserve"> zo dňa 17. júla 2020, ktorým iniciuje proti Slovenskej republike konanie o porušení vedené podľa čl. 258 Zmluvy o fungovaní Európskej únie v platnom znení registrované pod č. 2020/0362.</w:t>
      </w:r>
    </w:p>
    <w:p w14:paraId="294B7B40" w14:textId="77777777" w:rsidR="00585E01" w:rsidRPr="00E8175F" w:rsidRDefault="00585E01" w:rsidP="001E58A5">
      <w:pPr>
        <w:pStyle w:val="Odsekzoznamu"/>
        <w:jc w:val="both"/>
        <w:rPr>
          <w:rFonts w:ascii="Times New Roman" w:hAnsi="Times New Roman" w:cs="Times New Roman"/>
          <w:sz w:val="24"/>
          <w:szCs w:val="24"/>
        </w:rPr>
      </w:pPr>
    </w:p>
    <w:p w14:paraId="4FC41F6A" w14:textId="1072610E" w:rsidR="001E58A5" w:rsidRPr="00E8175F" w:rsidRDefault="00FC287C" w:rsidP="004D4AE9">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hAnsi="Times New Roman" w:cs="Times New Roman"/>
          <w:bCs/>
          <w:sz w:val="24"/>
          <w:szCs w:val="24"/>
        </w:rPr>
        <w:t>Smernic</w:t>
      </w:r>
      <w:r w:rsidR="00841AA5" w:rsidRPr="00E8175F">
        <w:rPr>
          <w:rFonts w:ascii="Times New Roman" w:hAnsi="Times New Roman" w:cs="Times New Roman"/>
          <w:bCs/>
          <w:sz w:val="24"/>
          <w:szCs w:val="24"/>
        </w:rPr>
        <w:t xml:space="preserve">e </w:t>
      </w:r>
      <w:r w:rsidR="00B84C35" w:rsidRPr="00E8175F">
        <w:rPr>
          <w:rFonts w:ascii="Times New Roman" w:hAnsi="Times New Roman" w:cs="Times New Roman"/>
          <w:bCs/>
          <w:sz w:val="24"/>
          <w:szCs w:val="24"/>
        </w:rPr>
        <w:t xml:space="preserve">(EÚ) 2019/2034 a smernice (EÚ) </w:t>
      </w:r>
      <w:r w:rsidR="00841AA5" w:rsidRPr="00E8175F">
        <w:rPr>
          <w:rFonts w:ascii="Times New Roman" w:hAnsi="Times New Roman" w:cs="Times New Roman"/>
          <w:bCs/>
          <w:sz w:val="24"/>
          <w:szCs w:val="24"/>
        </w:rPr>
        <w:t xml:space="preserve">2019/2177 boli transponované </w:t>
      </w:r>
      <w:r w:rsidR="004D4AE9" w:rsidRPr="00E8175F">
        <w:rPr>
          <w:rFonts w:ascii="Times New Roman" w:hAnsi="Times New Roman" w:cs="Times New Roman"/>
          <w:bCs/>
          <w:sz w:val="24"/>
          <w:szCs w:val="24"/>
        </w:rPr>
        <w:t xml:space="preserve">do zákona č. 340/2020 Z. z., ktorým sa mení a dopĺňa zákon č. 483/2001 Z. z. o bankách </w:t>
      </w:r>
      <w:r w:rsidR="004D4AE9" w:rsidRPr="00E8175F">
        <w:rPr>
          <w:rFonts w:ascii="Times New Roman" w:eastAsia="Times New Roman" w:hAnsi="Times New Roman" w:cs="Times New Roman"/>
          <w:color w:val="000000"/>
          <w:sz w:val="24"/>
          <w:szCs w:val="24"/>
          <w:lang w:eastAsia="sk-SK"/>
        </w:rPr>
        <w:t>a o zmene a doplnení niektorých zákonov v znení neskorších predpisov a ktorým sa menia a dopĺňajú niektoré zákony.</w:t>
      </w:r>
    </w:p>
    <w:p w14:paraId="1C8628C9" w14:textId="77777777" w:rsidR="00012424" w:rsidRPr="00D449AF" w:rsidRDefault="00012424" w:rsidP="00012424">
      <w:pPr>
        <w:pStyle w:val="Odsekzoznamu"/>
        <w:rPr>
          <w:rFonts w:ascii="Times New Roman" w:eastAsia="Times New Roman" w:hAnsi="Times New Roman" w:cs="Times New Roman"/>
          <w:color w:val="000000"/>
          <w:sz w:val="24"/>
          <w:szCs w:val="24"/>
          <w:lang w:eastAsia="sk-SK"/>
        </w:rPr>
      </w:pPr>
    </w:p>
    <w:p w14:paraId="7C92885C" w14:textId="7F3B8CF9" w:rsidR="00012424" w:rsidRPr="00A338B7" w:rsidRDefault="00012424" w:rsidP="00012424">
      <w:pPr>
        <w:pStyle w:val="Odsekzoznamu"/>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eastAsia="Times New Roman" w:hAnsi="Times New Roman" w:cs="Times New Roman"/>
          <w:color w:val="000000"/>
          <w:sz w:val="24"/>
          <w:szCs w:val="24"/>
          <w:lang w:eastAsia="sk-SK"/>
        </w:rPr>
        <w:t>Smernica 2014/65/EÚ bola prebratá do zákona č. 237/2017 Z. z., ktorým sa mení a dopĺňa zákon č. 566/2001 Z. z. o cenných papieroch a investičných službách a o zmene a doplnení niektorých zákonov (zákon o cenných papieroch) v znení neskorších predpisov a ktorým sa menia a dopĺňajú niektoré zákony, do zákona č. 566/2001 Z. z. o cenných papieroch a investičných službách a o zmene a doplnení niektorých zákonov (zákon o cenných papieroch) v znení neskorších predpisov, do zákona č. 429/2002 Z. z. o burze cenných papierov v znení neskorších predpisov, do zákona č. 747/2004 Z. z. o dohľade nad finančným trhom a o zmene niektorých zákonov v znení neskorších predpisov, do zákona č. 186/2009 Z. z. o finančnom sprostredkovaní a finančnom poradenstve a o zmene a doplnení niektorých zákonov v znení neskorších predpisov, do zákona č. 203/2011 Z. z. o kolektívnom investovaní v znení neskorších predpisov, do zákona č. 483/2001 Z. z. o bankách a o zmene a doplnení niektorých zákonov v znení neskorších predpisov, do zákona č. 250/2007 Z. z. o ochrane spotrebiteľa a o zmene zákona Slovenskej národnej rady č. 372/1990 Zb. o priestupkoch v znení neskorších predpis</w:t>
      </w:r>
      <w:r w:rsidR="00BC3AF5">
        <w:rPr>
          <w:rFonts w:ascii="Times New Roman" w:eastAsia="Times New Roman" w:hAnsi="Times New Roman" w:cs="Times New Roman"/>
          <w:color w:val="000000"/>
          <w:sz w:val="24"/>
          <w:szCs w:val="24"/>
          <w:lang w:eastAsia="sk-SK"/>
        </w:rPr>
        <w:t>ov v znení neskorších predpisov,</w:t>
      </w:r>
      <w:r w:rsidRPr="00D449AF">
        <w:rPr>
          <w:rFonts w:ascii="Times New Roman" w:eastAsia="Times New Roman" w:hAnsi="Times New Roman" w:cs="Times New Roman"/>
          <w:color w:val="000000"/>
          <w:sz w:val="24"/>
          <w:szCs w:val="24"/>
          <w:lang w:eastAsia="sk-SK"/>
        </w:rPr>
        <w:t xml:space="preserve"> do zákona č. 423/2015 Z. z. o štatutárnom audite a o zmene a doplnení zákona č. 431/2002 Z. z. o účtovníctve v znení neskorších predpisov v znení neskorších </w:t>
      </w:r>
      <w:r w:rsidRPr="00E8175F">
        <w:rPr>
          <w:rFonts w:ascii="Times New Roman" w:eastAsia="Times New Roman" w:hAnsi="Times New Roman" w:cs="Times New Roman"/>
          <w:color w:val="000000"/>
          <w:sz w:val="24"/>
          <w:szCs w:val="24"/>
          <w:lang w:eastAsia="sk-SK"/>
        </w:rPr>
        <w:t>predpiso</w:t>
      </w:r>
      <w:r w:rsidR="00065E47" w:rsidRPr="00E8175F">
        <w:rPr>
          <w:rFonts w:ascii="Times New Roman" w:eastAsia="Times New Roman" w:hAnsi="Times New Roman" w:cs="Times New Roman"/>
          <w:color w:val="000000"/>
          <w:sz w:val="24"/>
          <w:szCs w:val="24"/>
          <w:lang w:eastAsia="sk-SK"/>
        </w:rPr>
        <w:t>v</w:t>
      </w:r>
      <w:r w:rsidR="00BC3AF5" w:rsidRPr="00E8175F">
        <w:rPr>
          <w:rFonts w:ascii="Times New Roman" w:eastAsia="Times New Roman" w:hAnsi="Times New Roman" w:cs="Times New Roman"/>
          <w:color w:val="000000"/>
          <w:sz w:val="24"/>
          <w:szCs w:val="24"/>
          <w:lang w:eastAsia="sk-SK"/>
        </w:rPr>
        <w:t xml:space="preserve"> a</w:t>
      </w:r>
      <w:r w:rsidR="003F0AF9" w:rsidRPr="00E8175F">
        <w:rPr>
          <w:rFonts w:ascii="Times New Roman" w:eastAsia="Times New Roman" w:hAnsi="Times New Roman" w:cs="Times New Roman"/>
          <w:color w:val="000000"/>
          <w:sz w:val="24"/>
          <w:szCs w:val="24"/>
          <w:lang w:eastAsia="sk-SK"/>
        </w:rPr>
        <w:t xml:space="preserve"> do zákona č. 373/2018 Z. z.</w:t>
      </w:r>
      <w:r w:rsidR="00BC3AF5" w:rsidRPr="00E8175F">
        <w:rPr>
          <w:rFonts w:ascii="Times New Roman" w:eastAsia="Times New Roman" w:hAnsi="Times New Roman" w:cs="Times New Roman"/>
          <w:color w:val="000000"/>
          <w:sz w:val="24"/>
          <w:szCs w:val="24"/>
          <w:lang w:eastAsia="sk-SK"/>
        </w:rPr>
        <w:t>,</w:t>
      </w:r>
      <w:r w:rsidR="003F0AF9" w:rsidRPr="00E8175F">
        <w:rPr>
          <w:rFonts w:ascii="Times New Roman" w:eastAsia="Times New Roman" w:hAnsi="Times New Roman" w:cs="Times New Roman"/>
          <w:color w:val="000000"/>
          <w:sz w:val="24"/>
          <w:szCs w:val="24"/>
          <w:lang w:eastAsia="sk-SK"/>
        </w:rPr>
        <w:t xml:space="preserve"> </w:t>
      </w:r>
      <w:r w:rsidR="00BC3AF5" w:rsidRPr="00E8175F">
        <w:rPr>
          <w:rFonts w:ascii="Times New Roman" w:eastAsia="Times New Roman" w:hAnsi="Times New Roman" w:cs="Times New Roman"/>
          <w:color w:val="000000"/>
          <w:sz w:val="24"/>
          <w:szCs w:val="24"/>
          <w:lang w:eastAsia="sk-SK"/>
        </w:rPr>
        <w:t xml:space="preserve">ktorým sa mení a dopĺňa zákon č. 371/2014 Z. z. o riešení krízových </w:t>
      </w:r>
      <w:r w:rsidR="00BC3AF5" w:rsidRPr="00E8175F">
        <w:rPr>
          <w:rFonts w:ascii="Times New Roman" w:eastAsia="Times New Roman" w:hAnsi="Times New Roman" w:cs="Times New Roman"/>
          <w:color w:val="000000"/>
          <w:sz w:val="24"/>
          <w:szCs w:val="24"/>
          <w:lang w:eastAsia="sk-SK"/>
        </w:rPr>
        <w:lastRenderedPageBreak/>
        <w:t>situácií na finančnom trhu a o zmene a doplnení niektorých zákonov v znení neskorších predpisov a ktorým sa menia a dopĺňajú niektoré zákony.</w:t>
      </w:r>
      <w:bookmarkStart w:id="4" w:name="_GoBack"/>
      <w:bookmarkEnd w:id="4"/>
    </w:p>
    <w:p w14:paraId="31F60531" w14:textId="77777777" w:rsidR="00E36C99" w:rsidRPr="00A338B7" w:rsidRDefault="00E36C99" w:rsidP="00E36C99">
      <w:pPr>
        <w:spacing w:after="0" w:line="240" w:lineRule="auto"/>
        <w:jc w:val="both"/>
        <w:rPr>
          <w:rFonts w:ascii="Times New Roman" w:eastAsia="Times New Roman" w:hAnsi="Times New Roman" w:cs="Times New Roman"/>
          <w:color w:val="000000"/>
          <w:sz w:val="24"/>
          <w:szCs w:val="24"/>
          <w:lang w:eastAsia="sk-SK"/>
        </w:rPr>
      </w:pPr>
    </w:p>
    <w:p w14:paraId="463200EB" w14:textId="77777777" w:rsidR="00703A5A" w:rsidRPr="00A338B7" w:rsidRDefault="00703A5A" w:rsidP="00FC287C">
      <w:pPr>
        <w:spacing w:after="0" w:line="240" w:lineRule="auto"/>
        <w:jc w:val="both"/>
        <w:rPr>
          <w:rFonts w:ascii="Times New Roman" w:eastAsia="Times New Roman" w:hAnsi="Times New Roman" w:cs="Times New Roman"/>
          <w:color w:val="000000"/>
          <w:sz w:val="24"/>
          <w:szCs w:val="24"/>
          <w:lang w:eastAsia="sk-SK"/>
        </w:rPr>
      </w:pPr>
    </w:p>
    <w:p w14:paraId="075A023A" w14:textId="77777777" w:rsidR="00FC287C" w:rsidRPr="00A338B7" w:rsidRDefault="00FC287C" w:rsidP="00FC287C">
      <w:pPr>
        <w:pStyle w:val="Odsekzoznamu"/>
        <w:numPr>
          <w:ilvl w:val="0"/>
          <w:numId w:val="1"/>
        </w:numPr>
        <w:spacing w:after="0" w:line="240" w:lineRule="auto"/>
        <w:ind w:left="426" w:hanging="426"/>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b/>
          <w:bCs/>
          <w:color w:val="000000"/>
          <w:sz w:val="24"/>
          <w:szCs w:val="24"/>
          <w:lang w:eastAsia="sk-SK"/>
        </w:rPr>
        <w:t>Návrh zákona je zlučiteľný s právom Európskej únie:</w:t>
      </w:r>
    </w:p>
    <w:p w14:paraId="23143028" w14:textId="77777777" w:rsidR="00FC287C" w:rsidRPr="00A338B7" w:rsidRDefault="00FC287C" w:rsidP="00FC287C">
      <w:pPr>
        <w:pStyle w:val="Odsekzoznamu"/>
        <w:numPr>
          <w:ilvl w:val="0"/>
          <w:numId w:val="6"/>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úplne.</w:t>
      </w:r>
    </w:p>
    <w:p w14:paraId="58883423" w14:textId="77777777" w:rsidR="00FE77D3" w:rsidRPr="00FC287C" w:rsidRDefault="00FE77D3">
      <w:pPr>
        <w:rPr>
          <w:rFonts w:ascii="Times New Roman" w:hAnsi="Times New Roman" w:cs="Times New Roman"/>
          <w:sz w:val="24"/>
          <w:szCs w:val="24"/>
        </w:rPr>
      </w:pPr>
    </w:p>
    <w:sectPr w:rsidR="00FE77D3" w:rsidRPr="00FC2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64723"/>
    <w:multiLevelType w:val="hybridMultilevel"/>
    <w:tmpl w:val="6E6E0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012424"/>
    <w:rsid w:val="00021528"/>
    <w:rsid w:val="000369FD"/>
    <w:rsid w:val="00060915"/>
    <w:rsid w:val="00065E47"/>
    <w:rsid w:val="00070450"/>
    <w:rsid w:val="00140B76"/>
    <w:rsid w:val="001A45EA"/>
    <w:rsid w:val="001E58A5"/>
    <w:rsid w:val="002153BD"/>
    <w:rsid w:val="002756D7"/>
    <w:rsid w:val="0028065B"/>
    <w:rsid w:val="002C76C3"/>
    <w:rsid w:val="00324745"/>
    <w:rsid w:val="003A68BE"/>
    <w:rsid w:val="003F0AF9"/>
    <w:rsid w:val="00410753"/>
    <w:rsid w:val="00447FEC"/>
    <w:rsid w:val="0046235E"/>
    <w:rsid w:val="00477C8D"/>
    <w:rsid w:val="00492483"/>
    <w:rsid w:val="004D4AE9"/>
    <w:rsid w:val="00551FD0"/>
    <w:rsid w:val="00577C45"/>
    <w:rsid w:val="00585E01"/>
    <w:rsid w:val="0066120D"/>
    <w:rsid w:val="00677E30"/>
    <w:rsid w:val="006927F9"/>
    <w:rsid w:val="00703A5A"/>
    <w:rsid w:val="00725E46"/>
    <w:rsid w:val="00735A06"/>
    <w:rsid w:val="00773DED"/>
    <w:rsid w:val="007B7522"/>
    <w:rsid w:val="00833B0C"/>
    <w:rsid w:val="00841AA5"/>
    <w:rsid w:val="00851397"/>
    <w:rsid w:val="008545C6"/>
    <w:rsid w:val="008872D4"/>
    <w:rsid w:val="008953E8"/>
    <w:rsid w:val="008A0654"/>
    <w:rsid w:val="00967B3F"/>
    <w:rsid w:val="009C04AA"/>
    <w:rsid w:val="009D6F4B"/>
    <w:rsid w:val="00A142A1"/>
    <w:rsid w:val="00A338B7"/>
    <w:rsid w:val="00A70665"/>
    <w:rsid w:val="00A82C6C"/>
    <w:rsid w:val="00B12415"/>
    <w:rsid w:val="00B7140D"/>
    <w:rsid w:val="00B77702"/>
    <w:rsid w:val="00B84C35"/>
    <w:rsid w:val="00B9033B"/>
    <w:rsid w:val="00B95454"/>
    <w:rsid w:val="00BC3AF5"/>
    <w:rsid w:val="00C347D4"/>
    <w:rsid w:val="00CF09D2"/>
    <w:rsid w:val="00D31A90"/>
    <w:rsid w:val="00D449AF"/>
    <w:rsid w:val="00D51C40"/>
    <w:rsid w:val="00DA400B"/>
    <w:rsid w:val="00DA5F66"/>
    <w:rsid w:val="00E36C99"/>
    <w:rsid w:val="00E5089D"/>
    <w:rsid w:val="00E8175F"/>
    <w:rsid w:val="00EA46B3"/>
    <w:rsid w:val="00EE3B2A"/>
    <w:rsid w:val="00F33808"/>
    <w:rsid w:val="00F657AB"/>
    <w:rsid w:val="00FB7EF9"/>
    <w:rsid w:val="00FC287C"/>
    <w:rsid w:val="00FE77D3"/>
    <w:rsid w:val="00FF1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A91C"/>
  <w15:docId w15:val="{2594D4EF-741D-4752-9803-D61F390B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1A45EA"/>
  </w:style>
  <w:style w:type="character" w:styleId="Hypertextovprepojenie">
    <w:name w:val="Hyperlink"/>
    <w:basedOn w:val="Predvolenpsmoodseku"/>
    <w:uiPriority w:val="99"/>
    <w:semiHidden/>
    <w:unhideWhenUsed/>
    <w:rsid w:val="001A45EA"/>
    <w:rPr>
      <w:color w:val="0000FF"/>
      <w:u w:val="single"/>
    </w:rPr>
  </w:style>
  <w:style w:type="paragraph" w:styleId="Odsekzoznamu">
    <w:name w:val="List Paragraph"/>
    <w:basedOn w:val="Normlny"/>
    <w:uiPriority w:val="34"/>
    <w:qFormat/>
    <w:rsid w:val="001A45EA"/>
    <w:pPr>
      <w:ind w:left="720"/>
      <w:contextualSpacing/>
    </w:pPr>
  </w:style>
  <w:style w:type="paragraph" w:customStyle="1" w:styleId="c08dispositif">
    <w:name w:val="c08dispositif"/>
    <w:basedOn w:val="Normlny"/>
    <w:rsid w:val="00577C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41AA5"/>
    <w:rPr>
      <w:sz w:val="16"/>
      <w:szCs w:val="16"/>
    </w:rPr>
  </w:style>
  <w:style w:type="paragraph" w:styleId="Textkomentra">
    <w:name w:val="annotation text"/>
    <w:basedOn w:val="Normlny"/>
    <w:link w:val="TextkomentraChar"/>
    <w:uiPriority w:val="99"/>
    <w:semiHidden/>
    <w:unhideWhenUsed/>
    <w:rsid w:val="00841AA5"/>
    <w:pPr>
      <w:spacing w:line="240" w:lineRule="auto"/>
    </w:pPr>
    <w:rPr>
      <w:sz w:val="20"/>
      <w:szCs w:val="20"/>
    </w:rPr>
  </w:style>
  <w:style w:type="character" w:customStyle="1" w:styleId="TextkomentraChar">
    <w:name w:val="Text komentára Char"/>
    <w:basedOn w:val="Predvolenpsmoodseku"/>
    <w:link w:val="Textkomentra"/>
    <w:uiPriority w:val="99"/>
    <w:semiHidden/>
    <w:rsid w:val="00841AA5"/>
    <w:rPr>
      <w:sz w:val="20"/>
      <w:szCs w:val="20"/>
    </w:rPr>
  </w:style>
  <w:style w:type="paragraph" w:styleId="Predmetkomentra">
    <w:name w:val="annotation subject"/>
    <w:basedOn w:val="Textkomentra"/>
    <w:next w:val="Textkomentra"/>
    <w:link w:val="PredmetkomentraChar"/>
    <w:uiPriority w:val="99"/>
    <w:semiHidden/>
    <w:unhideWhenUsed/>
    <w:rsid w:val="00841AA5"/>
    <w:rPr>
      <w:b/>
      <w:bCs/>
    </w:rPr>
  </w:style>
  <w:style w:type="character" w:customStyle="1" w:styleId="PredmetkomentraChar">
    <w:name w:val="Predmet komentára Char"/>
    <w:basedOn w:val="TextkomentraChar"/>
    <w:link w:val="Predmetkomentra"/>
    <w:uiPriority w:val="99"/>
    <w:semiHidden/>
    <w:rsid w:val="00841AA5"/>
    <w:rPr>
      <w:b/>
      <w:bCs/>
      <w:sz w:val="20"/>
      <w:szCs w:val="20"/>
    </w:rPr>
  </w:style>
  <w:style w:type="paragraph" w:styleId="Textbubliny">
    <w:name w:val="Balloon Text"/>
    <w:basedOn w:val="Normlny"/>
    <w:link w:val="TextbublinyChar"/>
    <w:uiPriority w:val="99"/>
    <w:semiHidden/>
    <w:unhideWhenUsed/>
    <w:rsid w:val="00841A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796">
      <w:bodyDiv w:val="1"/>
      <w:marLeft w:val="0"/>
      <w:marRight w:val="0"/>
      <w:marTop w:val="0"/>
      <w:marBottom w:val="0"/>
      <w:divBdr>
        <w:top w:val="none" w:sz="0" w:space="0" w:color="auto"/>
        <w:left w:val="none" w:sz="0" w:space="0" w:color="auto"/>
        <w:bottom w:val="none" w:sz="0" w:space="0" w:color="auto"/>
        <w:right w:val="none" w:sz="0" w:space="0" w:color="auto"/>
      </w:divBdr>
    </w:div>
    <w:div w:id="1085225263">
      <w:bodyDiv w:val="1"/>
      <w:marLeft w:val="0"/>
      <w:marRight w:val="0"/>
      <w:marTop w:val="0"/>
      <w:marBottom w:val="0"/>
      <w:divBdr>
        <w:top w:val="none" w:sz="0" w:space="0" w:color="auto"/>
        <w:left w:val="none" w:sz="0" w:space="0" w:color="auto"/>
        <w:bottom w:val="none" w:sz="0" w:space="0" w:color="auto"/>
        <w:right w:val="none" w:sz="0" w:space="0" w:color="auto"/>
      </w:divBdr>
    </w:div>
    <w:div w:id="1575628961">
      <w:bodyDiv w:val="1"/>
      <w:marLeft w:val="0"/>
      <w:marRight w:val="0"/>
      <w:marTop w:val="0"/>
      <w:marBottom w:val="0"/>
      <w:divBdr>
        <w:top w:val="none" w:sz="0" w:space="0" w:color="auto"/>
        <w:left w:val="none" w:sz="0" w:space="0" w:color="auto"/>
        <w:bottom w:val="none" w:sz="0" w:space="0" w:color="auto"/>
        <w:right w:val="none" w:sz="0" w:space="0" w:color="auto"/>
      </w:divBdr>
      <w:divsChild>
        <w:div w:id="1246257514">
          <w:marLeft w:val="0"/>
          <w:marRight w:val="0"/>
          <w:marTop w:val="200"/>
          <w:marBottom w:val="200"/>
          <w:divBdr>
            <w:top w:val="single" w:sz="8" w:space="0" w:color="000000"/>
            <w:left w:val="single" w:sz="8" w:space="0" w:color="000000"/>
            <w:bottom w:val="single" w:sz="8" w:space="0" w:color="000000"/>
            <w:right w:val="single" w:sz="8" w:space="0" w:color="000000"/>
          </w:divBdr>
          <w:divsChild>
            <w:div w:id="2019771552">
              <w:marLeft w:val="0"/>
              <w:marRight w:val="0"/>
              <w:marTop w:val="0"/>
              <w:marBottom w:val="0"/>
              <w:divBdr>
                <w:top w:val="none" w:sz="0" w:space="0" w:color="auto"/>
                <w:left w:val="none" w:sz="0" w:space="0" w:color="auto"/>
                <w:bottom w:val="none" w:sz="0" w:space="0" w:color="auto"/>
                <w:right w:val="none" w:sz="0" w:space="0" w:color="auto"/>
              </w:divBdr>
            </w:div>
            <w:div w:id="1562908705">
              <w:marLeft w:val="0"/>
              <w:marRight w:val="0"/>
              <w:marTop w:val="0"/>
              <w:marBottom w:val="0"/>
              <w:divBdr>
                <w:top w:val="none" w:sz="0" w:space="0" w:color="auto"/>
                <w:left w:val="none" w:sz="0" w:space="0" w:color="auto"/>
                <w:bottom w:val="none" w:sz="0" w:space="0" w:color="auto"/>
                <w:right w:val="none" w:sz="0" w:space="0" w:color="auto"/>
              </w:divBdr>
              <w:divsChild>
                <w:div w:id="1439638040">
                  <w:marLeft w:val="0"/>
                  <w:marRight w:val="0"/>
                  <w:marTop w:val="0"/>
                  <w:marBottom w:val="0"/>
                  <w:divBdr>
                    <w:top w:val="none" w:sz="0" w:space="0" w:color="auto"/>
                    <w:left w:val="none" w:sz="0" w:space="0" w:color="auto"/>
                    <w:bottom w:val="none" w:sz="0" w:space="0" w:color="auto"/>
                    <w:right w:val="none" w:sz="0" w:space="0" w:color="auto"/>
                  </w:divBdr>
                </w:div>
                <w:div w:id="402411772">
                  <w:marLeft w:val="0"/>
                  <w:marRight w:val="0"/>
                  <w:marTop w:val="0"/>
                  <w:marBottom w:val="0"/>
                  <w:divBdr>
                    <w:top w:val="none" w:sz="0" w:space="0" w:color="auto"/>
                    <w:left w:val="none" w:sz="0" w:space="0" w:color="auto"/>
                    <w:bottom w:val="none" w:sz="0" w:space="0" w:color="auto"/>
                    <w:right w:val="none" w:sz="0" w:space="0" w:color="auto"/>
                  </w:divBdr>
                </w:div>
                <w:div w:id="1747923190">
                  <w:marLeft w:val="0"/>
                  <w:marRight w:val="0"/>
                  <w:marTop w:val="0"/>
                  <w:marBottom w:val="0"/>
                  <w:divBdr>
                    <w:top w:val="none" w:sz="0" w:space="0" w:color="auto"/>
                    <w:left w:val="none" w:sz="0" w:space="0" w:color="auto"/>
                    <w:bottom w:val="none" w:sz="0" w:space="0" w:color="auto"/>
                    <w:right w:val="none" w:sz="0" w:space="0" w:color="auto"/>
                  </w:divBdr>
                </w:div>
                <w:div w:id="1874152532">
                  <w:marLeft w:val="0"/>
                  <w:marRight w:val="0"/>
                  <w:marTop w:val="0"/>
                  <w:marBottom w:val="0"/>
                  <w:divBdr>
                    <w:top w:val="none" w:sz="0" w:space="0" w:color="auto"/>
                    <w:left w:val="none" w:sz="0" w:space="0" w:color="auto"/>
                    <w:bottom w:val="none" w:sz="0" w:space="0" w:color="auto"/>
                    <w:right w:val="none" w:sz="0" w:space="0" w:color="auto"/>
                  </w:divBdr>
                </w:div>
                <w:div w:id="1521747052">
                  <w:marLeft w:val="0"/>
                  <w:marRight w:val="0"/>
                  <w:marTop w:val="0"/>
                  <w:marBottom w:val="0"/>
                  <w:divBdr>
                    <w:top w:val="none" w:sz="0" w:space="0" w:color="auto"/>
                    <w:left w:val="none" w:sz="0" w:space="0" w:color="auto"/>
                    <w:bottom w:val="none" w:sz="0" w:space="0" w:color="auto"/>
                    <w:right w:val="none" w:sz="0" w:space="0" w:color="auto"/>
                  </w:divBdr>
                </w:div>
                <w:div w:id="595795166">
                  <w:marLeft w:val="0"/>
                  <w:marRight w:val="0"/>
                  <w:marTop w:val="0"/>
                  <w:marBottom w:val="0"/>
                  <w:divBdr>
                    <w:top w:val="none" w:sz="0" w:space="0" w:color="auto"/>
                    <w:left w:val="none" w:sz="0" w:space="0" w:color="auto"/>
                    <w:bottom w:val="none" w:sz="0" w:space="0" w:color="auto"/>
                    <w:right w:val="none" w:sz="0" w:space="0" w:color="auto"/>
                  </w:divBdr>
                </w:div>
                <w:div w:id="2009020374">
                  <w:marLeft w:val="0"/>
                  <w:marRight w:val="0"/>
                  <w:marTop w:val="0"/>
                  <w:marBottom w:val="0"/>
                  <w:divBdr>
                    <w:top w:val="none" w:sz="0" w:space="0" w:color="auto"/>
                    <w:left w:val="none" w:sz="0" w:space="0" w:color="auto"/>
                    <w:bottom w:val="none" w:sz="0" w:space="0" w:color="auto"/>
                    <w:right w:val="none" w:sz="0" w:space="0" w:color="auto"/>
                  </w:divBdr>
                </w:div>
                <w:div w:id="352003855">
                  <w:marLeft w:val="0"/>
                  <w:marRight w:val="0"/>
                  <w:marTop w:val="0"/>
                  <w:marBottom w:val="0"/>
                  <w:divBdr>
                    <w:top w:val="none" w:sz="0" w:space="0" w:color="auto"/>
                    <w:left w:val="none" w:sz="0" w:space="0" w:color="auto"/>
                    <w:bottom w:val="none" w:sz="0" w:space="0" w:color="auto"/>
                    <w:right w:val="none" w:sz="0" w:space="0" w:color="auto"/>
                  </w:divBdr>
                </w:div>
                <w:div w:id="143477547">
                  <w:marLeft w:val="0"/>
                  <w:marRight w:val="0"/>
                  <w:marTop w:val="0"/>
                  <w:marBottom w:val="0"/>
                  <w:divBdr>
                    <w:top w:val="none" w:sz="0" w:space="0" w:color="auto"/>
                    <w:left w:val="none" w:sz="0" w:space="0" w:color="auto"/>
                    <w:bottom w:val="none" w:sz="0" w:space="0" w:color="auto"/>
                    <w:right w:val="none" w:sz="0" w:space="0" w:color="auto"/>
                  </w:divBdr>
                </w:div>
                <w:div w:id="1018967760">
                  <w:marLeft w:val="0"/>
                  <w:marRight w:val="0"/>
                  <w:marTop w:val="0"/>
                  <w:marBottom w:val="0"/>
                  <w:divBdr>
                    <w:top w:val="none" w:sz="0" w:space="0" w:color="auto"/>
                    <w:left w:val="none" w:sz="0" w:space="0" w:color="auto"/>
                    <w:bottom w:val="none" w:sz="0" w:space="0" w:color="auto"/>
                    <w:right w:val="none" w:sz="0" w:space="0" w:color="auto"/>
                  </w:divBdr>
                </w:div>
                <w:div w:id="1509978040">
                  <w:marLeft w:val="0"/>
                  <w:marRight w:val="0"/>
                  <w:marTop w:val="0"/>
                  <w:marBottom w:val="0"/>
                  <w:divBdr>
                    <w:top w:val="none" w:sz="0" w:space="0" w:color="auto"/>
                    <w:left w:val="none" w:sz="0" w:space="0" w:color="auto"/>
                    <w:bottom w:val="none" w:sz="0" w:space="0" w:color="auto"/>
                    <w:right w:val="none" w:sz="0" w:space="0" w:color="auto"/>
                  </w:divBdr>
                </w:div>
                <w:div w:id="550654893">
                  <w:marLeft w:val="0"/>
                  <w:marRight w:val="0"/>
                  <w:marTop w:val="0"/>
                  <w:marBottom w:val="0"/>
                  <w:divBdr>
                    <w:top w:val="none" w:sz="0" w:space="0" w:color="auto"/>
                    <w:left w:val="none" w:sz="0" w:space="0" w:color="auto"/>
                    <w:bottom w:val="none" w:sz="0" w:space="0" w:color="auto"/>
                    <w:right w:val="none" w:sz="0" w:space="0" w:color="auto"/>
                  </w:divBdr>
                </w:div>
                <w:div w:id="1171992351">
                  <w:marLeft w:val="0"/>
                  <w:marRight w:val="0"/>
                  <w:marTop w:val="0"/>
                  <w:marBottom w:val="0"/>
                  <w:divBdr>
                    <w:top w:val="none" w:sz="0" w:space="0" w:color="auto"/>
                    <w:left w:val="none" w:sz="0" w:space="0" w:color="auto"/>
                    <w:bottom w:val="none" w:sz="0" w:space="0" w:color="auto"/>
                    <w:right w:val="none" w:sz="0" w:space="0" w:color="auto"/>
                  </w:divBdr>
                </w:div>
                <w:div w:id="1292055417">
                  <w:marLeft w:val="0"/>
                  <w:marRight w:val="0"/>
                  <w:marTop w:val="0"/>
                  <w:marBottom w:val="0"/>
                  <w:divBdr>
                    <w:top w:val="none" w:sz="0" w:space="0" w:color="auto"/>
                    <w:left w:val="none" w:sz="0" w:space="0" w:color="auto"/>
                    <w:bottom w:val="none" w:sz="0" w:space="0" w:color="auto"/>
                    <w:right w:val="none" w:sz="0" w:space="0" w:color="auto"/>
                  </w:divBdr>
                </w:div>
                <w:div w:id="834495857">
                  <w:marLeft w:val="0"/>
                  <w:marRight w:val="0"/>
                  <w:marTop w:val="0"/>
                  <w:marBottom w:val="0"/>
                  <w:divBdr>
                    <w:top w:val="none" w:sz="0" w:space="0" w:color="auto"/>
                    <w:left w:val="none" w:sz="0" w:space="0" w:color="auto"/>
                    <w:bottom w:val="none" w:sz="0" w:space="0" w:color="auto"/>
                    <w:right w:val="none" w:sz="0" w:space="0" w:color="auto"/>
                  </w:divBdr>
                </w:div>
                <w:div w:id="859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712">
          <w:marLeft w:val="0"/>
          <w:marRight w:val="0"/>
          <w:marTop w:val="200"/>
          <w:marBottom w:val="200"/>
          <w:divBdr>
            <w:top w:val="single" w:sz="8" w:space="0" w:color="000000"/>
            <w:left w:val="single" w:sz="8" w:space="0" w:color="000000"/>
            <w:bottom w:val="single" w:sz="8" w:space="0" w:color="000000"/>
            <w:right w:val="single" w:sz="8" w:space="0" w:color="000000"/>
          </w:divBdr>
          <w:divsChild>
            <w:div w:id="997268095">
              <w:marLeft w:val="0"/>
              <w:marRight w:val="0"/>
              <w:marTop w:val="0"/>
              <w:marBottom w:val="0"/>
              <w:divBdr>
                <w:top w:val="none" w:sz="0" w:space="0" w:color="auto"/>
                <w:left w:val="none" w:sz="0" w:space="0" w:color="auto"/>
                <w:bottom w:val="none" w:sz="0" w:space="0" w:color="auto"/>
                <w:right w:val="none" w:sz="0" w:space="0" w:color="auto"/>
              </w:divBdr>
            </w:div>
            <w:div w:id="2014448117">
              <w:marLeft w:val="0"/>
              <w:marRight w:val="0"/>
              <w:marTop w:val="0"/>
              <w:marBottom w:val="0"/>
              <w:divBdr>
                <w:top w:val="none" w:sz="0" w:space="0" w:color="auto"/>
                <w:left w:val="none" w:sz="0" w:space="0" w:color="auto"/>
                <w:bottom w:val="none" w:sz="0" w:space="0" w:color="auto"/>
                <w:right w:val="none" w:sz="0" w:space="0" w:color="auto"/>
              </w:divBdr>
              <w:divsChild>
                <w:div w:id="136994361">
                  <w:marLeft w:val="0"/>
                  <w:marRight w:val="0"/>
                  <w:marTop w:val="0"/>
                  <w:marBottom w:val="0"/>
                  <w:divBdr>
                    <w:top w:val="none" w:sz="0" w:space="0" w:color="auto"/>
                    <w:left w:val="none" w:sz="0" w:space="0" w:color="auto"/>
                    <w:bottom w:val="none" w:sz="0" w:space="0" w:color="auto"/>
                    <w:right w:val="none" w:sz="0" w:space="0" w:color="auto"/>
                  </w:divBdr>
                </w:div>
                <w:div w:id="1103840420">
                  <w:marLeft w:val="0"/>
                  <w:marRight w:val="0"/>
                  <w:marTop w:val="0"/>
                  <w:marBottom w:val="0"/>
                  <w:divBdr>
                    <w:top w:val="none" w:sz="0" w:space="0" w:color="auto"/>
                    <w:left w:val="none" w:sz="0" w:space="0" w:color="auto"/>
                    <w:bottom w:val="none" w:sz="0" w:space="0" w:color="auto"/>
                    <w:right w:val="none" w:sz="0" w:space="0" w:color="auto"/>
                  </w:divBdr>
                </w:div>
                <w:div w:id="1831169621">
                  <w:marLeft w:val="0"/>
                  <w:marRight w:val="0"/>
                  <w:marTop w:val="0"/>
                  <w:marBottom w:val="0"/>
                  <w:divBdr>
                    <w:top w:val="none" w:sz="0" w:space="0" w:color="auto"/>
                    <w:left w:val="none" w:sz="0" w:space="0" w:color="auto"/>
                    <w:bottom w:val="none" w:sz="0" w:space="0" w:color="auto"/>
                    <w:right w:val="none" w:sz="0" w:space="0" w:color="auto"/>
                  </w:divBdr>
                </w:div>
                <w:div w:id="1308126267">
                  <w:marLeft w:val="0"/>
                  <w:marRight w:val="0"/>
                  <w:marTop w:val="0"/>
                  <w:marBottom w:val="0"/>
                  <w:divBdr>
                    <w:top w:val="none" w:sz="0" w:space="0" w:color="auto"/>
                    <w:left w:val="none" w:sz="0" w:space="0" w:color="auto"/>
                    <w:bottom w:val="none" w:sz="0" w:space="0" w:color="auto"/>
                    <w:right w:val="none" w:sz="0" w:space="0" w:color="auto"/>
                  </w:divBdr>
                </w:div>
                <w:div w:id="1281644739">
                  <w:marLeft w:val="0"/>
                  <w:marRight w:val="0"/>
                  <w:marTop w:val="0"/>
                  <w:marBottom w:val="0"/>
                  <w:divBdr>
                    <w:top w:val="none" w:sz="0" w:space="0" w:color="auto"/>
                    <w:left w:val="none" w:sz="0" w:space="0" w:color="auto"/>
                    <w:bottom w:val="none" w:sz="0" w:space="0" w:color="auto"/>
                    <w:right w:val="none" w:sz="0" w:space="0" w:color="auto"/>
                  </w:divBdr>
                </w:div>
                <w:div w:id="1489705944">
                  <w:marLeft w:val="0"/>
                  <w:marRight w:val="0"/>
                  <w:marTop w:val="0"/>
                  <w:marBottom w:val="0"/>
                  <w:divBdr>
                    <w:top w:val="none" w:sz="0" w:space="0" w:color="auto"/>
                    <w:left w:val="none" w:sz="0" w:space="0" w:color="auto"/>
                    <w:bottom w:val="none" w:sz="0" w:space="0" w:color="auto"/>
                    <w:right w:val="none" w:sz="0" w:space="0" w:color="auto"/>
                  </w:divBdr>
                </w:div>
                <w:div w:id="874586650">
                  <w:marLeft w:val="0"/>
                  <w:marRight w:val="0"/>
                  <w:marTop w:val="0"/>
                  <w:marBottom w:val="0"/>
                  <w:divBdr>
                    <w:top w:val="none" w:sz="0" w:space="0" w:color="auto"/>
                    <w:left w:val="none" w:sz="0" w:space="0" w:color="auto"/>
                    <w:bottom w:val="none" w:sz="0" w:space="0" w:color="auto"/>
                    <w:right w:val="none" w:sz="0" w:space="0" w:color="auto"/>
                  </w:divBdr>
                </w:div>
                <w:div w:id="857233771">
                  <w:marLeft w:val="0"/>
                  <w:marRight w:val="0"/>
                  <w:marTop w:val="0"/>
                  <w:marBottom w:val="0"/>
                  <w:divBdr>
                    <w:top w:val="none" w:sz="0" w:space="0" w:color="auto"/>
                    <w:left w:val="none" w:sz="0" w:space="0" w:color="auto"/>
                    <w:bottom w:val="none" w:sz="0" w:space="0" w:color="auto"/>
                    <w:right w:val="none" w:sz="0" w:space="0" w:color="auto"/>
                  </w:divBdr>
                  <w:divsChild>
                    <w:div w:id="570044893">
                      <w:marLeft w:val="0"/>
                      <w:marRight w:val="0"/>
                      <w:marTop w:val="0"/>
                      <w:marBottom w:val="0"/>
                      <w:divBdr>
                        <w:top w:val="none" w:sz="0" w:space="0" w:color="auto"/>
                        <w:left w:val="none" w:sz="0" w:space="0" w:color="auto"/>
                        <w:bottom w:val="none" w:sz="0" w:space="0" w:color="auto"/>
                        <w:right w:val="none" w:sz="0" w:space="0" w:color="auto"/>
                      </w:divBdr>
                    </w:div>
                    <w:div w:id="801532607">
                      <w:marLeft w:val="0"/>
                      <w:marRight w:val="0"/>
                      <w:marTop w:val="0"/>
                      <w:marBottom w:val="0"/>
                      <w:divBdr>
                        <w:top w:val="none" w:sz="0" w:space="0" w:color="auto"/>
                        <w:left w:val="none" w:sz="0" w:space="0" w:color="auto"/>
                        <w:bottom w:val="none" w:sz="0" w:space="0" w:color="auto"/>
                        <w:right w:val="none" w:sz="0" w:space="0" w:color="auto"/>
                      </w:divBdr>
                    </w:div>
                    <w:div w:id="1823933786">
                      <w:marLeft w:val="0"/>
                      <w:marRight w:val="0"/>
                      <w:marTop w:val="0"/>
                      <w:marBottom w:val="0"/>
                      <w:divBdr>
                        <w:top w:val="none" w:sz="0" w:space="0" w:color="auto"/>
                        <w:left w:val="none" w:sz="0" w:space="0" w:color="auto"/>
                        <w:bottom w:val="none" w:sz="0" w:space="0" w:color="auto"/>
                        <w:right w:val="none" w:sz="0" w:space="0" w:color="auto"/>
                      </w:divBdr>
                    </w:div>
                    <w:div w:id="762994954">
                      <w:marLeft w:val="0"/>
                      <w:marRight w:val="0"/>
                      <w:marTop w:val="0"/>
                      <w:marBottom w:val="0"/>
                      <w:divBdr>
                        <w:top w:val="none" w:sz="0" w:space="0" w:color="auto"/>
                        <w:left w:val="none" w:sz="0" w:space="0" w:color="auto"/>
                        <w:bottom w:val="none" w:sz="0" w:space="0" w:color="auto"/>
                        <w:right w:val="none" w:sz="0" w:space="0" w:color="auto"/>
                      </w:divBdr>
                    </w:div>
                    <w:div w:id="1006901631">
                      <w:marLeft w:val="0"/>
                      <w:marRight w:val="0"/>
                      <w:marTop w:val="0"/>
                      <w:marBottom w:val="0"/>
                      <w:divBdr>
                        <w:top w:val="none" w:sz="0" w:space="0" w:color="auto"/>
                        <w:left w:val="none" w:sz="0" w:space="0" w:color="auto"/>
                        <w:bottom w:val="none" w:sz="0" w:space="0" w:color="auto"/>
                        <w:right w:val="none" w:sz="0" w:space="0" w:color="auto"/>
                      </w:divBdr>
                    </w:div>
                  </w:divsChild>
                </w:div>
                <w:div w:id="1984845639">
                  <w:marLeft w:val="0"/>
                  <w:marRight w:val="0"/>
                  <w:marTop w:val="0"/>
                  <w:marBottom w:val="0"/>
                  <w:divBdr>
                    <w:top w:val="none" w:sz="0" w:space="0" w:color="auto"/>
                    <w:left w:val="none" w:sz="0" w:space="0" w:color="auto"/>
                    <w:bottom w:val="none" w:sz="0" w:space="0" w:color="auto"/>
                    <w:right w:val="none" w:sz="0" w:space="0" w:color="auto"/>
                  </w:divBdr>
                </w:div>
                <w:div w:id="1323898042">
                  <w:marLeft w:val="0"/>
                  <w:marRight w:val="0"/>
                  <w:marTop w:val="0"/>
                  <w:marBottom w:val="0"/>
                  <w:divBdr>
                    <w:top w:val="none" w:sz="0" w:space="0" w:color="auto"/>
                    <w:left w:val="none" w:sz="0" w:space="0" w:color="auto"/>
                    <w:bottom w:val="none" w:sz="0" w:space="0" w:color="auto"/>
                    <w:right w:val="none" w:sz="0" w:space="0" w:color="auto"/>
                  </w:divBdr>
                </w:div>
                <w:div w:id="798260656">
                  <w:marLeft w:val="0"/>
                  <w:marRight w:val="0"/>
                  <w:marTop w:val="0"/>
                  <w:marBottom w:val="0"/>
                  <w:divBdr>
                    <w:top w:val="none" w:sz="0" w:space="0" w:color="auto"/>
                    <w:left w:val="none" w:sz="0" w:space="0" w:color="auto"/>
                    <w:bottom w:val="none" w:sz="0" w:space="0" w:color="auto"/>
                    <w:right w:val="none" w:sz="0" w:space="0" w:color="auto"/>
                  </w:divBdr>
                </w:div>
                <w:div w:id="1772044063">
                  <w:marLeft w:val="0"/>
                  <w:marRight w:val="0"/>
                  <w:marTop w:val="0"/>
                  <w:marBottom w:val="0"/>
                  <w:divBdr>
                    <w:top w:val="none" w:sz="0" w:space="0" w:color="auto"/>
                    <w:left w:val="none" w:sz="0" w:space="0" w:color="auto"/>
                    <w:bottom w:val="none" w:sz="0" w:space="0" w:color="auto"/>
                    <w:right w:val="none" w:sz="0" w:space="0" w:color="auto"/>
                  </w:divBdr>
                </w:div>
                <w:div w:id="450512629">
                  <w:marLeft w:val="0"/>
                  <w:marRight w:val="0"/>
                  <w:marTop w:val="0"/>
                  <w:marBottom w:val="0"/>
                  <w:divBdr>
                    <w:top w:val="none" w:sz="0" w:space="0" w:color="auto"/>
                    <w:left w:val="none" w:sz="0" w:space="0" w:color="auto"/>
                    <w:bottom w:val="none" w:sz="0" w:space="0" w:color="auto"/>
                    <w:right w:val="none" w:sz="0" w:space="0" w:color="auto"/>
                  </w:divBdr>
                </w:div>
                <w:div w:id="805582631">
                  <w:marLeft w:val="0"/>
                  <w:marRight w:val="0"/>
                  <w:marTop w:val="0"/>
                  <w:marBottom w:val="0"/>
                  <w:divBdr>
                    <w:top w:val="none" w:sz="0" w:space="0" w:color="auto"/>
                    <w:left w:val="none" w:sz="0" w:space="0" w:color="auto"/>
                    <w:bottom w:val="none" w:sz="0" w:space="0" w:color="auto"/>
                    <w:right w:val="none" w:sz="0" w:space="0" w:color="auto"/>
                  </w:divBdr>
                </w:div>
                <w:div w:id="1582449039">
                  <w:marLeft w:val="0"/>
                  <w:marRight w:val="0"/>
                  <w:marTop w:val="0"/>
                  <w:marBottom w:val="0"/>
                  <w:divBdr>
                    <w:top w:val="none" w:sz="0" w:space="0" w:color="auto"/>
                    <w:left w:val="none" w:sz="0" w:space="0" w:color="auto"/>
                    <w:bottom w:val="none" w:sz="0" w:space="0" w:color="auto"/>
                    <w:right w:val="none" w:sz="0" w:space="0" w:color="auto"/>
                  </w:divBdr>
                </w:div>
                <w:div w:id="365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897">
          <w:marLeft w:val="0"/>
          <w:marRight w:val="0"/>
          <w:marTop w:val="200"/>
          <w:marBottom w:val="200"/>
          <w:divBdr>
            <w:top w:val="single" w:sz="8" w:space="0" w:color="000000"/>
            <w:left w:val="single" w:sz="8" w:space="0" w:color="000000"/>
            <w:bottom w:val="single" w:sz="8" w:space="0" w:color="000000"/>
            <w:right w:val="single" w:sz="8" w:space="0" w:color="000000"/>
          </w:divBdr>
          <w:divsChild>
            <w:div w:id="183446295">
              <w:marLeft w:val="0"/>
              <w:marRight w:val="0"/>
              <w:marTop w:val="0"/>
              <w:marBottom w:val="0"/>
              <w:divBdr>
                <w:top w:val="none" w:sz="0" w:space="0" w:color="auto"/>
                <w:left w:val="none" w:sz="0" w:space="0" w:color="auto"/>
                <w:bottom w:val="none" w:sz="0" w:space="0" w:color="auto"/>
                <w:right w:val="none" w:sz="0" w:space="0" w:color="auto"/>
              </w:divBdr>
            </w:div>
            <w:div w:id="1816215414">
              <w:marLeft w:val="0"/>
              <w:marRight w:val="0"/>
              <w:marTop w:val="0"/>
              <w:marBottom w:val="0"/>
              <w:divBdr>
                <w:top w:val="none" w:sz="0" w:space="0" w:color="auto"/>
                <w:left w:val="none" w:sz="0" w:space="0" w:color="auto"/>
                <w:bottom w:val="none" w:sz="0" w:space="0" w:color="auto"/>
                <w:right w:val="none" w:sz="0" w:space="0" w:color="auto"/>
              </w:divBdr>
              <w:divsChild>
                <w:div w:id="730422277">
                  <w:marLeft w:val="0"/>
                  <w:marRight w:val="0"/>
                  <w:marTop w:val="0"/>
                  <w:marBottom w:val="0"/>
                  <w:divBdr>
                    <w:top w:val="none" w:sz="0" w:space="0" w:color="auto"/>
                    <w:left w:val="none" w:sz="0" w:space="0" w:color="auto"/>
                    <w:bottom w:val="none" w:sz="0" w:space="0" w:color="auto"/>
                    <w:right w:val="none" w:sz="0" w:space="0" w:color="auto"/>
                  </w:divBdr>
                </w:div>
                <w:div w:id="1643272966">
                  <w:marLeft w:val="0"/>
                  <w:marRight w:val="0"/>
                  <w:marTop w:val="0"/>
                  <w:marBottom w:val="0"/>
                  <w:divBdr>
                    <w:top w:val="none" w:sz="0" w:space="0" w:color="auto"/>
                    <w:left w:val="none" w:sz="0" w:space="0" w:color="auto"/>
                    <w:bottom w:val="none" w:sz="0" w:space="0" w:color="auto"/>
                    <w:right w:val="none" w:sz="0" w:space="0" w:color="auto"/>
                  </w:divBdr>
                </w:div>
                <w:div w:id="466165788">
                  <w:marLeft w:val="0"/>
                  <w:marRight w:val="0"/>
                  <w:marTop w:val="0"/>
                  <w:marBottom w:val="0"/>
                  <w:divBdr>
                    <w:top w:val="none" w:sz="0" w:space="0" w:color="auto"/>
                    <w:left w:val="none" w:sz="0" w:space="0" w:color="auto"/>
                    <w:bottom w:val="none" w:sz="0" w:space="0" w:color="auto"/>
                    <w:right w:val="none" w:sz="0" w:space="0" w:color="auto"/>
                  </w:divBdr>
                </w:div>
                <w:div w:id="1804813624">
                  <w:marLeft w:val="0"/>
                  <w:marRight w:val="0"/>
                  <w:marTop w:val="0"/>
                  <w:marBottom w:val="0"/>
                  <w:divBdr>
                    <w:top w:val="none" w:sz="0" w:space="0" w:color="auto"/>
                    <w:left w:val="none" w:sz="0" w:space="0" w:color="auto"/>
                    <w:bottom w:val="none" w:sz="0" w:space="0" w:color="auto"/>
                    <w:right w:val="none" w:sz="0" w:space="0" w:color="auto"/>
                  </w:divBdr>
                </w:div>
                <w:div w:id="2138718749">
                  <w:marLeft w:val="0"/>
                  <w:marRight w:val="0"/>
                  <w:marTop w:val="0"/>
                  <w:marBottom w:val="0"/>
                  <w:divBdr>
                    <w:top w:val="none" w:sz="0" w:space="0" w:color="auto"/>
                    <w:left w:val="none" w:sz="0" w:space="0" w:color="auto"/>
                    <w:bottom w:val="none" w:sz="0" w:space="0" w:color="auto"/>
                    <w:right w:val="none" w:sz="0" w:space="0" w:color="auto"/>
                  </w:divBdr>
                </w:div>
                <w:div w:id="2134978130">
                  <w:marLeft w:val="0"/>
                  <w:marRight w:val="0"/>
                  <w:marTop w:val="0"/>
                  <w:marBottom w:val="0"/>
                  <w:divBdr>
                    <w:top w:val="none" w:sz="0" w:space="0" w:color="auto"/>
                    <w:left w:val="none" w:sz="0" w:space="0" w:color="auto"/>
                    <w:bottom w:val="none" w:sz="0" w:space="0" w:color="auto"/>
                    <w:right w:val="none" w:sz="0" w:space="0" w:color="auto"/>
                  </w:divBdr>
                </w:div>
                <w:div w:id="229577305">
                  <w:marLeft w:val="0"/>
                  <w:marRight w:val="0"/>
                  <w:marTop w:val="0"/>
                  <w:marBottom w:val="0"/>
                  <w:divBdr>
                    <w:top w:val="none" w:sz="0" w:space="0" w:color="auto"/>
                    <w:left w:val="none" w:sz="0" w:space="0" w:color="auto"/>
                    <w:bottom w:val="none" w:sz="0" w:space="0" w:color="auto"/>
                    <w:right w:val="none" w:sz="0" w:space="0" w:color="auto"/>
                  </w:divBdr>
                </w:div>
                <w:div w:id="2103799897">
                  <w:marLeft w:val="0"/>
                  <w:marRight w:val="0"/>
                  <w:marTop w:val="0"/>
                  <w:marBottom w:val="0"/>
                  <w:divBdr>
                    <w:top w:val="none" w:sz="0" w:space="0" w:color="auto"/>
                    <w:left w:val="none" w:sz="0" w:space="0" w:color="auto"/>
                    <w:bottom w:val="none" w:sz="0" w:space="0" w:color="auto"/>
                    <w:right w:val="none" w:sz="0" w:space="0" w:color="auto"/>
                  </w:divBdr>
                </w:div>
                <w:div w:id="987133181">
                  <w:marLeft w:val="0"/>
                  <w:marRight w:val="0"/>
                  <w:marTop w:val="0"/>
                  <w:marBottom w:val="0"/>
                  <w:divBdr>
                    <w:top w:val="none" w:sz="0" w:space="0" w:color="auto"/>
                    <w:left w:val="none" w:sz="0" w:space="0" w:color="auto"/>
                    <w:bottom w:val="none" w:sz="0" w:space="0" w:color="auto"/>
                    <w:right w:val="none" w:sz="0" w:space="0" w:color="auto"/>
                  </w:divBdr>
                </w:div>
                <w:div w:id="1066488103">
                  <w:marLeft w:val="0"/>
                  <w:marRight w:val="0"/>
                  <w:marTop w:val="0"/>
                  <w:marBottom w:val="0"/>
                  <w:divBdr>
                    <w:top w:val="none" w:sz="0" w:space="0" w:color="auto"/>
                    <w:left w:val="none" w:sz="0" w:space="0" w:color="auto"/>
                    <w:bottom w:val="none" w:sz="0" w:space="0" w:color="auto"/>
                    <w:right w:val="none" w:sz="0" w:space="0" w:color="auto"/>
                  </w:divBdr>
                </w:div>
                <w:div w:id="1810245834">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worknbde</dc:creator>
  <cp:lastModifiedBy>Precuchova Georgina</cp:lastModifiedBy>
  <cp:revision>2</cp:revision>
  <dcterms:created xsi:type="dcterms:W3CDTF">2021-01-27T12:12:00Z</dcterms:created>
  <dcterms:modified xsi:type="dcterms:W3CDTF">2021-01-27T12:12:00Z</dcterms:modified>
</cp:coreProperties>
</file>