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AAF" w:rsidRPr="008E227D" w:rsidRDefault="003F0AAF" w:rsidP="003F0AAF">
      <w:pPr>
        <w:spacing w:after="0" w:line="240" w:lineRule="auto"/>
        <w:jc w:val="center"/>
        <w:rPr>
          <w:rFonts w:ascii="Times New Roman" w:hAnsi="Times New Roman"/>
          <w:b/>
          <w:bCs/>
        </w:rPr>
      </w:pPr>
    </w:p>
    <w:p w:rsidR="003F0AAF" w:rsidRPr="008E227D" w:rsidRDefault="003F0AAF" w:rsidP="003F0AAF">
      <w:pPr>
        <w:spacing w:after="0" w:line="240" w:lineRule="auto"/>
        <w:jc w:val="center"/>
        <w:rPr>
          <w:rFonts w:ascii="Times New Roman" w:hAnsi="Times New Roman"/>
          <w:b/>
          <w:bCs/>
        </w:rPr>
      </w:pPr>
      <w:r w:rsidRPr="008E227D">
        <w:rPr>
          <w:rFonts w:ascii="Times New Roman" w:hAnsi="Times New Roman"/>
          <w:b/>
          <w:bCs/>
        </w:rPr>
        <w:t>Analýza vplyvov na rozpočet verejnej správy,</w:t>
      </w:r>
    </w:p>
    <w:p w:rsidR="003F0AAF" w:rsidRPr="008E227D" w:rsidRDefault="003F0AAF" w:rsidP="003F0AAF">
      <w:pPr>
        <w:spacing w:after="0" w:line="240" w:lineRule="auto"/>
        <w:jc w:val="center"/>
        <w:rPr>
          <w:rFonts w:ascii="Times New Roman" w:hAnsi="Times New Roman"/>
          <w:b/>
          <w:bCs/>
        </w:rPr>
      </w:pPr>
      <w:r w:rsidRPr="008E227D">
        <w:rPr>
          <w:rFonts w:ascii="Times New Roman" w:hAnsi="Times New Roman"/>
          <w:b/>
          <w:bCs/>
        </w:rPr>
        <w:t>na zamestnanosť vo verejnej správe a financovanie návrhu</w:t>
      </w:r>
    </w:p>
    <w:p w:rsidR="003F0AAF" w:rsidRPr="008E227D" w:rsidRDefault="003F0AAF" w:rsidP="003F0AAF">
      <w:pPr>
        <w:spacing w:after="0" w:line="240" w:lineRule="auto"/>
        <w:jc w:val="right"/>
        <w:rPr>
          <w:rFonts w:ascii="Times New Roman" w:hAnsi="Times New Roman"/>
          <w:b/>
          <w:bCs/>
        </w:rPr>
      </w:pPr>
    </w:p>
    <w:p w:rsidR="003F0AAF" w:rsidRPr="008E227D" w:rsidRDefault="003F0AAF" w:rsidP="003F0AAF">
      <w:pPr>
        <w:spacing w:after="0" w:line="240" w:lineRule="auto"/>
        <w:rPr>
          <w:rFonts w:ascii="Times New Roman" w:hAnsi="Times New Roman"/>
          <w:b/>
          <w:bCs/>
        </w:rPr>
      </w:pPr>
    </w:p>
    <w:p w:rsidR="003F0AAF" w:rsidRPr="008E227D" w:rsidRDefault="003F0AAF" w:rsidP="003F0AAF">
      <w:pPr>
        <w:spacing w:after="0" w:line="240" w:lineRule="auto"/>
        <w:rPr>
          <w:rFonts w:ascii="Times New Roman" w:hAnsi="Times New Roman"/>
          <w:b/>
          <w:bCs/>
        </w:rPr>
      </w:pPr>
      <w:r w:rsidRPr="008E227D">
        <w:rPr>
          <w:rFonts w:ascii="Times New Roman" w:hAnsi="Times New Roman"/>
          <w:b/>
          <w:bCs/>
        </w:rPr>
        <w:t>2.1 Zhrnutie vplyvov na rozpočet verejnej správy v návrhu</w:t>
      </w:r>
    </w:p>
    <w:p w:rsidR="003F0AAF" w:rsidRPr="008E227D" w:rsidRDefault="003F0AAF" w:rsidP="003F0AAF">
      <w:pPr>
        <w:spacing w:after="0" w:line="240" w:lineRule="auto"/>
        <w:jc w:val="right"/>
        <w:rPr>
          <w:rFonts w:ascii="Times New Roman" w:hAnsi="Times New Roman"/>
        </w:rPr>
      </w:pPr>
    </w:p>
    <w:p w:rsidR="003F0AAF" w:rsidRPr="008E227D" w:rsidRDefault="003F0AAF" w:rsidP="003F0AAF">
      <w:pPr>
        <w:spacing w:after="0" w:line="240" w:lineRule="auto"/>
        <w:jc w:val="right"/>
        <w:rPr>
          <w:rFonts w:ascii="Times New Roman" w:hAnsi="Times New Roman"/>
        </w:rPr>
      </w:pPr>
      <w:r w:rsidRPr="008E227D">
        <w:rPr>
          <w:rFonts w:ascii="Times New Roman" w:hAnsi="Times New Roman"/>
        </w:rPr>
        <w:t xml:space="preserve">Tabuľka č. 1 </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400"/>
        <w:gridCol w:w="1400"/>
        <w:gridCol w:w="1400"/>
        <w:gridCol w:w="1400"/>
      </w:tblGrid>
      <w:tr w:rsidR="003F0AAF" w:rsidRPr="008E227D" w:rsidTr="00117D03">
        <w:trPr>
          <w:cantSplit/>
          <w:trHeight w:val="194"/>
          <w:jc w:val="center"/>
        </w:trPr>
        <w:tc>
          <w:tcPr>
            <w:tcW w:w="4661" w:type="dxa"/>
            <w:vMerge w:val="restart"/>
            <w:shd w:val="clear" w:color="auto" w:fill="BFBFBF"/>
            <w:vAlign w:val="center"/>
          </w:tcPr>
          <w:p w:rsidR="003F0AAF" w:rsidRPr="008E227D" w:rsidRDefault="003F0AAF" w:rsidP="00117D03">
            <w:pPr>
              <w:spacing w:after="0" w:line="240" w:lineRule="auto"/>
              <w:jc w:val="center"/>
              <w:rPr>
                <w:rFonts w:ascii="Times New Roman" w:hAnsi="Times New Roman"/>
                <w:b/>
                <w:bCs/>
              </w:rPr>
            </w:pPr>
            <w:bookmarkStart w:id="0" w:name="OLE_LINK1"/>
            <w:r w:rsidRPr="008E227D">
              <w:rPr>
                <w:rFonts w:ascii="Times New Roman" w:hAnsi="Times New Roman"/>
                <w:b/>
                <w:bCs/>
              </w:rPr>
              <w:t>Vplyvy na rozpočet verejnej správy</w:t>
            </w:r>
          </w:p>
        </w:tc>
        <w:tc>
          <w:tcPr>
            <w:tcW w:w="5600" w:type="dxa"/>
            <w:gridSpan w:val="4"/>
            <w:shd w:val="clear" w:color="auto" w:fill="BFBFBF"/>
            <w:vAlign w:val="center"/>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Vplyv na rozpočet verejnej správy (v eurách)</w:t>
            </w:r>
          </w:p>
        </w:tc>
      </w:tr>
      <w:tr w:rsidR="003F0AAF" w:rsidRPr="008E227D" w:rsidTr="00117D03">
        <w:trPr>
          <w:cantSplit/>
          <w:trHeight w:val="70"/>
          <w:jc w:val="center"/>
        </w:trPr>
        <w:tc>
          <w:tcPr>
            <w:tcW w:w="4661" w:type="dxa"/>
            <w:vMerge/>
            <w:shd w:val="clear" w:color="auto" w:fill="BFBFBF"/>
            <w:vAlign w:val="center"/>
          </w:tcPr>
          <w:p w:rsidR="003F0AAF" w:rsidRPr="008E227D" w:rsidRDefault="003F0AAF" w:rsidP="00117D03">
            <w:pPr>
              <w:spacing w:after="0" w:line="240" w:lineRule="auto"/>
              <w:jc w:val="center"/>
              <w:rPr>
                <w:rFonts w:ascii="Times New Roman" w:hAnsi="Times New Roman"/>
                <w:b/>
                <w:bCs/>
              </w:rPr>
            </w:pPr>
          </w:p>
        </w:tc>
        <w:tc>
          <w:tcPr>
            <w:tcW w:w="1400" w:type="dxa"/>
            <w:shd w:val="clear" w:color="auto" w:fill="BFBFBF"/>
            <w:vAlign w:val="center"/>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2021</w:t>
            </w:r>
          </w:p>
        </w:tc>
        <w:tc>
          <w:tcPr>
            <w:tcW w:w="1400" w:type="dxa"/>
            <w:shd w:val="clear" w:color="auto" w:fill="BFBFBF"/>
            <w:vAlign w:val="center"/>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2022</w:t>
            </w:r>
          </w:p>
        </w:tc>
        <w:tc>
          <w:tcPr>
            <w:tcW w:w="1400" w:type="dxa"/>
            <w:shd w:val="clear" w:color="auto" w:fill="BFBFBF"/>
            <w:vAlign w:val="center"/>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2023</w:t>
            </w:r>
          </w:p>
        </w:tc>
        <w:tc>
          <w:tcPr>
            <w:tcW w:w="1400" w:type="dxa"/>
            <w:shd w:val="clear" w:color="auto" w:fill="BFBFBF"/>
            <w:vAlign w:val="center"/>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2024</w:t>
            </w:r>
          </w:p>
        </w:tc>
      </w:tr>
      <w:tr w:rsidR="003F0AAF" w:rsidRPr="008E227D" w:rsidTr="00117D03">
        <w:trPr>
          <w:trHeight w:val="70"/>
          <w:jc w:val="center"/>
        </w:trPr>
        <w:tc>
          <w:tcPr>
            <w:tcW w:w="4661" w:type="dxa"/>
            <w:shd w:val="clear" w:color="auto" w:fill="C0C0C0"/>
            <w:noWrap/>
            <w:vAlign w:val="center"/>
          </w:tcPr>
          <w:p w:rsidR="003F0AAF" w:rsidRPr="008E227D" w:rsidRDefault="003F0AAF" w:rsidP="00117D03">
            <w:pPr>
              <w:spacing w:after="0" w:line="240" w:lineRule="auto"/>
              <w:rPr>
                <w:rFonts w:ascii="Times New Roman" w:hAnsi="Times New Roman"/>
              </w:rPr>
            </w:pPr>
            <w:r w:rsidRPr="008E227D">
              <w:rPr>
                <w:rFonts w:ascii="Times New Roman" w:hAnsi="Times New Roman"/>
                <w:b/>
                <w:bCs/>
              </w:rPr>
              <w:t>Príjmy verejnej správy celkom</w:t>
            </w:r>
          </w:p>
        </w:tc>
        <w:tc>
          <w:tcPr>
            <w:tcW w:w="1400" w:type="dxa"/>
            <w:shd w:val="clear" w:color="auto" w:fill="C0C0C0"/>
            <w:vAlign w:val="center"/>
          </w:tcPr>
          <w:p w:rsidR="003F0AAF" w:rsidRPr="008E227D" w:rsidRDefault="003F0AAF" w:rsidP="00117D03">
            <w:pPr>
              <w:spacing w:after="0" w:line="240" w:lineRule="auto"/>
              <w:jc w:val="right"/>
              <w:rPr>
                <w:rFonts w:ascii="Times New Roman" w:hAnsi="Times New Roman"/>
                <w:b/>
                <w:bCs/>
              </w:rPr>
            </w:pPr>
            <w:r w:rsidRPr="008E227D">
              <w:rPr>
                <w:rFonts w:ascii="Times New Roman" w:hAnsi="Times New Roman"/>
                <w:b/>
                <w:bCs/>
              </w:rPr>
              <w:t>0</w:t>
            </w:r>
          </w:p>
        </w:tc>
        <w:tc>
          <w:tcPr>
            <w:tcW w:w="1400" w:type="dxa"/>
            <w:shd w:val="clear" w:color="auto" w:fill="C0C0C0"/>
            <w:vAlign w:val="center"/>
          </w:tcPr>
          <w:p w:rsidR="003F0AAF" w:rsidRPr="008E227D" w:rsidRDefault="003F0AAF" w:rsidP="00117D03">
            <w:pPr>
              <w:spacing w:after="0" w:line="240" w:lineRule="auto"/>
              <w:jc w:val="right"/>
              <w:rPr>
                <w:rFonts w:ascii="Times New Roman" w:hAnsi="Times New Roman"/>
                <w:b/>
                <w:bCs/>
              </w:rPr>
            </w:pPr>
            <w:r w:rsidRPr="008E227D">
              <w:rPr>
                <w:rFonts w:ascii="Times New Roman" w:hAnsi="Times New Roman"/>
                <w:b/>
                <w:bCs/>
              </w:rPr>
              <w:t>0</w:t>
            </w:r>
          </w:p>
        </w:tc>
        <w:tc>
          <w:tcPr>
            <w:tcW w:w="1400" w:type="dxa"/>
            <w:shd w:val="clear" w:color="auto" w:fill="C0C0C0"/>
            <w:vAlign w:val="center"/>
          </w:tcPr>
          <w:p w:rsidR="003F0AAF" w:rsidRPr="008E227D" w:rsidRDefault="003F0AAF" w:rsidP="00117D03">
            <w:pPr>
              <w:spacing w:after="0" w:line="240" w:lineRule="auto"/>
              <w:jc w:val="right"/>
              <w:rPr>
                <w:rFonts w:ascii="Times New Roman" w:hAnsi="Times New Roman"/>
                <w:b/>
                <w:bCs/>
              </w:rPr>
            </w:pPr>
            <w:r w:rsidRPr="008E227D">
              <w:rPr>
                <w:rFonts w:ascii="Times New Roman" w:hAnsi="Times New Roman"/>
                <w:b/>
                <w:bCs/>
              </w:rPr>
              <w:t>0</w:t>
            </w:r>
          </w:p>
        </w:tc>
        <w:tc>
          <w:tcPr>
            <w:tcW w:w="1400" w:type="dxa"/>
            <w:shd w:val="clear" w:color="auto" w:fill="C0C0C0"/>
            <w:vAlign w:val="center"/>
          </w:tcPr>
          <w:p w:rsidR="003F0AAF" w:rsidRPr="008E227D" w:rsidRDefault="003F0AAF" w:rsidP="00117D03">
            <w:pPr>
              <w:spacing w:after="0" w:line="240" w:lineRule="auto"/>
              <w:jc w:val="right"/>
              <w:rPr>
                <w:rFonts w:ascii="Times New Roman" w:hAnsi="Times New Roman"/>
                <w:b/>
                <w:bCs/>
              </w:rPr>
            </w:pPr>
            <w:r w:rsidRPr="008E227D">
              <w:rPr>
                <w:rFonts w:ascii="Times New Roman" w:hAnsi="Times New Roman"/>
                <w:b/>
                <w:bCs/>
              </w:rPr>
              <w:t>0</w:t>
            </w:r>
          </w:p>
        </w:tc>
      </w:tr>
      <w:tr w:rsidR="003F0AAF" w:rsidRPr="008E227D" w:rsidTr="00117D03">
        <w:trPr>
          <w:trHeight w:val="132"/>
          <w:jc w:val="center"/>
        </w:trPr>
        <w:tc>
          <w:tcPr>
            <w:tcW w:w="4661" w:type="dxa"/>
            <w:noWrap/>
            <w:vAlign w:val="center"/>
          </w:tcPr>
          <w:p w:rsidR="003F0AAF" w:rsidRPr="008E227D" w:rsidRDefault="003F0AAF" w:rsidP="00117D03">
            <w:pPr>
              <w:spacing w:after="0" w:line="240" w:lineRule="auto"/>
              <w:rPr>
                <w:rFonts w:ascii="Times New Roman" w:hAnsi="Times New Roman"/>
              </w:rPr>
            </w:pPr>
            <w:r w:rsidRPr="008E227D">
              <w:rPr>
                <w:rFonts w:ascii="Times New Roman" w:hAnsi="Times New Roman"/>
              </w:rPr>
              <w:t>v tom: za každý subjekt verejnej správy zvlášť</w:t>
            </w:r>
          </w:p>
        </w:tc>
        <w:tc>
          <w:tcPr>
            <w:tcW w:w="1400" w:type="dxa"/>
            <w:noWrap/>
            <w:vAlign w:val="center"/>
          </w:tcPr>
          <w:p w:rsidR="003F0AAF" w:rsidRPr="008E227D" w:rsidRDefault="003F0AAF" w:rsidP="00117D03">
            <w:pPr>
              <w:spacing w:after="0" w:line="240" w:lineRule="auto"/>
              <w:jc w:val="right"/>
              <w:rPr>
                <w:rFonts w:ascii="Times New Roman" w:hAnsi="Times New Roman"/>
              </w:rPr>
            </w:pPr>
            <w:r w:rsidRPr="008E227D">
              <w:rPr>
                <w:rFonts w:ascii="Times New Roman" w:hAnsi="Times New Roman"/>
              </w:rPr>
              <w:t>0</w:t>
            </w:r>
          </w:p>
        </w:tc>
        <w:tc>
          <w:tcPr>
            <w:tcW w:w="1400" w:type="dxa"/>
            <w:noWrap/>
            <w:vAlign w:val="center"/>
          </w:tcPr>
          <w:p w:rsidR="003F0AAF" w:rsidRPr="008E227D" w:rsidRDefault="003F0AAF" w:rsidP="00117D03">
            <w:pPr>
              <w:spacing w:after="0" w:line="240" w:lineRule="auto"/>
              <w:jc w:val="right"/>
              <w:rPr>
                <w:rFonts w:ascii="Times New Roman" w:hAnsi="Times New Roman"/>
              </w:rPr>
            </w:pPr>
            <w:r w:rsidRPr="008E227D">
              <w:rPr>
                <w:rFonts w:ascii="Times New Roman" w:hAnsi="Times New Roman"/>
              </w:rPr>
              <w:t>0</w:t>
            </w:r>
          </w:p>
        </w:tc>
        <w:tc>
          <w:tcPr>
            <w:tcW w:w="1400" w:type="dxa"/>
            <w:noWrap/>
            <w:vAlign w:val="center"/>
          </w:tcPr>
          <w:p w:rsidR="003F0AAF" w:rsidRPr="008E227D" w:rsidRDefault="003F0AAF" w:rsidP="00117D03">
            <w:pPr>
              <w:spacing w:after="0" w:line="240" w:lineRule="auto"/>
              <w:jc w:val="right"/>
              <w:rPr>
                <w:rFonts w:ascii="Times New Roman" w:hAnsi="Times New Roman"/>
              </w:rPr>
            </w:pPr>
            <w:r w:rsidRPr="008E227D">
              <w:rPr>
                <w:rFonts w:ascii="Times New Roman" w:hAnsi="Times New Roman"/>
              </w:rPr>
              <w:t>0</w:t>
            </w:r>
          </w:p>
        </w:tc>
        <w:tc>
          <w:tcPr>
            <w:tcW w:w="1400" w:type="dxa"/>
            <w:noWrap/>
            <w:vAlign w:val="center"/>
          </w:tcPr>
          <w:p w:rsidR="003F0AAF" w:rsidRPr="008E227D" w:rsidRDefault="003F0AAF" w:rsidP="00117D03">
            <w:pPr>
              <w:spacing w:after="0" w:line="240" w:lineRule="auto"/>
              <w:jc w:val="right"/>
              <w:rPr>
                <w:rFonts w:ascii="Times New Roman" w:hAnsi="Times New Roman"/>
              </w:rPr>
            </w:pPr>
            <w:r w:rsidRPr="008E227D">
              <w:rPr>
                <w:rFonts w:ascii="Times New Roman" w:hAnsi="Times New Roman"/>
              </w:rPr>
              <w:t>0</w:t>
            </w:r>
          </w:p>
        </w:tc>
      </w:tr>
      <w:tr w:rsidR="003F0AAF" w:rsidRPr="008E227D" w:rsidTr="00117D03">
        <w:trPr>
          <w:trHeight w:val="70"/>
          <w:jc w:val="center"/>
        </w:trPr>
        <w:tc>
          <w:tcPr>
            <w:tcW w:w="4661" w:type="dxa"/>
            <w:noWrap/>
            <w:vAlign w:val="center"/>
          </w:tcPr>
          <w:p w:rsidR="003F0AAF" w:rsidRPr="008E227D" w:rsidRDefault="003F0AAF" w:rsidP="00117D03">
            <w:pPr>
              <w:spacing w:after="0" w:line="240" w:lineRule="auto"/>
              <w:rPr>
                <w:rFonts w:ascii="Times New Roman" w:hAnsi="Times New Roman"/>
                <w:b/>
                <w:bCs/>
                <w:i/>
                <w:iCs/>
              </w:rPr>
            </w:pPr>
            <w:r w:rsidRPr="008E227D">
              <w:rPr>
                <w:rFonts w:ascii="Times New Roman" w:hAnsi="Times New Roman"/>
                <w:b/>
                <w:bCs/>
                <w:i/>
                <w:iCs/>
              </w:rPr>
              <w:t xml:space="preserve">z toho:  </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p>
        </w:tc>
      </w:tr>
      <w:tr w:rsidR="003F0AAF" w:rsidRPr="008E227D" w:rsidTr="00117D03">
        <w:trPr>
          <w:trHeight w:val="125"/>
          <w:jc w:val="center"/>
        </w:trPr>
        <w:tc>
          <w:tcPr>
            <w:tcW w:w="4661" w:type="dxa"/>
            <w:noWrap/>
            <w:vAlign w:val="center"/>
          </w:tcPr>
          <w:p w:rsidR="003F0AAF" w:rsidRPr="008E227D" w:rsidRDefault="003F0AAF" w:rsidP="00117D03">
            <w:pPr>
              <w:spacing w:after="0" w:line="240" w:lineRule="auto"/>
              <w:rPr>
                <w:rFonts w:ascii="Times New Roman" w:hAnsi="Times New Roman"/>
                <w:b/>
                <w:bCs/>
                <w:i/>
                <w:iCs/>
              </w:rPr>
            </w:pPr>
            <w:r w:rsidRPr="008E227D">
              <w:rPr>
                <w:rFonts w:ascii="Times New Roman" w:hAnsi="Times New Roman"/>
                <w:b/>
                <w:bCs/>
                <w:i/>
                <w:iCs/>
              </w:rPr>
              <w:t>- vplyv na ŠR</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r>
      <w:tr w:rsidR="003F0AAF" w:rsidRPr="008E227D" w:rsidTr="00117D03">
        <w:trPr>
          <w:trHeight w:val="125"/>
          <w:jc w:val="center"/>
        </w:trPr>
        <w:tc>
          <w:tcPr>
            <w:tcW w:w="4661" w:type="dxa"/>
            <w:noWrap/>
            <w:vAlign w:val="center"/>
          </w:tcPr>
          <w:p w:rsidR="003F0AAF" w:rsidRPr="008E227D" w:rsidRDefault="003F0AAF" w:rsidP="00117D03">
            <w:pPr>
              <w:spacing w:after="0" w:line="240" w:lineRule="auto"/>
              <w:ind w:left="259"/>
              <w:rPr>
                <w:rFonts w:ascii="Times New Roman" w:hAnsi="Times New Roman"/>
                <w:b/>
                <w:bCs/>
                <w:i/>
                <w:iCs/>
              </w:rPr>
            </w:pPr>
            <w:r w:rsidRPr="008E227D">
              <w:rPr>
                <w:rFonts w:ascii="Times New Roman" w:hAnsi="Times New Roman"/>
                <w:bCs/>
                <w:i/>
                <w:iCs/>
              </w:rPr>
              <w:t>Rozpočtové prostriedky</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r>
      <w:tr w:rsidR="003F0AAF" w:rsidRPr="008E227D" w:rsidTr="00117D03">
        <w:trPr>
          <w:trHeight w:val="125"/>
          <w:jc w:val="center"/>
        </w:trPr>
        <w:tc>
          <w:tcPr>
            <w:tcW w:w="4661" w:type="dxa"/>
            <w:noWrap/>
            <w:vAlign w:val="center"/>
          </w:tcPr>
          <w:p w:rsidR="003F0AAF" w:rsidRPr="008E227D" w:rsidRDefault="003F0AAF" w:rsidP="00117D03">
            <w:pPr>
              <w:spacing w:after="0" w:line="240" w:lineRule="auto"/>
              <w:ind w:left="259"/>
              <w:rPr>
                <w:rFonts w:ascii="Times New Roman" w:hAnsi="Times New Roman"/>
                <w:bCs/>
                <w:i/>
                <w:iCs/>
              </w:rPr>
            </w:pPr>
            <w:r w:rsidRPr="008E227D">
              <w:rPr>
                <w:rFonts w:ascii="Times New Roman" w:hAnsi="Times New Roman"/>
                <w:bCs/>
                <w:i/>
                <w:iCs/>
              </w:rPr>
              <w:t>EÚ zdroje</w:t>
            </w:r>
          </w:p>
        </w:tc>
        <w:tc>
          <w:tcPr>
            <w:tcW w:w="1400" w:type="dxa"/>
            <w:noWrap/>
            <w:vAlign w:val="center"/>
          </w:tcPr>
          <w:p w:rsidR="003F0AAF" w:rsidRPr="008E227D" w:rsidRDefault="003F0AAF" w:rsidP="00117D03">
            <w:pPr>
              <w:spacing w:after="0" w:line="240" w:lineRule="auto"/>
              <w:jc w:val="right"/>
              <w:rPr>
                <w:rFonts w:ascii="Times New Roman" w:hAnsi="Times New Roman"/>
              </w:rPr>
            </w:pPr>
            <w:r w:rsidRPr="008E227D">
              <w:rPr>
                <w:rFonts w:ascii="Times New Roman" w:hAnsi="Times New Roman"/>
              </w:rPr>
              <w:t>0</w:t>
            </w:r>
          </w:p>
        </w:tc>
        <w:tc>
          <w:tcPr>
            <w:tcW w:w="1400" w:type="dxa"/>
            <w:noWrap/>
            <w:vAlign w:val="center"/>
          </w:tcPr>
          <w:p w:rsidR="003F0AAF" w:rsidRPr="008E227D" w:rsidRDefault="003F0AAF" w:rsidP="00117D03">
            <w:pPr>
              <w:spacing w:after="0" w:line="240" w:lineRule="auto"/>
              <w:jc w:val="right"/>
              <w:rPr>
                <w:rFonts w:ascii="Times New Roman" w:hAnsi="Times New Roman"/>
              </w:rPr>
            </w:pPr>
            <w:r w:rsidRPr="008E227D">
              <w:rPr>
                <w:rFonts w:ascii="Times New Roman" w:hAnsi="Times New Roman"/>
              </w:rPr>
              <w:t>0</w:t>
            </w:r>
          </w:p>
        </w:tc>
        <w:tc>
          <w:tcPr>
            <w:tcW w:w="1400" w:type="dxa"/>
            <w:noWrap/>
            <w:vAlign w:val="center"/>
          </w:tcPr>
          <w:p w:rsidR="003F0AAF" w:rsidRPr="008E227D" w:rsidRDefault="003F0AAF" w:rsidP="00117D03">
            <w:pPr>
              <w:spacing w:after="0" w:line="240" w:lineRule="auto"/>
              <w:jc w:val="right"/>
              <w:rPr>
                <w:rFonts w:ascii="Times New Roman" w:hAnsi="Times New Roman"/>
              </w:rPr>
            </w:pPr>
            <w:r w:rsidRPr="008E227D">
              <w:rPr>
                <w:rFonts w:ascii="Times New Roman" w:hAnsi="Times New Roman"/>
              </w:rPr>
              <w:t>0</w:t>
            </w:r>
          </w:p>
        </w:tc>
        <w:tc>
          <w:tcPr>
            <w:tcW w:w="1400" w:type="dxa"/>
            <w:noWrap/>
            <w:vAlign w:val="center"/>
          </w:tcPr>
          <w:p w:rsidR="003F0AAF" w:rsidRPr="008E227D" w:rsidRDefault="003F0AAF" w:rsidP="00117D03">
            <w:pPr>
              <w:spacing w:after="0" w:line="240" w:lineRule="auto"/>
              <w:jc w:val="right"/>
              <w:rPr>
                <w:rFonts w:ascii="Times New Roman" w:hAnsi="Times New Roman"/>
              </w:rPr>
            </w:pPr>
            <w:r w:rsidRPr="008E227D">
              <w:rPr>
                <w:rFonts w:ascii="Times New Roman" w:hAnsi="Times New Roman"/>
              </w:rPr>
              <w:t>0</w:t>
            </w:r>
          </w:p>
        </w:tc>
      </w:tr>
      <w:tr w:rsidR="003F0AAF" w:rsidRPr="008E227D" w:rsidTr="00117D03">
        <w:trPr>
          <w:trHeight w:val="125"/>
          <w:jc w:val="center"/>
        </w:trPr>
        <w:tc>
          <w:tcPr>
            <w:tcW w:w="4661" w:type="dxa"/>
            <w:noWrap/>
            <w:vAlign w:val="center"/>
          </w:tcPr>
          <w:p w:rsidR="003F0AAF" w:rsidRPr="008E227D" w:rsidRDefault="003F0AAF" w:rsidP="00117D03">
            <w:pPr>
              <w:spacing w:after="0" w:line="240" w:lineRule="auto"/>
              <w:rPr>
                <w:rFonts w:ascii="Times New Roman" w:hAnsi="Times New Roman"/>
                <w:b/>
                <w:bCs/>
                <w:i/>
                <w:iCs/>
              </w:rPr>
            </w:pPr>
            <w:r w:rsidRPr="008E227D">
              <w:rPr>
                <w:rFonts w:ascii="Times New Roman" w:hAnsi="Times New Roman"/>
                <w:b/>
                <w:bCs/>
                <w:i/>
                <w:iCs/>
              </w:rPr>
              <w:t>- vplyv na obce</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r>
      <w:tr w:rsidR="003F0AAF" w:rsidRPr="008E227D" w:rsidTr="00117D03">
        <w:trPr>
          <w:trHeight w:val="125"/>
          <w:jc w:val="center"/>
        </w:trPr>
        <w:tc>
          <w:tcPr>
            <w:tcW w:w="4661" w:type="dxa"/>
            <w:noWrap/>
            <w:vAlign w:val="center"/>
          </w:tcPr>
          <w:p w:rsidR="003F0AAF" w:rsidRPr="008E227D" w:rsidRDefault="003F0AAF" w:rsidP="00117D03">
            <w:pPr>
              <w:spacing w:after="0" w:line="240" w:lineRule="auto"/>
              <w:rPr>
                <w:rFonts w:ascii="Times New Roman" w:hAnsi="Times New Roman"/>
                <w:b/>
                <w:bCs/>
                <w:i/>
                <w:iCs/>
              </w:rPr>
            </w:pPr>
            <w:r w:rsidRPr="008E227D">
              <w:rPr>
                <w:rFonts w:ascii="Times New Roman" w:hAnsi="Times New Roman"/>
                <w:b/>
                <w:bCs/>
                <w:i/>
                <w:iCs/>
              </w:rPr>
              <w:t>- vplyv na vyššie územné celky</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r>
      <w:tr w:rsidR="003F0AAF" w:rsidRPr="008E227D" w:rsidTr="00117D03">
        <w:trPr>
          <w:trHeight w:val="125"/>
          <w:jc w:val="center"/>
        </w:trPr>
        <w:tc>
          <w:tcPr>
            <w:tcW w:w="4661" w:type="dxa"/>
            <w:noWrap/>
            <w:vAlign w:val="center"/>
          </w:tcPr>
          <w:p w:rsidR="003F0AAF" w:rsidRPr="008E227D" w:rsidRDefault="003F0AAF" w:rsidP="00117D03">
            <w:pPr>
              <w:spacing w:after="0" w:line="240" w:lineRule="auto"/>
              <w:rPr>
                <w:rFonts w:ascii="Times New Roman" w:hAnsi="Times New Roman"/>
                <w:b/>
                <w:bCs/>
                <w:i/>
                <w:iCs/>
              </w:rPr>
            </w:pPr>
            <w:r w:rsidRPr="008E227D">
              <w:rPr>
                <w:rFonts w:ascii="Times New Roman" w:hAnsi="Times New Roman"/>
                <w:b/>
                <w:bCs/>
                <w:i/>
                <w:iCs/>
              </w:rPr>
              <w:t>- vplyv na ostatné subjekty verejnej správy</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r>
      <w:tr w:rsidR="003F0AAF" w:rsidRPr="008E227D" w:rsidTr="00117D03">
        <w:trPr>
          <w:trHeight w:val="125"/>
          <w:jc w:val="center"/>
        </w:trPr>
        <w:tc>
          <w:tcPr>
            <w:tcW w:w="4661" w:type="dxa"/>
            <w:shd w:val="clear" w:color="auto" w:fill="C0C0C0"/>
            <w:noWrap/>
            <w:vAlign w:val="center"/>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Výdavky verejnej správy celkom</w:t>
            </w:r>
          </w:p>
        </w:tc>
        <w:tc>
          <w:tcPr>
            <w:tcW w:w="1400" w:type="dxa"/>
            <w:shd w:val="clear" w:color="auto" w:fill="C0C0C0"/>
            <w:noWrap/>
            <w:vAlign w:val="center"/>
          </w:tcPr>
          <w:p w:rsidR="003F0AAF" w:rsidRPr="008E227D" w:rsidRDefault="003F0AAF" w:rsidP="00117D03">
            <w:pPr>
              <w:spacing w:after="0" w:line="240" w:lineRule="auto"/>
              <w:jc w:val="right"/>
              <w:rPr>
                <w:rFonts w:ascii="Times New Roman" w:hAnsi="Times New Roman"/>
                <w:b/>
                <w:color w:val="000000"/>
              </w:rPr>
            </w:pPr>
            <w:r w:rsidRPr="008E227D">
              <w:rPr>
                <w:rFonts w:ascii="Times New Roman" w:hAnsi="Times New Roman"/>
                <w:b/>
              </w:rPr>
              <w:t xml:space="preserve">642 804 </w:t>
            </w:r>
          </w:p>
        </w:tc>
        <w:tc>
          <w:tcPr>
            <w:tcW w:w="1400" w:type="dxa"/>
            <w:shd w:val="clear" w:color="auto" w:fill="C0C0C0"/>
            <w:noWrap/>
            <w:vAlign w:val="center"/>
          </w:tcPr>
          <w:p w:rsidR="003F0AAF" w:rsidRPr="008E227D" w:rsidRDefault="003F0AAF" w:rsidP="00117D03">
            <w:pPr>
              <w:spacing w:after="0" w:line="240" w:lineRule="auto"/>
              <w:jc w:val="right"/>
              <w:rPr>
                <w:rFonts w:ascii="Times New Roman" w:hAnsi="Times New Roman"/>
                <w:b/>
                <w:color w:val="000000"/>
              </w:rPr>
            </w:pPr>
            <w:r w:rsidRPr="008E227D">
              <w:rPr>
                <w:rFonts w:ascii="Times New Roman" w:hAnsi="Times New Roman"/>
                <w:b/>
              </w:rPr>
              <w:t xml:space="preserve">642 804 </w:t>
            </w:r>
          </w:p>
        </w:tc>
        <w:tc>
          <w:tcPr>
            <w:tcW w:w="1400" w:type="dxa"/>
            <w:shd w:val="clear" w:color="auto" w:fill="C0C0C0"/>
            <w:noWrap/>
            <w:vAlign w:val="center"/>
          </w:tcPr>
          <w:p w:rsidR="003F0AAF" w:rsidRPr="008E227D" w:rsidRDefault="003F0AAF" w:rsidP="00117D03">
            <w:pPr>
              <w:spacing w:after="0" w:line="240" w:lineRule="auto"/>
              <w:jc w:val="right"/>
              <w:rPr>
                <w:rFonts w:ascii="Times New Roman" w:hAnsi="Times New Roman"/>
                <w:b/>
                <w:color w:val="000000"/>
              </w:rPr>
            </w:pPr>
            <w:r w:rsidRPr="008E227D">
              <w:rPr>
                <w:rFonts w:ascii="Times New Roman" w:hAnsi="Times New Roman"/>
                <w:b/>
              </w:rPr>
              <w:t xml:space="preserve">642 804 </w:t>
            </w:r>
          </w:p>
        </w:tc>
        <w:tc>
          <w:tcPr>
            <w:tcW w:w="1400" w:type="dxa"/>
            <w:shd w:val="clear" w:color="auto" w:fill="C0C0C0"/>
            <w:noWrap/>
            <w:vAlign w:val="center"/>
          </w:tcPr>
          <w:p w:rsidR="003F0AAF" w:rsidRPr="008E227D" w:rsidRDefault="003F0AAF" w:rsidP="00117D03">
            <w:pPr>
              <w:spacing w:after="0" w:line="240" w:lineRule="auto"/>
              <w:jc w:val="right"/>
              <w:rPr>
                <w:rFonts w:ascii="Times New Roman" w:hAnsi="Times New Roman"/>
                <w:b/>
                <w:color w:val="000000"/>
              </w:rPr>
            </w:pPr>
            <w:r w:rsidRPr="008E227D">
              <w:rPr>
                <w:rFonts w:ascii="Times New Roman" w:hAnsi="Times New Roman"/>
                <w:b/>
              </w:rPr>
              <w:t xml:space="preserve">642 804 </w:t>
            </w:r>
          </w:p>
        </w:tc>
      </w:tr>
      <w:tr w:rsidR="003F0AAF" w:rsidRPr="008E227D" w:rsidTr="00117D03">
        <w:trPr>
          <w:trHeight w:val="70"/>
          <w:jc w:val="center"/>
        </w:trPr>
        <w:tc>
          <w:tcPr>
            <w:tcW w:w="4661" w:type="dxa"/>
            <w:noWrap/>
            <w:vAlign w:val="center"/>
          </w:tcPr>
          <w:p w:rsidR="003F0AAF" w:rsidRPr="008E227D" w:rsidRDefault="003F0AAF" w:rsidP="00117D03">
            <w:pPr>
              <w:spacing w:after="0" w:line="240" w:lineRule="auto"/>
              <w:rPr>
                <w:rFonts w:ascii="Times New Roman" w:hAnsi="Times New Roman"/>
                <w:b/>
                <w:bCs/>
                <w:i/>
                <w:iCs/>
              </w:rPr>
            </w:pPr>
            <w:r w:rsidRPr="008E227D">
              <w:rPr>
                <w:rFonts w:ascii="Times New Roman" w:hAnsi="Times New Roman"/>
                <w:b/>
                <w:bCs/>
                <w:i/>
                <w:iCs/>
              </w:rPr>
              <w:t xml:space="preserve">z toho: </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p>
        </w:tc>
      </w:tr>
      <w:tr w:rsidR="003F0AAF" w:rsidRPr="008E227D" w:rsidTr="00117D03">
        <w:trPr>
          <w:trHeight w:val="70"/>
          <w:jc w:val="center"/>
        </w:trPr>
        <w:tc>
          <w:tcPr>
            <w:tcW w:w="4661" w:type="dxa"/>
            <w:noWrap/>
            <w:vAlign w:val="center"/>
          </w:tcPr>
          <w:p w:rsidR="003F0AAF" w:rsidRPr="008E227D" w:rsidRDefault="003F0AAF" w:rsidP="00117D03">
            <w:pPr>
              <w:spacing w:after="0" w:line="240" w:lineRule="auto"/>
              <w:rPr>
                <w:rFonts w:ascii="Times New Roman" w:hAnsi="Times New Roman"/>
                <w:b/>
                <w:bCs/>
                <w:i/>
                <w:iCs/>
              </w:rPr>
            </w:pPr>
            <w:r w:rsidRPr="008E227D">
              <w:rPr>
                <w:rFonts w:ascii="Times New Roman" w:hAnsi="Times New Roman"/>
                <w:b/>
                <w:bCs/>
                <w:i/>
                <w:iCs/>
              </w:rPr>
              <w:t>- vplyv na ŠR</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r>
      <w:tr w:rsidR="003F0AAF" w:rsidRPr="008E227D" w:rsidTr="00117D03">
        <w:trPr>
          <w:trHeight w:val="70"/>
          <w:jc w:val="center"/>
        </w:trPr>
        <w:tc>
          <w:tcPr>
            <w:tcW w:w="4661" w:type="dxa"/>
            <w:noWrap/>
            <w:vAlign w:val="center"/>
          </w:tcPr>
          <w:p w:rsidR="003F0AAF" w:rsidRPr="008E227D" w:rsidRDefault="003F0AAF" w:rsidP="00117D03">
            <w:pPr>
              <w:spacing w:after="0" w:line="240" w:lineRule="auto"/>
              <w:ind w:left="259"/>
              <w:rPr>
                <w:rFonts w:ascii="Times New Roman" w:hAnsi="Times New Roman"/>
                <w:b/>
                <w:bCs/>
                <w:i/>
                <w:iCs/>
              </w:rPr>
            </w:pPr>
            <w:r w:rsidRPr="008E227D">
              <w:rPr>
                <w:rFonts w:ascii="Times New Roman" w:hAnsi="Times New Roman"/>
                <w:bCs/>
                <w:i/>
                <w:iCs/>
              </w:rPr>
              <w:t>Rozpočtové prostriedky</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r>
      <w:tr w:rsidR="003F0AAF" w:rsidRPr="008E227D" w:rsidTr="00117D03">
        <w:trPr>
          <w:trHeight w:val="70"/>
          <w:jc w:val="center"/>
        </w:trPr>
        <w:tc>
          <w:tcPr>
            <w:tcW w:w="4661" w:type="dxa"/>
            <w:noWrap/>
            <w:vAlign w:val="center"/>
          </w:tcPr>
          <w:p w:rsidR="003F0AAF" w:rsidRPr="008E227D" w:rsidRDefault="003F0AAF" w:rsidP="00117D03">
            <w:pPr>
              <w:spacing w:after="0" w:line="240" w:lineRule="auto"/>
              <w:rPr>
                <w:rFonts w:ascii="Times New Roman" w:hAnsi="Times New Roman"/>
                <w:bCs/>
                <w:i/>
                <w:iCs/>
              </w:rPr>
            </w:pPr>
            <w:r w:rsidRPr="008E227D">
              <w:rPr>
                <w:rFonts w:ascii="Times New Roman" w:hAnsi="Times New Roman"/>
                <w:bCs/>
                <w:i/>
                <w:iCs/>
              </w:rPr>
              <w:t xml:space="preserve">    EÚ zdroje</w:t>
            </w:r>
          </w:p>
        </w:tc>
        <w:tc>
          <w:tcPr>
            <w:tcW w:w="1400" w:type="dxa"/>
            <w:noWrap/>
            <w:vAlign w:val="center"/>
          </w:tcPr>
          <w:p w:rsidR="003F0AAF" w:rsidRPr="008E227D" w:rsidRDefault="003F0AAF" w:rsidP="00117D03">
            <w:pPr>
              <w:spacing w:after="0" w:line="240" w:lineRule="auto"/>
              <w:jc w:val="right"/>
              <w:rPr>
                <w:rFonts w:ascii="Times New Roman" w:hAnsi="Times New Roman"/>
              </w:rPr>
            </w:pPr>
            <w:r w:rsidRPr="008E227D">
              <w:rPr>
                <w:rFonts w:ascii="Times New Roman" w:hAnsi="Times New Roman"/>
              </w:rPr>
              <w:t>0</w:t>
            </w:r>
          </w:p>
        </w:tc>
        <w:tc>
          <w:tcPr>
            <w:tcW w:w="1400" w:type="dxa"/>
            <w:noWrap/>
            <w:vAlign w:val="center"/>
          </w:tcPr>
          <w:p w:rsidR="003F0AAF" w:rsidRPr="008E227D" w:rsidRDefault="003F0AAF" w:rsidP="00117D03">
            <w:pPr>
              <w:spacing w:after="0" w:line="240" w:lineRule="auto"/>
              <w:jc w:val="right"/>
              <w:rPr>
                <w:rFonts w:ascii="Times New Roman" w:hAnsi="Times New Roman"/>
              </w:rPr>
            </w:pPr>
            <w:r w:rsidRPr="008E227D">
              <w:rPr>
                <w:rFonts w:ascii="Times New Roman" w:hAnsi="Times New Roman"/>
              </w:rPr>
              <w:t>0</w:t>
            </w:r>
          </w:p>
        </w:tc>
        <w:tc>
          <w:tcPr>
            <w:tcW w:w="1400" w:type="dxa"/>
            <w:noWrap/>
            <w:vAlign w:val="center"/>
          </w:tcPr>
          <w:p w:rsidR="003F0AAF" w:rsidRPr="008E227D" w:rsidRDefault="003F0AAF" w:rsidP="00117D03">
            <w:pPr>
              <w:spacing w:after="0" w:line="240" w:lineRule="auto"/>
              <w:jc w:val="right"/>
              <w:rPr>
                <w:rFonts w:ascii="Times New Roman" w:hAnsi="Times New Roman"/>
              </w:rPr>
            </w:pPr>
            <w:r w:rsidRPr="008E227D">
              <w:rPr>
                <w:rFonts w:ascii="Times New Roman" w:hAnsi="Times New Roman"/>
              </w:rPr>
              <w:t>0</w:t>
            </w:r>
          </w:p>
        </w:tc>
        <w:tc>
          <w:tcPr>
            <w:tcW w:w="1400" w:type="dxa"/>
            <w:noWrap/>
            <w:vAlign w:val="center"/>
          </w:tcPr>
          <w:p w:rsidR="003F0AAF" w:rsidRPr="008E227D" w:rsidRDefault="003F0AAF" w:rsidP="00117D03">
            <w:pPr>
              <w:spacing w:after="0" w:line="240" w:lineRule="auto"/>
              <w:jc w:val="right"/>
              <w:rPr>
                <w:rFonts w:ascii="Times New Roman" w:hAnsi="Times New Roman"/>
              </w:rPr>
            </w:pPr>
            <w:r w:rsidRPr="008E227D">
              <w:rPr>
                <w:rFonts w:ascii="Times New Roman" w:hAnsi="Times New Roman"/>
              </w:rPr>
              <w:t>0</w:t>
            </w:r>
          </w:p>
        </w:tc>
      </w:tr>
      <w:tr w:rsidR="003F0AAF" w:rsidRPr="008E227D" w:rsidTr="00117D03">
        <w:trPr>
          <w:trHeight w:val="70"/>
          <w:jc w:val="center"/>
        </w:trPr>
        <w:tc>
          <w:tcPr>
            <w:tcW w:w="4661" w:type="dxa"/>
            <w:noWrap/>
            <w:vAlign w:val="center"/>
          </w:tcPr>
          <w:p w:rsidR="003F0AAF" w:rsidRPr="008E227D" w:rsidRDefault="003F0AAF" w:rsidP="00117D03">
            <w:pPr>
              <w:spacing w:after="0" w:line="240" w:lineRule="auto"/>
              <w:rPr>
                <w:rFonts w:ascii="Times New Roman" w:hAnsi="Times New Roman"/>
                <w:bCs/>
                <w:i/>
                <w:iCs/>
              </w:rPr>
            </w:pPr>
            <w:r w:rsidRPr="008E227D">
              <w:rPr>
                <w:rFonts w:ascii="Times New Roman" w:hAnsi="Times New Roman"/>
                <w:bCs/>
                <w:i/>
                <w:iCs/>
              </w:rPr>
              <w:t xml:space="preserve">    spolufinancovanie</w:t>
            </w:r>
          </w:p>
        </w:tc>
        <w:tc>
          <w:tcPr>
            <w:tcW w:w="1400" w:type="dxa"/>
            <w:noWrap/>
            <w:vAlign w:val="center"/>
          </w:tcPr>
          <w:p w:rsidR="003F0AAF" w:rsidRPr="008E227D" w:rsidRDefault="003F0AAF" w:rsidP="00117D03">
            <w:pPr>
              <w:spacing w:after="0" w:line="240" w:lineRule="auto"/>
              <w:jc w:val="right"/>
              <w:rPr>
                <w:rFonts w:ascii="Times New Roman" w:hAnsi="Times New Roman"/>
              </w:rPr>
            </w:pPr>
            <w:r w:rsidRPr="008E227D">
              <w:rPr>
                <w:rFonts w:ascii="Times New Roman" w:hAnsi="Times New Roman"/>
              </w:rPr>
              <w:t>0</w:t>
            </w:r>
          </w:p>
        </w:tc>
        <w:tc>
          <w:tcPr>
            <w:tcW w:w="1400" w:type="dxa"/>
            <w:noWrap/>
            <w:vAlign w:val="center"/>
          </w:tcPr>
          <w:p w:rsidR="003F0AAF" w:rsidRPr="008E227D" w:rsidRDefault="003F0AAF" w:rsidP="00117D03">
            <w:pPr>
              <w:spacing w:after="0" w:line="240" w:lineRule="auto"/>
              <w:jc w:val="right"/>
              <w:rPr>
                <w:rFonts w:ascii="Times New Roman" w:hAnsi="Times New Roman"/>
              </w:rPr>
            </w:pPr>
            <w:r w:rsidRPr="008E227D">
              <w:rPr>
                <w:rFonts w:ascii="Times New Roman" w:hAnsi="Times New Roman"/>
              </w:rPr>
              <w:t>0</w:t>
            </w:r>
          </w:p>
        </w:tc>
        <w:tc>
          <w:tcPr>
            <w:tcW w:w="1400" w:type="dxa"/>
            <w:noWrap/>
            <w:vAlign w:val="center"/>
          </w:tcPr>
          <w:p w:rsidR="003F0AAF" w:rsidRPr="008E227D" w:rsidRDefault="003F0AAF" w:rsidP="00117D03">
            <w:pPr>
              <w:spacing w:after="0" w:line="240" w:lineRule="auto"/>
              <w:jc w:val="right"/>
              <w:rPr>
                <w:rFonts w:ascii="Times New Roman" w:hAnsi="Times New Roman"/>
              </w:rPr>
            </w:pPr>
            <w:r w:rsidRPr="008E227D">
              <w:rPr>
                <w:rFonts w:ascii="Times New Roman" w:hAnsi="Times New Roman"/>
              </w:rPr>
              <w:t>0</w:t>
            </w:r>
          </w:p>
        </w:tc>
        <w:tc>
          <w:tcPr>
            <w:tcW w:w="1400" w:type="dxa"/>
            <w:noWrap/>
            <w:vAlign w:val="center"/>
          </w:tcPr>
          <w:p w:rsidR="003F0AAF" w:rsidRPr="008E227D" w:rsidRDefault="003F0AAF" w:rsidP="00117D03">
            <w:pPr>
              <w:spacing w:after="0" w:line="240" w:lineRule="auto"/>
              <w:jc w:val="right"/>
              <w:rPr>
                <w:rFonts w:ascii="Times New Roman" w:hAnsi="Times New Roman"/>
              </w:rPr>
            </w:pPr>
            <w:r w:rsidRPr="008E227D">
              <w:rPr>
                <w:rFonts w:ascii="Times New Roman" w:hAnsi="Times New Roman"/>
              </w:rPr>
              <w:t>0</w:t>
            </w:r>
          </w:p>
        </w:tc>
      </w:tr>
      <w:tr w:rsidR="003F0AAF" w:rsidRPr="008E227D" w:rsidTr="00117D03">
        <w:trPr>
          <w:trHeight w:val="125"/>
          <w:jc w:val="center"/>
        </w:trPr>
        <w:tc>
          <w:tcPr>
            <w:tcW w:w="4661" w:type="dxa"/>
            <w:noWrap/>
            <w:vAlign w:val="center"/>
          </w:tcPr>
          <w:p w:rsidR="003F0AAF" w:rsidRPr="008E227D" w:rsidRDefault="003F0AAF" w:rsidP="00117D03">
            <w:pPr>
              <w:spacing w:after="0" w:line="240" w:lineRule="auto"/>
              <w:rPr>
                <w:rFonts w:ascii="Times New Roman" w:hAnsi="Times New Roman"/>
                <w:b/>
                <w:bCs/>
                <w:i/>
                <w:iCs/>
              </w:rPr>
            </w:pPr>
            <w:r w:rsidRPr="008E227D">
              <w:rPr>
                <w:rFonts w:ascii="Times New Roman" w:hAnsi="Times New Roman"/>
                <w:b/>
                <w:bCs/>
                <w:i/>
                <w:iCs/>
              </w:rPr>
              <w:t>- vplyv na obce</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r>
      <w:tr w:rsidR="003F0AAF" w:rsidRPr="008E227D" w:rsidTr="00117D03">
        <w:trPr>
          <w:trHeight w:val="125"/>
          <w:jc w:val="center"/>
        </w:trPr>
        <w:tc>
          <w:tcPr>
            <w:tcW w:w="4661" w:type="dxa"/>
            <w:noWrap/>
            <w:vAlign w:val="center"/>
          </w:tcPr>
          <w:p w:rsidR="003F0AAF" w:rsidRPr="008E227D" w:rsidRDefault="003F0AAF" w:rsidP="00117D03">
            <w:pPr>
              <w:spacing w:after="0" w:line="240" w:lineRule="auto"/>
              <w:rPr>
                <w:rFonts w:ascii="Times New Roman" w:hAnsi="Times New Roman"/>
                <w:b/>
                <w:bCs/>
                <w:i/>
                <w:iCs/>
              </w:rPr>
            </w:pPr>
            <w:r w:rsidRPr="008E227D">
              <w:rPr>
                <w:rFonts w:ascii="Times New Roman" w:hAnsi="Times New Roman"/>
                <w:b/>
                <w:bCs/>
                <w:i/>
                <w:iCs/>
              </w:rPr>
              <w:t>- vplyv na vyššie územné celky</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r>
      <w:tr w:rsidR="003F0AAF" w:rsidRPr="008E227D" w:rsidTr="00117D03">
        <w:trPr>
          <w:trHeight w:val="70"/>
          <w:jc w:val="center"/>
        </w:trPr>
        <w:tc>
          <w:tcPr>
            <w:tcW w:w="4661" w:type="dxa"/>
            <w:noWrap/>
            <w:vAlign w:val="center"/>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i/>
                <w:iCs/>
              </w:rPr>
              <w:t>- vplyv na rozpočet verejného zdravotného poistenia</w:t>
            </w:r>
          </w:p>
        </w:tc>
        <w:tc>
          <w:tcPr>
            <w:tcW w:w="1400" w:type="dxa"/>
            <w:noWrap/>
            <w:vAlign w:val="center"/>
          </w:tcPr>
          <w:p w:rsidR="003F0AAF" w:rsidRPr="008E227D" w:rsidRDefault="003F0AAF" w:rsidP="00117D03">
            <w:pPr>
              <w:spacing w:after="0" w:line="240" w:lineRule="auto"/>
              <w:jc w:val="right"/>
              <w:rPr>
                <w:rFonts w:ascii="Times New Roman" w:hAnsi="Times New Roman"/>
                <w:b/>
              </w:rPr>
            </w:pPr>
            <w:r w:rsidRPr="008E227D">
              <w:rPr>
                <w:rFonts w:ascii="Times New Roman" w:hAnsi="Times New Roman"/>
                <w:b/>
              </w:rPr>
              <w:t xml:space="preserve">642 804 </w:t>
            </w:r>
          </w:p>
        </w:tc>
        <w:tc>
          <w:tcPr>
            <w:tcW w:w="1400" w:type="dxa"/>
            <w:noWrap/>
            <w:vAlign w:val="center"/>
          </w:tcPr>
          <w:p w:rsidR="003F0AAF" w:rsidRPr="008E227D" w:rsidRDefault="003F0AAF" w:rsidP="00117D03">
            <w:pPr>
              <w:spacing w:after="0" w:line="240" w:lineRule="auto"/>
              <w:jc w:val="right"/>
              <w:rPr>
                <w:rFonts w:ascii="Times New Roman" w:hAnsi="Times New Roman"/>
                <w:b/>
              </w:rPr>
            </w:pPr>
            <w:r w:rsidRPr="008E227D">
              <w:rPr>
                <w:rFonts w:ascii="Times New Roman" w:hAnsi="Times New Roman"/>
                <w:b/>
              </w:rPr>
              <w:t xml:space="preserve">642 804 </w:t>
            </w:r>
          </w:p>
        </w:tc>
        <w:tc>
          <w:tcPr>
            <w:tcW w:w="1400" w:type="dxa"/>
            <w:noWrap/>
            <w:vAlign w:val="center"/>
          </w:tcPr>
          <w:p w:rsidR="003F0AAF" w:rsidRPr="008E227D" w:rsidRDefault="003F0AAF" w:rsidP="00117D03">
            <w:pPr>
              <w:spacing w:after="0" w:line="240" w:lineRule="auto"/>
              <w:jc w:val="right"/>
              <w:rPr>
                <w:rFonts w:ascii="Times New Roman" w:hAnsi="Times New Roman"/>
                <w:b/>
              </w:rPr>
            </w:pPr>
            <w:r w:rsidRPr="008E227D">
              <w:rPr>
                <w:rFonts w:ascii="Times New Roman" w:hAnsi="Times New Roman"/>
                <w:b/>
              </w:rPr>
              <w:t xml:space="preserve">642 804 </w:t>
            </w:r>
          </w:p>
        </w:tc>
        <w:tc>
          <w:tcPr>
            <w:tcW w:w="1400" w:type="dxa"/>
            <w:noWrap/>
            <w:vAlign w:val="center"/>
          </w:tcPr>
          <w:p w:rsidR="003F0AAF" w:rsidRPr="008E227D" w:rsidRDefault="003F0AAF" w:rsidP="00117D03">
            <w:pPr>
              <w:spacing w:after="0" w:line="240" w:lineRule="auto"/>
              <w:jc w:val="right"/>
              <w:rPr>
                <w:rFonts w:ascii="Times New Roman" w:hAnsi="Times New Roman"/>
                <w:b/>
              </w:rPr>
            </w:pPr>
            <w:r w:rsidRPr="008E227D">
              <w:rPr>
                <w:rFonts w:ascii="Times New Roman" w:hAnsi="Times New Roman"/>
                <w:b/>
              </w:rPr>
              <w:t xml:space="preserve">642 804 </w:t>
            </w:r>
          </w:p>
        </w:tc>
      </w:tr>
      <w:tr w:rsidR="003F0AAF" w:rsidRPr="008E227D" w:rsidTr="00117D03">
        <w:trPr>
          <w:trHeight w:val="70"/>
          <w:jc w:val="center"/>
        </w:trPr>
        <w:tc>
          <w:tcPr>
            <w:tcW w:w="4661" w:type="dxa"/>
            <w:shd w:val="clear" w:color="auto" w:fill="BFBFBF"/>
            <w:noWrap/>
            <w:vAlign w:val="center"/>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 xml:space="preserve">Vplyv na počet zamestnancov </w:t>
            </w:r>
          </w:p>
        </w:tc>
        <w:tc>
          <w:tcPr>
            <w:tcW w:w="1400" w:type="dxa"/>
            <w:shd w:val="clear" w:color="auto" w:fill="BFBFBF"/>
            <w:noWrap/>
            <w:vAlign w:val="center"/>
          </w:tcPr>
          <w:p w:rsidR="003F0AAF" w:rsidRPr="008E227D" w:rsidRDefault="003F0AAF" w:rsidP="00117D03">
            <w:pPr>
              <w:spacing w:after="0" w:line="240" w:lineRule="auto"/>
              <w:jc w:val="right"/>
              <w:rPr>
                <w:rFonts w:ascii="Times New Roman" w:hAnsi="Times New Roman"/>
                <w:b/>
                <w:bCs/>
              </w:rPr>
            </w:pPr>
            <w:r w:rsidRPr="008E227D">
              <w:rPr>
                <w:rFonts w:ascii="Times New Roman" w:hAnsi="Times New Roman"/>
                <w:b/>
                <w:bCs/>
              </w:rPr>
              <w:t>0</w:t>
            </w:r>
          </w:p>
        </w:tc>
        <w:tc>
          <w:tcPr>
            <w:tcW w:w="1400" w:type="dxa"/>
            <w:shd w:val="clear" w:color="auto" w:fill="BFBFBF"/>
            <w:noWrap/>
            <w:vAlign w:val="center"/>
          </w:tcPr>
          <w:p w:rsidR="003F0AAF" w:rsidRPr="008E227D" w:rsidRDefault="003F0AAF" w:rsidP="00117D03">
            <w:pPr>
              <w:spacing w:after="0" w:line="240" w:lineRule="auto"/>
              <w:jc w:val="right"/>
              <w:rPr>
                <w:rFonts w:ascii="Times New Roman" w:hAnsi="Times New Roman"/>
                <w:b/>
                <w:bCs/>
              </w:rPr>
            </w:pPr>
            <w:r w:rsidRPr="008E227D">
              <w:rPr>
                <w:rFonts w:ascii="Times New Roman" w:hAnsi="Times New Roman"/>
                <w:b/>
                <w:bCs/>
              </w:rPr>
              <w:t>0</w:t>
            </w:r>
          </w:p>
        </w:tc>
        <w:tc>
          <w:tcPr>
            <w:tcW w:w="1400" w:type="dxa"/>
            <w:shd w:val="clear" w:color="auto" w:fill="BFBFBF"/>
            <w:noWrap/>
            <w:vAlign w:val="center"/>
          </w:tcPr>
          <w:p w:rsidR="003F0AAF" w:rsidRPr="008E227D" w:rsidRDefault="003F0AAF" w:rsidP="00117D03">
            <w:pPr>
              <w:spacing w:after="0" w:line="240" w:lineRule="auto"/>
              <w:jc w:val="right"/>
              <w:rPr>
                <w:rFonts w:ascii="Times New Roman" w:hAnsi="Times New Roman"/>
                <w:b/>
                <w:bCs/>
              </w:rPr>
            </w:pPr>
            <w:r w:rsidRPr="008E227D">
              <w:rPr>
                <w:rFonts w:ascii="Times New Roman" w:hAnsi="Times New Roman"/>
                <w:b/>
                <w:bCs/>
              </w:rPr>
              <w:t>0</w:t>
            </w:r>
          </w:p>
        </w:tc>
        <w:tc>
          <w:tcPr>
            <w:tcW w:w="1400" w:type="dxa"/>
            <w:shd w:val="clear" w:color="auto" w:fill="BFBFBF"/>
            <w:noWrap/>
            <w:vAlign w:val="center"/>
          </w:tcPr>
          <w:p w:rsidR="003F0AAF" w:rsidRPr="008E227D" w:rsidRDefault="003F0AAF" w:rsidP="00117D03">
            <w:pPr>
              <w:spacing w:after="0" w:line="240" w:lineRule="auto"/>
              <w:jc w:val="right"/>
              <w:rPr>
                <w:rFonts w:ascii="Times New Roman" w:hAnsi="Times New Roman"/>
                <w:b/>
                <w:bCs/>
              </w:rPr>
            </w:pPr>
            <w:r w:rsidRPr="008E227D">
              <w:rPr>
                <w:rFonts w:ascii="Times New Roman" w:hAnsi="Times New Roman"/>
                <w:b/>
                <w:bCs/>
              </w:rPr>
              <w:t>0</w:t>
            </w:r>
          </w:p>
        </w:tc>
      </w:tr>
      <w:tr w:rsidR="003F0AAF" w:rsidRPr="008E227D" w:rsidTr="00117D03">
        <w:trPr>
          <w:trHeight w:val="70"/>
          <w:jc w:val="center"/>
        </w:trPr>
        <w:tc>
          <w:tcPr>
            <w:tcW w:w="4661" w:type="dxa"/>
            <w:noWrap/>
            <w:vAlign w:val="center"/>
          </w:tcPr>
          <w:p w:rsidR="003F0AAF" w:rsidRPr="008E227D" w:rsidRDefault="003F0AAF" w:rsidP="00117D03">
            <w:pPr>
              <w:spacing w:after="0" w:line="240" w:lineRule="auto"/>
              <w:rPr>
                <w:rFonts w:ascii="Times New Roman" w:hAnsi="Times New Roman"/>
                <w:b/>
                <w:bCs/>
                <w:i/>
                <w:iCs/>
              </w:rPr>
            </w:pPr>
            <w:r w:rsidRPr="008E227D">
              <w:rPr>
                <w:rFonts w:ascii="Times New Roman" w:hAnsi="Times New Roman"/>
                <w:b/>
                <w:bCs/>
                <w:i/>
                <w:iCs/>
              </w:rPr>
              <w:t>- vplyv na ŠR</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r>
      <w:tr w:rsidR="003F0AAF" w:rsidRPr="008E227D" w:rsidTr="00117D03">
        <w:trPr>
          <w:trHeight w:val="70"/>
          <w:jc w:val="center"/>
        </w:trPr>
        <w:tc>
          <w:tcPr>
            <w:tcW w:w="4661" w:type="dxa"/>
            <w:noWrap/>
            <w:vAlign w:val="center"/>
          </w:tcPr>
          <w:p w:rsidR="003F0AAF" w:rsidRPr="008E227D" w:rsidRDefault="003F0AAF" w:rsidP="00117D03">
            <w:pPr>
              <w:spacing w:after="0" w:line="240" w:lineRule="auto"/>
              <w:rPr>
                <w:rFonts w:ascii="Times New Roman" w:hAnsi="Times New Roman"/>
                <w:b/>
                <w:bCs/>
                <w:i/>
                <w:iCs/>
              </w:rPr>
            </w:pPr>
            <w:r w:rsidRPr="008E227D">
              <w:rPr>
                <w:rFonts w:ascii="Times New Roman" w:hAnsi="Times New Roman"/>
                <w:b/>
                <w:bCs/>
                <w:i/>
                <w:iCs/>
              </w:rPr>
              <w:t>- vplyv na obce</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r>
      <w:tr w:rsidR="003F0AAF" w:rsidRPr="008E227D" w:rsidTr="00117D03">
        <w:trPr>
          <w:trHeight w:val="70"/>
          <w:jc w:val="center"/>
        </w:trPr>
        <w:tc>
          <w:tcPr>
            <w:tcW w:w="4661" w:type="dxa"/>
            <w:noWrap/>
            <w:vAlign w:val="center"/>
          </w:tcPr>
          <w:p w:rsidR="003F0AAF" w:rsidRPr="008E227D" w:rsidRDefault="003F0AAF" w:rsidP="00117D03">
            <w:pPr>
              <w:spacing w:after="0" w:line="240" w:lineRule="auto"/>
              <w:rPr>
                <w:rFonts w:ascii="Times New Roman" w:hAnsi="Times New Roman"/>
                <w:b/>
                <w:bCs/>
                <w:i/>
                <w:iCs/>
              </w:rPr>
            </w:pPr>
            <w:r w:rsidRPr="008E227D">
              <w:rPr>
                <w:rFonts w:ascii="Times New Roman" w:hAnsi="Times New Roman"/>
                <w:b/>
                <w:bCs/>
                <w:i/>
                <w:iCs/>
              </w:rPr>
              <w:t>- vplyv na vyššie územné celky</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r>
      <w:tr w:rsidR="003F0AAF" w:rsidRPr="008E227D" w:rsidTr="00117D03">
        <w:trPr>
          <w:trHeight w:val="70"/>
          <w:jc w:val="center"/>
        </w:trPr>
        <w:tc>
          <w:tcPr>
            <w:tcW w:w="4661" w:type="dxa"/>
            <w:noWrap/>
            <w:vAlign w:val="center"/>
          </w:tcPr>
          <w:p w:rsidR="003F0AAF" w:rsidRPr="008E227D" w:rsidRDefault="003F0AAF" w:rsidP="00117D03">
            <w:pPr>
              <w:spacing w:after="0" w:line="240" w:lineRule="auto"/>
              <w:rPr>
                <w:rFonts w:ascii="Times New Roman" w:hAnsi="Times New Roman"/>
                <w:b/>
                <w:bCs/>
                <w:i/>
                <w:iCs/>
              </w:rPr>
            </w:pPr>
            <w:r w:rsidRPr="008E227D">
              <w:rPr>
                <w:rFonts w:ascii="Times New Roman" w:hAnsi="Times New Roman"/>
                <w:b/>
                <w:bCs/>
                <w:i/>
                <w:iCs/>
              </w:rPr>
              <w:t>- vplyv na ostatné subjekty verejnej správy</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r>
      <w:tr w:rsidR="003F0AAF" w:rsidRPr="008E227D" w:rsidTr="00117D03">
        <w:trPr>
          <w:trHeight w:val="70"/>
          <w:jc w:val="center"/>
        </w:trPr>
        <w:tc>
          <w:tcPr>
            <w:tcW w:w="4661" w:type="dxa"/>
            <w:shd w:val="clear" w:color="auto" w:fill="BFBFBF"/>
            <w:noWrap/>
            <w:vAlign w:val="center"/>
          </w:tcPr>
          <w:p w:rsidR="003F0AAF" w:rsidRPr="008E227D" w:rsidRDefault="003F0AAF" w:rsidP="00117D03">
            <w:pPr>
              <w:spacing w:after="0" w:line="240" w:lineRule="auto"/>
              <w:rPr>
                <w:rFonts w:ascii="Times New Roman" w:hAnsi="Times New Roman"/>
                <w:b/>
              </w:rPr>
            </w:pPr>
            <w:r w:rsidRPr="008E227D">
              <w:rPr>
                <w:rFonts w:ascii="Times New Roman" w:hAnsi="Times New Roman"/>
                <w:b/>
              </w:rPr>
              <w:t>Vplyv na mzdové výdavky</w:t>
            </w:r>
          </w:p>
        </w:tc>
        <w:tc>
          <w:tcPr>
            <w:tcW w:w="1400" w:type="dxa"/>
            <w:shd w:val="clear" w:color="auto" w:fill="BFBFBF"/>
            <w:noWrap/>
            <w:vAlign w:val="center"/>
          </w:tcPr>
          <w:p w:rsidR="003F0AAF" w:rsidRPr="008E227D" w:rsidRDefault="003F0AAF" w:rsidP="00117D03">
            <w:pPr>
              <w:spacing w:after="0" w:line="240" w:lineRule="auto"/>
              <w:jc w:val="right"/>
              <w:rPr>
                <w:rFonts w:ascii="Times New Roman" w:hAnsi="Times New Roman"/>
                <w:b/>
              </w:rPr>
            </w:pPr>
            <w:r w:rsidRPr="008E227D">
              <w:rPr>
                <w:rFonts w:ascii="Times New Roman" w:hAnsi="Times New Roman"/>
                <w:b/>
              </w:rPr>
              <w:t>0</w:t>
            </w:r>
          </w:p>
        </w:tc>
        <w:tc>
          <w:tcPr>
            <w:tcW w:w="1400" w:type="dxa"/>
            <w:shd w:val="clear" w:color="auto" w:fill="BFBFBF"/>
            <w:noWrap/>
            <w:vAlign w:val="center"/>
          </w:tcPr>
          <w:p w:rsidR="003F0AAF" w:rsidRPr="008E227D" w:rsidRDefault="003F0AAF" w:rsidP="00117D03">
            <w:pPr>
              <w:spacing w:after="0" w:line="240" w:lineRule="auto"/>
              <w:jc w:val="right"/>
              <w:rPr>
                <w:rFonts w:ascii="Times New Roman" w:hAnsi="Times New Roman"/>
                <w:b/>
              </w:rPr>
            </w:pPr>
            <w:r w:rsidRPr="008E227D">
              <w:rPr>
                <w:rFonts w:ascii="Times New Roman" w:hAnsi="Times New Roman"/>
                <w:b/>
              </w:rPr>
              <w:t>0</w:t>
            </w:r>
          </w:p>
        </w:tc>
        <w:tc>
          <w:tcPr>
            <w:tcW w:w="1400" w:type="dxa"/>
            <w:shd w:val="clear" w:color="auto" w:fill="BFBFBF"/>
            <w:noWrap/>
            <w:vAlign w:val="center"/>
          </w:tcPr>
          <w:p w:rsidR="003F0AAF" w:rsidRPr="008E227D" w:rsidRDefault="003F0AAF" w:rsidP="00117D03">
            <w:pPr>
              <w:spacing w:after="0" w:line="240" w:lineRule="auto"/>
              <w:jc w:val="right"/>
              <w:rPr>
                <w:rFonts w:ascii="Times New Roman" w:hAnsi="Times New Roman"/>
                <w:b/>
              </w:rPr>
            </w:pPr>
            <w:r w:rsidRPr="008E227D">
              <w:rPr>
                <w:rFonts w:ascii="Times New Roman" w:hAnsi="Times New Roman"/>
                <w:b/>
              </w:rPr>
              <w:t>0</w:t>
            </w:r>
          </w:p>
        </w:tc>
        <w:tc>
          <w:tcPr>
            <w:tcW w:w="1400" w:type="dxa"/>
            <w:shd w:val="clear" w:color="auto" w:fill="BFBFBF"/>
            <w:noWrap/>
            <w:vAlign w:val="center"/>
          </w:tcPr>
          <w:p w:rsidR="003F0AAF" w:rsidRPr="008E227D" w:rsidRDefault="003F0AAF" w:rsidP="00117D03">
            <w:pPr>
              <w:spacing w:after="0" w:line="240" w:lineRule="auto"/>
              <w:jc w:val="right"/>
              <w:rPr>
                <w:rFonts w:ascii="Times New Roman" w:hAnsi="Times New Roman"/>
                <w:b/>
              </w:rPr>
            </w:pPr>
            <w:r w:rsidRPr="008E227D">
              <w:rPr>
                <w:rFonts w:ascii="Times New Roman" w:hAnsi="Times New Roman"/>
                <w:b/>
              </w:rPr>
              <w:t>0</w:t>
            </w:r>
          </w:p>
        </w:tc>
      </w:tr>
      <w:tr w:rsidR="003F0AAF" w:rsidRPr="008E227D" w:rsidTr="00117D03">
        <w:trPr>
          <w:trHeight w:val="70"/>
          <w:jc w:val="center"/>
        </w:trPr>
        <w:tc>
          <w:tcPr>
            <w:tcW w:w="4661" w:type="dxa"/>
            <w:noWrap/>
            <w:vAlign w:val="center"/>
          </w:tcPr>
          <w:p w:rsidR="003F0AAF" w:rsidRPr="008E227D" w:rsidRDefault="003F0AAF" w:rsidP="00117D03">
            <w:pPr>
              <w:spacing w:after="0" w:line="240" w:lineRule="auto"/>
              <w:rPr>
                <w:rFonts w:ascii="Times New Roman" w:hAnsi="Times New Roman"/>
                <w:b/>
                <w:bCs/>
                <w:i/>
                <w:iCs/>
              </w:rPr>
            </w:pPr>
            <w:r w:rsidRPr="008E227D">
              <w:rPr>
                <w:rFonts w:ascii="Times New Roman" w:hAnsi="Times New Roman"/>
                <w:b/>
                <w:bCs/>
                <w:i/>
                <w:iCs/>
              </w:rPr>
              <w:t>- vplyv na ŠR</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r>
      <w:tr w:rsidR="003F0AAF" w:rsidRPr="008E227D" w:rsidTr="00117D03">
        <w:trPr>
          <w:trHeight w:val="70"/>
          <w:jc w:val="center"/>
        </w:trPr>
        <w:tc>
          <w:tcPr>
            <w:tcW w:w="4661" w:type="dxa"/>
            <w:noWrap/>
            <w:vAlign w:val="center"/>
          </w:tcPr>
          <w:p w:rsidR="003F0AAF" w:rsidRPr="008E227D" w:rsidRDefault="003F0AAF" w:rsidP="00117D03">
            <w:pPr>
              <w:spacing w:after="0" w:line="240" w:lineRule="auto"/>
              <w:rPr>
                <w:rFonts w:ascii="Times New Roman" w:hAnsi="Times New Roman"/>
                <w:b/>
                <w:bCs/>
                <w:i/>
                <w:iCs/>
              </w:rPr>
            </w:pPr>
            <w:r w:rsidRPr="008E227D">
              <w:rPr>
                <w:rFonts w:ascii="Times New Roman" w:hAnsi="Times New Roman"/>
                <w:b/>
                <w:bCs/>
                <w:i/>
                <w:iCs/>
              </w:rPr>
              <w:t>- vplyv na obce</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r>
      <w:tr w:rsidR="003F0AAF" w:rsidRPr="008E227D" w:rsidTr="00117D03">
        <w:trPr>
          <w:trHeight w:val="70"/>
          <w:jc w:val="center"/>
        </w:trPr>
        <w:tc>
          <w:tcPr>
            <w:tcW w:w="4661" w:type="dxa"/>
            <w:noWrap/>
            <w:vAlign w:val="center"/>
          </w:tcPr>
          <w:p w:rsidR="003F0AAF" w:rsidRPr="008E227D" w:rsidRDefault="003F0AAF" w:rsidP="00117D03">
            <w:pPr>
              <w:spacing w:after="0" w:line="240" w:lineRule="auto"/>
              <w:rPr>
                <w:rFonts w:ascii="Times New Roman" w:hAnsi="Times New Roman"/>
                <w:b/>
                <w:bCs/>
                <w:i/>
                <w:iCs/>
              </w:rPr>
            </w:pPr>
            <w:r w:rsidRPr="008E227D">
              <w:rPr>
                <w:rFonts w:ascii="Times New Roman" w:hAnsi="Times New Roman"/>
                <w:b/>
                <w:bCs/>
                <w:i/>
                <w:iCs/>
              </w:rPr>
              <w:t>- vplyv na vyššie územné celky</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r>
      <w:tr w:rsidR="003F0AAF" w:rsidRPr="008E227D" w:rsidTr="00117D03">
        <w:trPr>
          <w:trHeight w:val="70"/>
          <w:jc w:val="center"/>
        </w:trPr>
        <w:tc>
          <w:tcPr>
            <w:tcW w:w="4661" w:type="dxa"/>
            <w:noWrap/>
            <w:vAlign w:val="center"/>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i/>
                <w:iCs/>
              </w:rPr>
              <w:t>- vplyv na ostatné subjekty verejnej správy</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c>
          <w:tcPr>
            <w:tcW w:w="1400" w:type="dxa"/>
            <w:noWrap/>
            <w:vAlign w:val="center"/>
          </w:tcPr>
          <w:p w:rsidR="003F0AAF" w:rsidRPr="008E227D" w:rsidRDefault="003F0AAF" w:rsidP="00117D03">
            <w:pPr>
              <w:spacing w:after="0" w:line="240" w:lineRule="auto"/>
              <w:jc w:val="right"/>
              <w:rPr>
                <w:rFonts w:ascii="Times New Roman" w:hAnsi="Times New Roman"/>
                <w:b/>
                <w:bCs/>
                <w:iCs/>
              </w:rPr>
            </w:pPr>
            <w:r w:rsidRPr="008E227D">
              <w:rPr>
                <w:rFonts w:ascii="Times New Roman" w:hAnsi="Times New Roman"/>
                <w:b/>
                <w:bCs/>
                <w:iCs/>
              </w:rPr>
              <w:t>0</w:t>
            </w:r>
          </w:p>
        </w:tc>
      </w:tr>
      <w:tr w:rsidR="003F0AAF" w:rsidRPr="008E227D" w:rsidTr="00117D03">
        <w:trPr>
          <w:trHeight w:val="172"/>
          <w:jc w:val="center"/>
        </w:trPr>
        <w:tc>
          <w:tcPr>
            <w:tcW w:w="4661" w:type="dxa"/>
            <w:shd w:val="clear" w:color="auto" w:fill="C0C0C0"/>
            <w:noWrap/>
            <w:vAlign w:val="center"/>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Financovanie zabezpečené v rozpočte</w:t>
            </w:r>
          </w:p>
        </w:tc>
        <w:tc>
          <w:tcPr>
            <w:tcW w:w="1400" w:type="dxa"/>
            <w:shd w:val="clear" w:color="auto" w:fill="C0C0C0"/>
            <w:noWrap/>
            <w:vAlign w:val="center"/>
          </w:tcPr>
          <w:p w:rsidR="003F0AAF" w:rsidRPr="008E227D" w:rsidRDefault="003F0AAF" w:rsidP="00117D03">
            <w:pPr>
              <w:spacing w:after="0" w:line="240" w:lineRule="auto"/>
              <w:jc w:val="right"/>
              <w:rPr>
                <w:rFonts w:ascii="Times New Roman" w:hAnsi="Times New Roman"/>
                <w:b/>
                <w:color w:val="000000"/>
              </w:rPr>
            </w:pPr>
            <w:r w:rsidRPr="008E227D">
              <w:rPr>
                <w:rFonts w:ascii="Times New Roman" w:hAnsi="Times New Roman"/>
                <w:b/>
              </w:rPr>
              <w:t xml:space="preserve">642 804 </w:t>
            </w:r>
          </w:p>
        </w:tc>
        <w:tc>
          <w:tcPr>
            <w:tcW w:w="1400" w:type="dxa"/>
            <w:shd w:val="clear" w:color="auto" w:fill="C0C0C0"/>
            <w:noWrap/>
            <w:vAlign w:val="center"/>
          </w:tcPr>
          <w:p w:rsidR="003F0AAF" w:rsidRPr="008E227D" w:rsidRDefault="003F0AAF" w:rsidP="00117D03">
            <w:pPr>
              <w:spacing w:after="0" w:line="240" w:lineRule="auto"/>
              <w:jc w:val="right"/>
              <w:rPr>
                <w:rFonts w:ascii="Times New Roman" w:hAnsi="Times New Roman"/>
                <w:b/>
                <w:color w:val="000000"/>
              </w:rPr>
            </w:pPr>
            <w:r w:rsidRPr="008E227D">
              <w:rPr>
                <w:rFonts w:ascii="Times New Roman" w:hAnsi="Times New Roman"/>
                <w:b/>
              </w:rPr>
              <w:t xml:space="preserve">642 804 </w:t>
            </w:r>
          </w:p>
        </w:tc>
        <w:tc>
          <w:tcPr>
            <w:tcW w:w="1400" w:type="dxa"/>
            <w:shd w:val="clear" w:color="auto" w:fill="C0C0C0"/>
            <w:noWrap/>
            <w:vAlign w:val="center"/>
          </w:tcPr>
          <w:p w:rsidR="003F0AAF" w:rsidRPr="008E227D" w:rsidRDefault="003F0AAF" w:rsidP="00117D03">
            <w:pPr>
              <w:spacing w:after="0" w:line="240" w:lineRule="auto"/>
              <w:jc w:val="right"/>
              <w:rPr>
                <w:rFonts w:ascii="Times New Roman" w:hAnsi="Times New Roman"/>
                <w:b/>
                <w:color w:val="000000"/>
              </w:rPr>
            </w:pPr>
            <w:r w:rsidRPr="008E227D">
              <w:rPr>
                <w:rFonts w:ascii="Times New Roman" w:hAnsi="Times New Roman"/>
                <w:b/>
              </w:rPr>
              <w:t xml:space="preserve">642 804 </w:t>
            </w:r>
          </w:p>
        </w:tc>
        <w:tc>
          <w:tcPr>
            <w:tcW w:w="1400" w:type="dxa"/>
            <w:shd w:val="clear" w:color="auto" w:fill="C0C0C0"/>
            <w:noWrap/>
            <w:vAlign w:val="center"/>
          </w:tcPr>
          <w:p w:rsidR="003F0AAF" w:rsidRPr="008E227D" w:rsidRDefault="003F0AAF" w:rsidP="00117D03">
            <w:pPr>
              <w:spacing w:after="0" w:line="240" w:lineRule="auto"/>
              <w:jc w:val="right"/>
              <w:rPr>
                <w:rFonts w:ascii="Times New Roman" w:hAnsi="Times New Roman"/>
                <w:b/>
                <w:color w:val="000000"/>
              </w:rPr>
            </w:pPr>
            <w:r w:rsidRPr="008E227D">
              <w:rPr>
                <w:rFonts w:ascii="Times New Roman" w:hAnsi="Times New Roman"/>
                <w:b/>
              </w:rPr>
              <w:t xml:space="preserve">642 804 </w:t>
            </w:r>
          </w:p>
        </w:tc>
      </w:tr>
      <w:tr w:rsidR="003F0AAF" w:rsidRPr="008E227D" w:rsidTr="00117D03">
        <w:trPr>
          <w:trHeight w:val="70"/>
          <w:jc w:val="center"/>
        </w:trPr>
        <w:tc>
          <w:tcPr>
            <w:tcW w:w="4661" w:type="dxa"/>
            <w:noWrap/>
            <w:vAlign w:val="center"/>
          </w:tcPr>
          <w:p w:rsidR="003F0AAF" w:rsidRPr="008E227D" w:rsidRDefault="003F0AAF" w:rsidP="00117D03">
            <w:pPr>
              <w:spacing w:after="0" w:line="240" w:lineRule="auto"/>
              <w:rPr>
                <w:rFonts w:ascii="Times New Roman" w:hAnsi="Times New Roman"/>
                <w:b/>
              </w:rPr>
            </w:pPr>
            <w:r w:rsidRPr="008E227D">
              <w:rPr>
                <w:rFonts w:ascii="Times New Roman" w:hAnsi="Times New Roman"/>
                <w:b/>
              </w:rPr>
              <w:t>v tom: rozpočet verejného zdravotného poistenia</w:t>
            </w:r>
          </w:p>
        </w:tc>
        <w:tc>
          <w:tcPr>
            <w:tcW w:w="1400" w:type="dxa"/>
            <w:noWrap/>
            <w:vAlign w:val="center"/>
          </w:tcPr>
          <w:p w:rsidR="003F0AAF" w:rsidRPr="008E227D" w:rsidRDefault="003F0AAF" w:rsidP="00117D03">
            <w:pPr>
              <w:spacing w:after="0" w:line="240" w:lineRule="auto"/>
              <w:jc w:val="right"/>
              <w:rPr>
                <w:rFonts w:ascii="Times New Roman" w:hAnsi="Times New Roman"/>
                <w:b/>
              </w:rPr>
            </w:pPr>
            <w:r w:rsidRPr="008E227D">
              <w:rPr>
                <w:rFonts w:ascii="Times New Roman" w:hAnsi="Times New Roman"/>
                <w:b/>
              </w:rPr>
              <w:t xml:space="preserve">642 804 </w:t>
            </w:r>
          </w:p>
        </w:tc>
        <w:tc>
          <w:tcPr>
            <w:tcW w:w="1400" w:type="dxa"/>
            <w:noWrap/>
            <w:vAlign w:val="center"/>
          </w:tcPr>
          <w:p w:rsidR="003F0AAF" w:rsidRPr="008E227D" w:rsidRDefault="003F0AAF" w:rsidP="00117D03">
            <w:pPr>
              <w:spacing w:after="0" w:line="240" w:lineRule="auto"/>
              <w:jc w:val="right"/>
              <w:rPr>
                <w:rFonts w:ascii="Times New Roman" w:hAnsi="Times New Roman"/>
                <w:b/>
              </w:rPr>
            </w:pPr>
            <w:r w:rsidRPr="008E227D">
              <w:rPr>
                <w:rFonts w:ascii="Times New Roman" w:hAnsi="Times New Roman"/>
                <w:b/>
              </w:rPr>
              <w:t xml:space="preserve">642 804 </w:t>
            </w:r>
          </w:p>
        </w:tc>
        <w:tc>
          <w:tcPr>
            <w:tcW w:w="1400" w:type="dxa"/>
            <w:noWrap/>
            <w:vAlign w:val="center"/>
          </w:tcPr>
          <w:p w:rsidR="003F0AAF" w:rsidRPr="008E227D" w:rsidRDefault="003F0AAF" w:rsidP="00117D03">
            <w:pPr>
              <w:spacing w:after="0" w:line="240" w:lineRule="auto"/>
              <w:jc w:val="right"/>
              <w:rPr>
                <w:rFonts w:ascii="Times New Roman" w:hAnsi="Times New Roman"/>
                <w:b/>
              </w:rPr>
            </w:pPr>
            <w:r w:rsidRPr="008E227D">
              <w:rPr>
                <w:rFonts w:ascii="Times New Roman" w:hAnsi="Times New Roman"/>
                <w:b/>
              </w:rPr>
              <w:t xml:space="preserve">642 804 </w:t>
            </w:r>
          </w:p>
        </w:tc>
        <w:tc>
          <w:tcPr>
            <w:tcW w:w="1400" w:type="dxa"/>
            <w:noWrap/>
            <w:vAlign w:val="center"/>
          </w:tcPr>
          <w:p w:rsidR="003F0AAF" w:rsidRPr="008E227D" w:rsidRDefault="003F0AAF" w:rsidP="00117D03">
            <w:pPr>
              <w:spacing w:after="0" w:line="240" w:lineRule="auto"/>
              <w:jc w:val="right"/>
              <w:rPr>
                <w:rFonts w:ascii="Times New Roman" w:hAnsi="Times New Roman"/>
                <w:b/>
              </w:rPr>
            </w:pPr>
            <w:r w:rsidRPr="008E227D">
              <w:rPr>
                <w:rFonts w:ascii="Times New Roman" w:hAnsi="Times New Roman"/>
                <w:b/>
              </w:rPr>
              <w:t xml:space="preserve">642 804 </w:t>
            </w:r>
          </w:p>
        </w:tc>
      </w:tr>
      <w:tr w:rsidR="003F0AAF" w:rsidRPr="008E227D" w:rsidTr="00117D03">
        <w:trPr>
          <w:trHeight w:val="70"/>
          <w:jc w:val="center"/>
        </w:trPr>
        <w:tc>
          <w:tcPr>
            <w:tcW w:w="4661" w:type="dxa"/>
            <w:shd w:val="clear" w:color="auto" w:fill="BFBFBF"/>
            <w:noWrap/>
            <w:vAlign w:val="center"/>
          </w:tcPr>
          <w:p w:rsidR="003F0AAF" w:rsidRPr="008E227D" w:rsidRDefault="003F0AAF" w:rsidP="00117D03">
            <w:pPr>
              <w:spacing w:after="0" w:line="240" w:lineRule="auto"/>
              <w:rPr>
                <w:rFonts w:ascii="Times New Roman" w:hAnsi="Times New Roman"/>
                <w:b/>
              </w:rPr>
            </w:pPr>
            <w:r w:rsidRPr="008E227D">
              <w:rPr>
                <w:rFonts w:ascii="Times New Roman" w:hAnsi="Times New Roman"/>
                <w:b/>
              </w:rPr>
              <w:t>Iné ako rozpočtové zdroje</w:t>
            </w:r>
          </w:p>
        </w:tc>
        <w:tc>
          <w:tcPr>
            <w:tcW w:w="1400" w:type="dxa"/>
            <w:shd w:val="clear" w:color="auto" w:fill="BFBFBF"/>
            <w:noWrap/>
            <w:vAlign w:val="center"/>
          </w:tcPr>
          <w:p w:rsidR="003F0AAF" w:rsidRPr="008E227D" w:rsidRDefault="003F0AAF" w:rsidP="00117D03">
            <w:pPr>
              <w:spacing w:after="0" w:line="240" w:lineRule="auto"/>
              <w:jc w:val="right"/>
              <w:rPr>
                <w:rFonts w:ascii="Times New Roman" w:hAnsi="Times New Roman"/>
                <w:b/>
                <w:bCs/>
              </w:rPr>
            </w:pPr>
            <w:r w:rsidRPr="008E227D">
              <w:rPr>
                <w:rFonts w:ascii="Times New Roman" w:hAnsi="Times New Roman"/>
                <w:b/>
                <w:bCs/>
              </w:rPr>
              <w:t>0</w:t>
            </w:r>
          </w:p>
        </w:tc>
        <w:tc>
          <w:tcPr>
            <w:tcW w:w="1400" w:type="dxa"/>
            <w:shd w:val="clear" w:color="auto" w:fill="BFBFBF"/>
            <w:noWrap/>
            <w:vAlign w:val="center"/>
          </w:tcPr>
          <w:p w:rsidR="003F0AAF" w:rsidRPr="008E227D" w:rsidRDefault="003F0AAF" w:rsidP="00117D03">
            <w:pPr>
              <w:spacing w:after="0" w:line="240" w:lineRule="auto"/>
              <w:jc w:val="right"/>
              <w:rPr>
                <w:rFonts w:ascii="Times New Roman" w:hAnsi="Times New Roman"/>
                <w:b/>
                <w:bCs/>
              </w:rPr>
            </w:pPr>
            <w:r w:rsidRPr="008E227D">
              <w:rPr>
                <w:rFonts w:ascii="Times New Roman" w:hAnsi="Times New Roman"/>
                <w:b/>
                <w:bCs/>
              </w:rPr>
              <w:t>0</w:t>
            </w:r>
          </w:p>
        </w:tc>
        <w:tc>
          <w:tcPr>
            <w:tcW w:w="1400" w:type="dxa"/>
            <w:shd w:val="clear" w:color="auto" w:fill="BFBFBF"/>
            <w:noWrap/>
            <w:vAlign w:val="center"/>
          </w:tcPr>
          <w:p w:rsidR="003F0AAF" w:rsidRPr="008E227D" w:rsidRDefault="003F0AAF" w:rsidP="00117D03">
            <w:pPr>
              <w:spacing w:after="0" w:line="240" w:lineRule="auto"/>
              <w:jc w:val="right"/>
              <w:rPr>
                <w:rFonts w:ascii="Times New Roman" w:hAnsi="Times New Roman"/>
                <w:b/>
                <w:bCs/>
              </w:rPr>
            </w:pPr>
            <w:r w:rsidRPr="008E227D">
              <w:rPr>
                <w:rFonts w:ascii="Times New Roman" w:hAnsi="Times New Roman"/>
                <w:b/>
                <w:bCs/>
              </w:rPr>
              <w:t>0</w:t>
            </w:r>
          </w:p>
        </w:tc>
        <w:tc>
          <w:tcPr>
            <w:tcW w:w="1400" w:type="dxa"/>
            <w:shd w:val="clear" w:color="auto" w:fill="BFBFBF"/>
            <w:noWrap/>
            <w:vAlign w:val="center"/>
          </w:tcPr>
          <w:p w:rsidR="003F0AAF" w:rsidRPr="008E227D" w:rsidRDefault="003F0AAF" w:rsidP="00117D03">
            <w:pPr>
              <w:spacing w:after="0" w:line="240" w:lineRule="auto"/>
              <w:jc w:val="right"/>
              <w:rPr>
                <w:rFonts w:ascii="Times New Roman" w:hAnsi="Times New Roman"/>
                <w:b/>
                <w:bCs/>
              </w:rPr>
            </w:pPr>
            <w:r w:rsidRPr="008E227D">
              <w:rPr>
                <w:rFonts w:ascii="Times New Roman" w:hAnsi="Times New Roman"/>
                <w:b/>
                <w:bCs/>
              </w:rPr>
              <w:t>0</w:t>
            </w:r>
          </w:p>
        </w:tc>
      </w:tr>
      <w:tr w:rsidR="003F0AAF" w:rsidRPr="008E227D" w:rsidTr="00117D03">
        <w:trPr>
          <w:trHeight w:val="70"/>
          <w:jc w:val="center"/>
        </w:trPr>
        <w:tc>
          <w:tcPr>
            <w:tcW w:w="4661" w:type="dxa"/>
            <w:shd w:val="clear" w:color="auto" w:fill="A6A6A6"/>
            <w:noWrap/>
            <w:vAlign w:val="center"/>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Rozpočtovo nekrytý vplyv / úspora</w:t>
            </w:r>
          </w:p>
        </w:tc>
        <w:tc>
          <w:tcPr>
            <w:tcW w:w="1400" w:type="dxa"/>
            <w:shd w:val="clear" w:color="auto" w:fill="A6A6A6"/>
            <w:noWrap/>
            <w:vAlign w:val="center"/>
          </w:tcPr>
          <w:p w:rsidR="003F0AAF" w:rsidRPr="008E227D" w:rsidRDefault="003F0AAF" w:rsidP="00117D03">
            <w:pPr>
              <w:spacing w:after="0" w:line="240" w:lineRule="auto"/>
              <w:jc w:val="right"/>
              <w:rPr>
                <w:rFonts w:ascii="Times New Roman" w:hAnsi="Times New Roman"/>
                <w:color w:val="000000" w:themeColor="text1"/>
              </w:rPr>
            </w:pPr>
            <w:r w:rsidRPr="008E227D">
              <w:rPr>
                <w:rFonts w:ascii="Times New Roman" w:hAnsi="Times New Roman"/>
                <w:color w:val="000000" w:themeColor="text1"/>
              </w:rPr>
              <w:t>0</w:t>
            </w:r>
          </w:p>
        </w:tc>
        <w:tc>
          <w:tcPr>
            <w:tcW w:w="1400" w:type="dxa"/>
            <w:shd w:val="clear" w:color="auto" w:fill="A6A6A6"/>
            <w:noWrap/>
            <w:vAlign w:val="center"/>
          </w:tcPr>
          <w:p w:rsidR="003F0AAF" w:rsidRPr="008E227D" w:rsidRDefault="003F0AAF" w:rsidP="00117D03">
            <w:pPr>
              <w:spacing w:after="0" w:line="240" w:lineRule="auto"/>
              <w:jc w:val="right"/>
              <w:rPr>
                <w:rFonts w:ascii="Times New Roman" w:hAnsi="Times New Roman"/>
                <w:color w:val="000000" w:themeColor="text1"/>
              </w:rPr>
            </w:pPr>
            <w:r w:rsidRPr="008E227D">
              <w:rPr>
                <w:rFonts w:ascii="Times New Roman" w:hAnsi="Times New Roman"/>
                <w:color w:val="000000" w:themeColor="text1"/>
              </w:rPr>
              <w:t>0</w:t>
            </w:r>
          </w:p>
        </w:tc>
        <w:tc>
          <w:tcPr>
            <w:tcW w:w="1400" w:type="dxa"/>
            <w:shd w:val="clear" w:color="auto" w:fill="A6A6A6"/>
            <w:noWrap/>
            <w:vAlign w:val="center"/>
          </w:tcPr>
          <w:p w:rsidR="003F0AAF" w:rsidRPr="008E227D" w:rsidRDefault="003F0AAF" w:rsidP="00117D03">
            <w:pPr>
              <w:spacing w:after="0" w:line="240" w:lineRule="auto"/>
              <w:jc w:val="right"/>
              <w:rPr>
                <w:rFonts w:ascii="Times New Roman" w:hAnsi="Times New Roman"/>
                <w:color w:val="000000" w:themeColor="text1"/>
              </w:rPr>
            </w:pPr>
            <w:r w:rsidRPr="008E227D">
              <w:rPr>
                <w:rFonts w:ascii="Times New Roman" w:hAnsi="Times New Roman"/>
                <w:color w:val="000000" w:themeColor="text1"/>
              </w:rPr>
              <w:t>0</w:t>
            </w:r>
          </w:p>
        </w:tc>
        <w:tc>
          <w:tcPr>
            <w:tcW w:w="1400" w:type="dxa"/>
            <w:shd w:val="clear" w:color="auto" w:fill="A6A6A6"/>
            <w:noWrap/>
            <w:vAlign w:val="center"/>
          </w:tcPr>
          <w:p w:rsidR="003F0AAF" w:rsidRPr="008E227D" w:rsidRDefault="003F0AAF" w:rsidP="00117D03">
            <w:pPr>
              <w:spacing w:after="0" w:line="240" w:lineRule="auto"/>
              <w:jc w:val="right"/>
              <w:rPr>
                <w:rFonts w:ascii="Times New Roman" w:hAnsi="Times New Roman"/>
                <w:color w:val="000000" w:themeColor="text1"/>
              </w:rPr>
            </w:pPr>
            <w:r w:rsidRPr="008E227D">
              <w:rPr>
                <w:rFonts w:ascii="Times New Roman" w:hAnsi="Times New Roman"/>
                <w:color w:val="000000" w:themeColor="text1"/>
              </w:rPr>
              <w:t>0</w:t>
            </w:r>
          </w:p>
        </w:tc>
      </w:tr>
      <w:bookmarkEnd w:id="0"/>
    </w:tbl>
    <w:p w:rsidR="003F0AAF" w:rsidRPr="008E227D" w:rsidRDefault="003F0AAF" w:rsidP="003F0AAF">
      <w:pPr>
        <w:spacing w:after="0" w:line="240" w:lineRule="auto"/>
        <w:rPr>
          <w:rFonts w:ascii="Times New Roman" w:hAnsi="Times New Roman"/>
          <w:b/>
          <w:bCs/>
        </w:rPr>
      </w:pPr>
    </w:p>
    <w:p w:rsidR="003F0AAF" w:rsidRPr="008E227D" w:rsidRDefault="003F0AAF" w:rsidP="003F0AAF">
      <w:pPr>
        <w:spacing w:after="0" w:line="240" w:lineRule="auto"/>
        <w:jc w:val="both"/>
        <w:rPr>
          <w:rFonts w:ascii="Times New Roman" w:hAnsi="Times New Roman"/>
          <w:b/>
          <w:bCs/>
        </w:rPr>
      </w:pPr>
      <w:r w:rsidRPr="008E227D">
        <w:rPr>
          <w:rFonts w:ascii="Times New Roman" w:hAnsi="Times New Roman"/>
          <w:b/>
          <w:bCs/>
        </w:rPr>
        <w:br w:type="page"/>
      </w:r>
      <w:r w:rsidRPr="008E227D">
        <w:rPr>
          <w:rFonts w:ascii="Times New Roman" w:hAnsi="Times New Roman"/>
          <w:b/>
          <w:bCs/>
        </w:rPr>
        <w:lastRenderedPageBreak/>
        <w:t>2.1.1. Financovanie návrhu - Návrh na riešenie úbytku príjmov alebo zvýšených výdavkov podľa § 33 ods.</w:t>
      </w:r>
      <w:r w:rsidRPr="008E227D">
        <w:rPr>
          <w:rFonts w:ascii="Times New Roman" w:eastAsia="Calibri" w:hAnsi="Times New Roman"/>
          <w:lang w:eastAsia="en-US"/>
        </w:rPr>
        <w:t> </w:t>
      </w:r>
      <w:r w:rsidRPr="008E227D">
        <w:rPr>
          <w:rFonts w:ascii="Times New Roman" w:hAnsi="Times New Roman"/>
          <w:b/>
          <w:bCs/>
        </w:rPr>
        <w:t>1 zákona č. 523/2004 Z. z. o rozpočtových pravidlách verejnej správy:</w:t>
      </w:r>
    </w:p>
    <w:p w:rsidR="003F0AAF" w:rsidRPr="008E227D" w:rsidRDefault="003F0AAF" w:rsidP="003F0AAF">
      <w:pPr>
        <w:spacing w:after="0" w:line="240" w:lineRule="auto"/>
        <w:jc w:val="both"/>
        <w:rPr>
          <w:rFonts w:ascii="Times New Roman" w:hAnsi="Times New Roman"/>
          <w:b/>
          <w:bCs/>
        </w:rPr>
      </w:pPr>
    </w:p>
    <w:p w:rsidR="003F0AAF" w:rsidRPr="008E227D" w:rsidRDefault="003F0AAF" w:rsidP="003F0AAF">
      <w:pPr>
        <w:pBdr>
          <w:top w:val="single" w:sz="4" w:space="1" w:color="000000"/>
          <w:left w:val="single" w:sz="4" w:space="0" w:color="000000"/>
          <w:bottom w:val="single" w:sz="4" w:space="1" w:color="000000"/>
          <w:right w:val="single" w:sz="4" w:space="4" w:color="000000"/>
        </w:pBdr>
        <w:spacing w:after="0" w:line="240" w:lineRule="auto"/>
        <w:jc w:val="both"/>
        <w:rPr>
          <w:rFonts w:ascii="Times New Roman" w:hAnsi="Times New Roman"/>
          <w:b/>
          <w:strike/>
        </w:rPr>
      </w:pPr>
      <w:r w:rsidRPr="008E227D">
        <w:rPr>
          <w:rFonts w:ascii="Times New Roman" w:hAnsi="Times New Roman"/>
          <w:b/>
          <w:bCs/>
        </w:rPr>
        <w:t xml:space="preserve">Financovanie zvýšených výdavkov bude v plnom rozsahu pokryté z prostriedkov verejného zdravotného poistenia. </w:t>
      </w:r>
    </w:p>
    <w:p w:rsidR="003F0AAF" w:rsidRPr="008E227D" w:rsidRDefault="003F0AAF" w:rsidP="003F0AAF">
      <w:pPr>
        <w:pBdr>
          <w:top w:val="single" w:sz="4" w:space="1" w:color="000000"/>
          <w:left w:val="single" w:sz="4" w:space="0" w:color="000000"/>
          <w:bottom w:val="single" w:sz="4" w:space="1" w:color="000000"/>
          <w:right w:val="single" w:sz="4" w:space="4" w:color="000000"/>
        </w:pBdr>
        <w:spacing w:after="0" w:line="240" w:lineRule="auto"/>
        <w:jc w:val="both"/>
        <w:rPr>
          <w:rFonts w:ascii="Times New Roman" w:hAnsi="Times New Roman"/>
          <w:b/>
          <w:bCs/>
        </w:rPr>
      </w:pPr>
    </w:p>
    <w:p w:rsidR="003F0AAF" w:rsidRPr="008E227D" w:rsidRDefault="003F0AAF" w:rsidP="003F0AAF">
      <w:pPr>
        <w:spacing w:after="0" w:line="240" w:lineRule="auto"/>
        <w:ind w:firstLine="720"/>
        <w:jc w:val="both"/>
        <w:rPr>
          <w:rFonts w:ascii="Times New Roman" w:hAnsi="Times New Roman"/>
          <w:color w:val="000000"/>
        </w:rPr>
      </w:pPr>
    </w:p>
    <w:p w:rsidR="003F0AAF" w:rsidRPr="008E227D" w:rsidRDefault="003F0AAF" w:rsidP="003F0AAF">
      <w:pPr>
        <w:spacing w:after="0" w:line="240" w:lineRule="auto"/>
        <w:jc w:val="both"/>
        <w:rPr>
          <w:rStyle w:val="Zstupntext"/>
          <w:color w:val="auto"/>
        </w:rPr>
      </w:pPr>
      <w:r w:rsidRPr="008E227D">
        <w:rPr>
          <w:rFonts w:ascii="Times New Roman" w:hAnsi="Times New Roman"/>
          <w:color w:val="000000"/>
        </w:rPr>
        <w:t>Zvýšené výdavky zdravotných poisťovní budú plne kryté z prostriedkov verejného zdravotného poistenia v rámci rozpočtu zdravotných poisťovní iným vnútorným prerozdelením zdrojov v prospech poskytovateľov ambulantnej pohotovostnej služby, úsporou prostriedkov v iných segmentoch, najmä efektívnejším a hospodárnejším vynakladaním prostriedkov verejného zdravotného poistenia</w:t>
      </w:r>
      <w:r w:rsidRPr="008E227D">
        <w:rPr>
          <w:rFonts w:ascii="Times New Roman" w:hAnsi="Times New Roman"/>
        </w:rPr>
        <w:t xml:space="preserve">, </w:t>
      </w:r>
      <w:r w:rsidRPr="008E227D">
        <w:rPr>
          <w:rStyle w:val="Zstupntext"/>
          <w:color w:val="auto"/>
        </w:rPr>
        <w:t xml:space="preserve">t. j. ide o rozpočtovo neutrálny dopad. </w:t>
      </w:r>
    </w:p>
    <w:p w:rsidR="003F0AAF" w:rsidRPr="008E227D" w:rsidRDefault="003F0AAF" w:rsidP="003F0AAF">
      <w:pPr>
        <w:spacing w:after="0" w:line="240" w:lineRule="auto"/>
        <w:ind w:firstLine="720"/>
        <w:jc w:val="both"/>
        <w:rPr>
          <w:rFonts w:ascii="Times New Roman" w:hAnsi="Times New Roman"/>
          <w:color w:val="000000"/>
        </w:rPr>
      </w:pPr>
    </w:p>
    <w:p w:rsidR="003F0AAF" w:rsidRPr="008E227D" w:rsidRDefault="003F0AAF" w:rsidP="003F0AAF">
      <w:pPr>
        <w:spacing w:after="0" w:line="240" w:lineRule="auto"/>
        <w:rPr>
          <w:rFonts w:ascii="Times New Roman" w:hAnsi="Times New Roman"/>
          <w:b/>
          <w:bCs/>
        </w:rPr>
      </w:pPr>
    </w:p>
    <w:p w:rsidR="003F0AAF" w:rsidRPr="008E227D" w:rsidRDefault="003F0AAF" w:rsidP="003F0AAF">
      <w:pPr>
        <w:spacing w:after="0" w:line="240" w:lineRule="auto"/>
        <w:rPr>
          <w:rFonts w:ascii="Times New Roman" w:hAnsi="Times New Roman"/>
          <w:b/>
          <w:bCs/>
        </w:rPr>
      </w:pPr>
      <w:r w:rsidRPr="008E227D">
        <w:rPr>
          <w:rFonts w:ascii="Times New Roman" w:hAnsi="Times New Roman"/>
          <w:b/>
          <w:bCs/>
        </w:rPr>
        <w:t>2.2. Popis a charakteristika návrhu</w:t>
      </w:r>
    </w:p>
    <w:p w:rsidR="003F0AAF" w:rsidRPr="008E227D" w:rsidRDefault="003F0AAF" w:rsidP="003F0AAF">
      <w:pPr>
        <w:spacing w:after="0" w:line="240" w:lineRule="auto"/>
        <w:rPr>
          <w:rFonts w:ascii="Times New Roman" w:hAnsi="Times New Roman"/>
          <w:b/>
          <w:bCs/>
        </w:rPr>
      </w:pPr>
    </w:p>
    <w:p w:rsidR="003F0AAF" w:rsidRPr="008E227D" w:rsidRDefault="003F0AAF" w:rsidP="003F0AAF">
      <w:pPr>
        <w:spacing w:after="0" w:line="240" w:lineRule="auto"/>
        <w:rPr>
          <w:rFonts w:ascii="Times New Roman" w:hAnsi="Times New Roman"/>
          <w:b/>
          <w:bCs/>
          <w:sz w:val="24"/>
          <w:szCs w:val="24"/>
        </w:rPr>
      </w:pPr>
    </w:p>
    <w:p w:rsidR="003F0AAF" w:rsidRPr="008E227D" w:rsidRDefault="003F0AAF" w:rsidP="003F0AAF">
      <w:pPr>
        <w:spacing w:after="0" w:line="240" w:lineRule="auto"/>
        <w:jc w:val="both"/>
        <w:rPr>
          <w:rFonts w:ascii="Times New Roman" w:hAnsi="Times New Roman"/>
          <w:sz w:val="24"/>
          <w:szCs w:val="24"/>
          <w:u w:val="single"/>
        </w:rPr>
      </w:pPr>
      <w:r w:rsidRPr="008E227D">
        <w:rPr>
          <w:rFonts w:ascii="Times New Roman" w:hAnsi="Times New Roman"/>
          <w:sz w:val="24"/>
          <w:szCs w:val="24"/>
          <w:u w:val="single"/>
        </w:rPr>
        <w:t>K Čl. I :</w:t>
      </w:r>
    </w:p>
    <w:p w:rsidR="003F0AAF" w:rsidRPr="008E227D" w:rsidRDefault="003F0AAF" w:rsidP="003F0AAF">
      <w:pPr>
        <w:spacing w:after="0" w:line="240" w:lineRule="auto"/>
        <w:jc w:val="both"/>
        <w:rPr>
          <w:rStyle w:val="Zstupntext"/>
          <w:color w:val="000000"/>
        </w:rPr>
      </w:pPr>
    </w:p>
    <w:p w:rsidR="003F0AAF" w:rsidRPr="008E227D" w:rsidRDefault="003F0AAF" w:rsidP="003F0AAF">
      <w:pPr>
        <w:spacing w:after="0" w:line="240" w:lineRule="auto"/>
        <w:jc w:val="both"/>
        <w:rPr>
          <w:rStyle w:val="Zstupntext"/>
          <w:color w:val="000000"/>
        </w:rPr>
      </w:pPr>
      <w:r w:rsidRPr="008E227D">
        <w:rPr>
          <w:rStyle w:val="Zstupntext"/>
          <w:color w:val="000000"/>
        </w:rPr>
        <w:t>Pre rok 2021 sa upravuje výška paušálnej úhrady za poskytovanie zdravotnej starostlivosti v ambulancii pevnej ambulantnej pohotovostnej služby zo sumy 9 800 eur mesačne na jednu ambulanciu pevnej ambulantnej pohotovostnej služby na sumu 10 303 eur mesačne na jednu ambulanciu pevnej ambulantnej pohotovostnej služby.</w:t>
      </w:r>
    </w:p>
    <w:p w:rsidR="003F0AAF" w:rsidRPr="008E227D" w:rsidRDefault="003F0AAF" w:rsidP="003F0AAF">
      <w:pPr>
        <w:spacing w:after="0" w:line="240" w:lineRule="auto"/>
        <w:jc w:val="both"/>
        <w:rPr>
          <w:rFonts w:ascii="Times New Roman" w:eastAsia="Times New Roman" w:hAnsi="Times New Roman"/>
          <w:bCs/>
        </w:rPr>
      </w:pPr>
    </w:p>
    <w:p w:rsidR="003F0AAF" w:rsidRPr="008E227D" w:rsidRDefault="003F0AAF" w:rsidP="003F0AAF">
      <w:pPr>
        <w:pStyle w:val="Nzov"/>
        <w:jc w:val="both"/>
        <w:rPr>
          <w:rFonts w:ascii="Times New Roman" w:hAnsi="Times New Roman"/>
          <w:bCs/>
          <w:sz w:val="22"/>
          <w:szCs w:val="22"/>
        </w:rPr>
      </w:pPr>
      <w:r w:rsidRPr="008E227D">
        <w:rPr>
          <w:rFonts w:ascii="Times New Roman" w:hAnsi="Times New Roman"/>
          <w:bCs/>
          <w:sz w:val="22"/>
          <w:szCs w:val="22"/>
        </w:rPr>
        <w:t>Dôvodom navrhovanej úpravy je stanoviť výšku úhrady pre ambulancie ambulantnej pohotovostnej služby z prostriedkov verejného zdravotného poistenia tak, aby sa zabezpečilo primerané finančné krytie ekonomicky oprávnených nákladov u týchto poskytovateľov, aby mohli plniť svoju funkciu v požadovanej kvalite a na adekvátnej úrovni.</w:t>
      </w:r>
    </w:p>
    <w:p w:rsidR="003F0AAF" w:rsidRPr="008E227D" w:rsidRDefault="003F0AAF" w:rsidP="003F0AAF">
      <w:pPr>
        <w:spacing w:after="0" w:line="240" w:lineRule="auto"/>
        <w:jc w:val="both"/>
        <w:rPr>
          <w:rFonts w:ascii="Times New Roman" w:eastAsia="Times New Roman" w:hAnsi="Times New Roman"/>
          <w:bCs/>
        </w:rPr>
      </w:pPr>
    </w:p>
    <w:p w:rsidR="003F0AAF" w:rsidRPr="008E227D" w:rsidRDefault="003F0AAF" w:rsidP="003F0AAF">
      <w:pPr>
        <w:spacing w:after="0" w:line="240" w:lineRule="auto"/>
        <w:jc w:val="both"/>
        <w:rPr>
          <w:rFonts w:ascii="Times New Roman" w:hAnsi="Times New Roman"/>
          <w:bCs/>
        </w:rPr>
      </w:pPr>
      <w:r w:rsidRPr="008E227D">
        <w:rPr>
          <w:rFonts w:ascii="Times New Roman" w:eastAsia="Times New Roman" w:hAnsi="Times New Roman"/>
          <w:bCs/>
        </w:rPr>
        <w:t>Navrhovaná právna úprava sa predkladá v nadväznosti na zákon č. 294/2020 Z. z. z 20. októbra 2020, ktorým sa mení a dopĺňa zákon č. 663/2007 Z. z. o minimálnej mzde v znení neskorších predpisov a ktorým sa mení a dopĺňa zákon č. 311/2001 Z. z. Zákonník práce v znení neskorších predpisov, ktorým sa ustanovuje suma minimálnej mzdy na rok 2021 a na ustanovenia v Osobitných ustanoveniach o odmeňovaní niektorých zdravotníckych pracovníkov (§ 80a až § 80b) podľa zákona č. 578/2004 Z. z. o poskytovateľoch zdravotnej starostlivosti, zdravotníckych pracovníkoch, stavovských organizáciách v zdravotníctve a o zmene a doplnení niektorých zákonov v znení neskorších predpisov, ktorými dochádza k úprave minimálnych mzdových nárokov zamestnanca a k úprave základnej zložky mzdy zdravotníckeho pracovníka, dôjde u poskytovateľov ambulantnej pohotovostnej služby k</w:t>
      </w:r>
      <w:r w:rsidRPr="008E227D">
        <w:rPr>
          <w:rFonts w:ascii="Times New Roman" w:hAnsi="Times New Roman"/>
          <w:bCs/>
        </w:rPr>
        <w:t> </w:t>
      </w:r>
      <w:r w:rsidRPr="008E227D">
        <w:rPr>
          <w:rFonts w:ascii="Times New Roman" w:eastAsia="Times New Roman" w:hAnsi="Times New Roman"/>
          <w:bCs/>
        </w:rPr>
        <w:t xml:space="preserve">zvýšeniu </w:t>
      </w:r>
      <w:r w:rsidRPr="008E227D">
        <w:rPr>
          <w:rFonts w:ascii="Times New Roman" w:eastAsia="Times New Roman" w:hAnsi="Times New Roman"/>
        </w:rPr>
        <w:t xml:space="preserve">mzdového </w:t>
      </w:r>
      <w:r w:rsidRPr="008E227D">
        <w:rPr>
          <w:rFonts w:ascii="Times New Roman" w:eastAsia="Times New Roman" w:hAnsi="Times New Roman"/>
          <w:bCs/>
        </w:rPr>
        <w:t xml:space="preserve">ohodnotenia sestier slúžiacich v ambulanciách ambulantnej pohotovostnej služby. Uvedené zmeny budú mať priamy dopad na zvýšenie osobných nákladov u týchto poskytovateľov zdravotnej starostlivosti. </w:t>
      </w:r>
      <w:r w:rsidRPr="008E227D">
        <w:rPr>
          <w:rFonts w:ascii="Times New Roman" w:hAnsi="Times New Roman"/>
          <w:bCs/>
        </w:rPr>
        <w:t>Posledná úprava výšky úhrady v nariadení vlády bola realizovaná 1. marca 2019.</w:t>
      </w:r>
    </w:p>
    <w:p w:rsidR="003F0AAF" w:rsidRPr="008E227D" w:rsidRDefault="003F0AAF" w:rsidP="003F0AAF">
      <w:pPr>
        <w:spacing w:after="0" w:line="240" w:lineRule="auto"/>
        <w:jc w:val="both"/>
        <w:rPr>
          <w:rFonts w:ascii="Times New Roman" w:eastAsia="Times New Roman" w:hAnsi="Times New Roman"/>
          <w:bCs/>
          <w:strike/>
        </w:rPr>
      </w:pPr>
    </w:p>
    <w:p w:rsidR="003F0AAF" w:rsidRPr="008E227D" w:rsidRDefault="003F0AAF" w:rsidP="003F0AAF">
      <w:pPr>
        <w:spacing w:after="0" w:line="240" w:lineRule="auto"/>
        <w:jc w:val="both"/>
        <w:rPr>
          <w:rFonts w:ascii="Times New Roman" w:hAnsi="Times New Roman"/>
          <w:strike/>
          <w:color w:val="000000"/>
        </w:rPr>
      </w:pPr>
      <w:r w:rsidRPr="008E227D">
        <w:rPr>
          <w:rFonts w:ascii="Times New Roman" w:hAnsi="Times New Roman"/>
          <w:color w:val="000000"/>
        </w:rPr>
        <w:t xml:space="preserve">Predpokladané zvýšené výdavky na verejné zdravotné poistenie budú plne kryté v rámci rozpočtu zdravotných poisťovní iným vnútorným prerozdelením zdrojov v prospech segmentu ambulantnej pohotovostnej služby, úsporou v systéme verejného zdravotného poistenia, efektívnejším a hospodárnejším vynakladaním zdrojov. </w:t>
      </w:r>
    </w:p>
    <w:p w:rsidR="003F0AAF" w:rsidRPr="008E227D" w:rsidRDefault="003F0AAF" w:rsidP="003F0AAF">
      <w:pPr>
        <w:spacing w:after="0" w:line="240" w:lineRule="auto"/>
        <w:ind w:firstLine="708"/>
        <w:jc w:val="both"/>
        <w:rPr>
          <w:rFonts w:ascii="Times New Roman" w:hAnsi="Times New Roman"/>
          <w:color w:val="000000"/>
        </w:rPr>
      </w:pPr>
    </w:p>
    <w:p w:rsidR="003F0AAF" w:rsidRPr="008E227D" w:rsidRDefault="003F0AAF" w:rsidP="003F0AAF">
      <w:pPr>
        <w:spacing w:after="0" w:line="240" w:lineRule="auto"/>
        <w:jc w:val="both"/>
        <w:rPr>
          <w:rFonts w:ascii="Times New Roman" w:hAnsi="Times New Roman"/>
          <w:color w:val="000000"/>
        </w:rPr>
      </w:pPr>
      <w:r w:rsidRPr="008E227D">
        <w:rPr>
          <w:rFonts w:ascii="Times New Roman" w:hAnsi="Times New Roman"/>
          <w:color w:val="000000"/>
        </w:rPr>
        <w:t>Zvýšením úhrad sa zabezpečí primeraná úroveň financovania týchto poskytovateľov tak, aby mohli plniť svoju funkciu v požadovanej kvalite a na adekvátnej úrovni.</w:t>
      </w:r>
    </w:p>
    <w:p w:rsidR="003F0AAF" w:rsidRPr="008E227D" w:rsidRDefault="003F0AAF" w:rsidP="003F0AAF">
      <w:pPr>
        <w:spacing w:after="0" w:line="240" w:lineRule="auto"/>
        <w:ind w:firstLine="720"/>
        <w:jc w:val="both"/>
        <w:rPr>
          <w:rFonts w:ascii="Times New Roman" w:hAnsi="Times New Roman"/>
          <w:lang w:eastAsia="en-US"/>
        </w:rPr>
      </w:pPr>
    </w:p>
    <w:p w:rsidR="003F0AAF" w:rsidRPr="008E227D" w:rsidRDefault="003F0AAF" w:rsidP="003F0AAF">
      <w:pPr>
        <w:spacing w:after="0" w:line="240" w:lineRule="auto"/>
        <w:jc w:val="both"/>
        <w:rPr>
          <w:rFonts w:ascii="Times New Roman" w:hAnsi="Times New Roman"/>
          <w:color w:val="000000"/>
        </w:rPr>
      </w:pPr>
      <w:r w:rsidRPr="008E227D">
        <w:rPr>
          <w:rFonts w:ascii="Times New Roman" w:hAnsi="Times New Roman"/>
          <w:color w:val="000000"/>
        </w:rPr>
        <w:t>Navrhovaným zvýšením úhrad pre ambulancie ambulantnej pohotovostnej služby sa predpokladajú zvýšené finančné výdavky z verejného zdravotného poistenia pre roky 2021 až 2024 vo výške cca 643 tisíc eur ročne pri plnej naplnenosti siete pevných ambulancií ambulantnej pohotovostnej služby. Dopad na rozpočet verejného zdravotného poistenia bude v plnom rozsahu pokrytý z prostriedkov verejného zdravotného poistenia v rámci rozpočtu zdravotných poisťovní.</w:t>
      </w:r>
    </w:p>
    <w:p w:rsidR="003F0AAF" w:rsidRPr="008E227D" w:rsidRDefault="003F0AAF" w:rsidP="003F0AAF">
      <w:pPr>
        <w:spacing w:after="0" w:line="240" w:lineRule="auto"/>
        <w:jc w:val="both"/>
        <w:rPr>
          <w:rFonts w:ascii="Times New Roman" w:hAnsi="Times New Roman"/>
          <w:b/>
          <w:bCs/>
        </w:rPr>
      </w:pPr>
    </w:p>
    <w:p w:rsidR="003F0AAF" w:rsidRPr="008E227D" w:rsidRDefault="003F0AAF" w:rsidP="003F0AAF">
      <w:pPr>
        <w:spacing w:after="0" w:line="240" w:lineRule="auto"/>
        <w:rPr>
          <w:rFonts w:ascii="Times New Roman" w:hAnsi="Times New Roman"/>
        </w:rPr>
      </w:pPr>
    </w:p>
    <w:p w:rsidR="003F0AAF" w:rsidRPr="008E227D" w:rsidRDefault="003F0AAF" w:rsidP="003F0AAF">
      <w:pPr>
        <w:spacing w:after="0" w:line="240" w:lineRule="auto"/>
        <w:rPr>
          <w:rFonts w:ascii="Times New Roman" w:hAnsi="Times New Roman"/>
        </w:rPr>
      </w:pPr>
      <w:r w:rsidRPr="008E227D">
        <w:rPr>
          <w:rFonts w:ascii="Times New Roman" w:hAnsi="Times New Roman"/>
        </w:rPr>
        <w:t>.......................................................................................................................................................</w:t>
      </w:r>
    </w:p>
    <w:p w:rsidR="003F0AAF" w:rsidRPr="008E227D" w:rsidRDefault="003F0AAF" w:rsidP="003F0AAF">
      <w:pPr>
        <w:spacing w:after="0" w:line="240" w:lineRule="auto"/>
        <w:rPr>
          <w:rFonts w:ascii="Times New Roman" w:hAnsi="Times New Roman"/>
        </w:rPr>
      </w:pPr>
    </w:p>
    <w:p w:rsidR="003F0AAF" w:rsidRPr="008E227D" w:rsidRDefault="003F0AAF" w:rsidP="003F0AAF">
      <w:pPr>
        <w:spacing w:after="0" w:line="240" w:lineRule="auto"/>
        <w:rPr>
          <w:rFonts w:ascii="Times New Roman" w:hAnsi="Times New Roman"/>
          <w:b/>
          <w:bCs/>
        </w:rPr>
      </w:pPr>
      <w:r w:rsidRPr="008E227D">
        <w:rPr>
          <w:rFonts w:ascii="Times New Roman" w:hAnsi="Times New Roman"/>
          <w:b/>
          <w:bCs/>
        </w:rPr>
        <w:t>2.2.2. Charakteristika návrhu:</w:t>
      </w:r>
    </w:p>
    <w:p w:rsidR="003F0AAF" w:rsidRPr="008E227D" w:rsidRDefault="003F0AAF" w:rsidP="003F0AAF">
      <w:pPr>
        <w:spacing w:after="0" w:line="240" w:lineRule="auto"/>
        <w:rPr>
          <w:rFonts w:ascii="Times New Roman" w:hAnsi="Times New Roman"/>
        </w:rPr>
      </w:pPr>
    </w:p>
    <w:p w:rsidR="003F0AAF" w:rsidRPr="008E227D" w:rsidRDefault="003F0AAF" w:rsidP="003F0AAF">
      <w:pPr>
        <w:spacing w:after="0" w:line="240" w:lineRule="auto"/>
        <w:rPr>
          <w:rFonts w:ascii="Times New Roman" w:hAnsi="Times New Roman"/>
        </w:rPr>
      </w:pPr>
      <w:r w:rsidRPr="008E227D">
        <w:rPr>
          <w:rFonts w:ascii="Times New Roman" w:hAnsi="Times New Roman"/>
          <w:b/>
          <w:bdr w:val="single" w:sz="4" w:space="0" w:color="auto"/>
        </w:rPr>
        <w:t xml:space="preserve">     </w:t>
      </w:r>
      <w:r w:rsidRPr="008E227D">
        <w:rPr>
          <w:rFonts w:ascii="Times New Roman" w:hAnsi="Times New Roman"/>
          <w:b/>
        </w:rPr>
        <w:t xml:space="preserve">  </w:t>
      </w:r>
      <w:r w:rsidRPr="008E227D">
        <w:rPr>
          <w:rFonts w:ascii="Times New Roman" w:hAnsi="Times New Roman"/>
        </w:rPr>
        <w:t>zmena sadzby</w:t>
      </w:r>
    </w:p>
    <w:p w:rsidR="003F0AAF" w:rsidRPr="008E227D" w:rsidRDefault="003F0AAF" w:rsidP="003F0AAF">
      <w:pPr>
        <w:spacing w:after="0" w:line="240" w:lineRule="auto"/>
        <w:rPr>
          <w:rFonts w:ascii="Times New Roman" w:hAnsi="Times New Roman"/>
        </w:rPr>
      </w:pPr>
      <w:r w:rsidRPr="008E227D">
        <w:rPr>
          <w:rFonts w:ascii="Times New Roman" w:hAnsi="Times New Roman"/>
          <w:bdr w:val="single" w:sz="4" w:space="0" w:color="auto"/>
        </w:rPr>
        <w:t xml:space="preserve">     </w:t>
      </w:r>
      <w:r w:rsidRPr="008E227D">
        <w:rPr>
          <w:rFonts w:ascii="Times New Roman" w:hAnsi="Times New Roman"/>
        </w:rPr>
        <w:t xml:space="preserve">  zmena v nároku</w:t>
      </w:r>
    </w:p>
    <w:p w:rsidR="003F0AAF" w:rsidRPr="008E227D" w:rsidRDefault="003F0AAF" w:rsidP="003F0AAF">
      <w:pPr>
        <w:spacing w:after="0" w:line="240" w:lineRule="auto"/>
        <w:rPr>
          <w:rFonts w:ascii="Times New Roman" w:hAnsi="Times New Roman"/>
        </w:rPr>
      </w:pPr>
      <w:r w:rsidRPr="008E227D">
        <w:rPr>
          <w:rFonts w:ascii="Times New Roman" w:hAnsi="Times New Roman"/>
          <w:bdr w:val="single" w:sz="4" w:space="0" w:color="auto"/>
        </w:rPr>
        <w:t xml:space="preserve"> X </w:t>
      </w:r>
      <w:r w:rsidRPr="008E227D">
        <w:rPr>
          <w:rFonts w:ascii="Times New Roman" w:hAnsi="Times New Roman"/>
        </w:rPr>
        <w:t xml:space="preserve">  nová služba alebo nariadenie (alebo ich zrušenie)</w:t>
      </w:r>
    </w:p>
    <w:p w:rsidR="003F0AAF" w:rsidRPr="008E227D" w:rsidRDefault="003F0AAF" w:rsidP="003F0AAF">
      <w:pPr>
        <w:spacing w:after="0" w:line="240" w:lineRule="auto"/>
        <w:rPr>
          <w:rFonts w:ascii="Times New Roman" w:hAnsi="Times New Roman"/>
        </w:rPr>
      </w:pPr>
      <w:r w:rsidRPr="008E227D">
        <w:rPr>
          <w:rFonts w:ascii="Times New Roman" w:hAnsi="Times New Roman"/>
          <w:bdr w:val="single" w:sz="4" w:space="0" w:color="auto"/>
        </w:rPr>
        <w:t xml:space="preserve">     </w:t>
      </w:r>
      <w:r w:rsidRPr="008E227D">
        <w:rPr>
          <w:rFonts w:ascii="Times New Roman" w:hAnsi="Times New Roman"/>
        </w:rPr>
        <w:t xml:space="preserve">  kombinovaný návrh</w:t>
      </w:r>
    </w:p>
    <w:p w:rsidR="003F0AAF" w:rsidRPr="008E227D" w:rsidRDefault="003F0AAF" w:rsidP="003F0AAF">
      <w:pPr>
        <w:spacing w:after="0" w:line="240" w:lineRule="auto"/>
        <w:rPr>
          <w:rFonts w:ascii="Times New Roman" w:hAnsi="Times New Roman"/>
        </w:rPr>
      </w:pPr>
      <w:r w:rsidRPr="008E227D">
        <w:rPr>
          <w:rFonts w:ascii="Times New Roman" w:hAnsi="Times New Roman"/>
          <w:bdr w:val="single" w:sz="4" w:space="0" w:color="auto"/>
        </w:rPr>
        <w:t xml:space="preserve">     </w:t>
      </w:r>
      <w:r w:rsidRPr="008E227D">
        <w:rPr>
          <w:rFonts w:ascii="Times New Roman" w:hAnsi="Times New Roman"/>
        </w:rPr>
        <w:t xml:space="preserve">  iné </w:t>
      </w:r>
    </w:p>
    <w:p w:rsidR="003F0AAF" w:rsidRPr="008E227D" w:rsidRDefault="003F0AAF" w:rsidP="003F0AAF">
      <w:pPr>
        <w:spacing w:after="0" w:line="240" w:lineRule="auto"/>
        <w:rPr>
          <w:rFonts w:ascii="Times New Roman" w:hAnsi="Times New Roman"/>
        </w:rPr>
      </w:pPr>
    </w:p>
    <w:p w:rsidR="003F0AAF" w:rsidRPr="008E227D" w:rsidRDefault="003F0AAF" w:rsidP="003F0AAF">
      <w:pPr>
        <w:spacing w:after="0" w:line="240" w:lineRule="auto"/>
        <w:rPr>
          <w:rFonts w:ascii="Times New Roman" w:hAnsi="Times New Roman"/>
        </w:rPr>
      </w:pPr>
      <w:r w:rsidRPr="008E227D">
        <w:rPr>
          <w:rFonts w:ascii="Times New Roman" w:hAnsi="Times New Roman"/>
          <w:b/>
          <w:bCs/>
        </w:rPr>
        <w:t>2.2.3. Predpoklady vývoja objemu aktivít:</w:t>
      </w:r>
    </w:p>
    <w:p w:rsidR="003F0AAF" w:rsidRPr="008E227D" w:rsidRDefault="003F0AAF" w:rsidP="003F0AAF">
      <w:pPr>
        <w:spacing w:after="0" w:line="240" w:lineRule="auto"/>
        <w:rPr>
          <w:rFonts w:ascii="Times New Roman" w:hAnsi="Times New Roman"/>
        </w:rPr>
      </w:pPr>
    </w:p>
    <w:p w:rsidR="003F0AAF" w:rsidRPr="008E227D" w:rsidRDefault="003F0AAF" w:rsidP="003F0AAF">
      <w:pPr>
        <w:spacing w:after="0" w:line="240" w:lineRule="auto"/>
        <w:ind w:firstLine="708"/>
        <w:jc w:val="both"/>
        <w:rPr>
          <w:rFonts w:ascii="Times New Roman" w:hAnsi="Times New Roman"/>
        </w:rPr>
      </w:pPr>
      <w:r w:rsidRPr="008E227D">
        <w:rPr>
          <w:rFonts w:ascii="Times New Roman" w:hAnsi="Times New Roman"/>
        </w:rPr>
        <w:t>Jasne popíšte, v prípade potreby použite nižšie uvedenú tabuľku. Uveďte aj odhady základov daní a/alebo poplatkov, ak sa ich táto zmena týka.</w:t>
      </w:r>
    </w:p>
    <w:p w:rsidR="003F0AAF" w:rsidRPr="008E227D" w:rsidRDefault="003F0AAF" w:rsidP="003F0AAF">
      <w:pPr>
        <w:spacing w:after="0" w:line="240" w:lineRule="auto"/>
        <w:jc w:val="right"/>
        <w:rPr>
          <w:rFonts w:ascii="Times New Roman" w:hAnsi="Times New Roman"/>
        </w:rPr>
      </w:pPr>
      <w:r w:rsidRPr="008E227D">
        <w:rPr>
          <w:rFonts w:ascii="Times New Roman" w:hAnsi="Times New Roman"/>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3F0AAF" w:rsidRPr="008E227D" w:rsidTr="00117D03">
        <w:trPr>
          <w:cantSplit/>
          <w:trHeight w:val="70"/>
        </w:trPr>
        <w:tc>
          <w:tcPr>
            <w:tcW w:w="4530" w:type="dxa"/>
            <w:vMerge w:val="restart"/>
            <w:shd w:val="clear" w:color="auto" w:fill="BFBFBF"/>
            <w:vAlign w:val="center"/>
          </w:tcPr>
          <w:p w:rsidR="003F0AAF" w:rsidRPr="008E227D" w:rsidRDefault="003F0AAF" w:rsidP="00117D03">
            <w:pPr>
              <w:autoSpaceDE w:val="0"/>
              <w:autoSpaceDN w:val="0"/>
              <w:spacing w:after="0" w:line="240" w:lineRule="auto"/>
              <w:jc w:val="center"/>
              <w:rPr>
                <w:rFonts w:ascii="Times New Roman" w:hAnsi="Times New Roman"/>
                <w:b/>
                <w:bCs/>
              </w:rPr>
            </w:pPr>
            <w:r w:rsidRPr="008E227D">
              <w:rPr>
                <w:rFonts w:ascii="Times New Roman" w:hAnsi="Times New Roman"/>
                <w:b/>
                <w:bCs/>
              </w:rPr>
              <w:t>Objem aktivít</w:t>
            </w:r>
          </w:p>
        </w:tc>
        <w:tc>
          <w:tcPr>
            <w:tcW w:w="1134" w:type="dxa"/>
            <w:gridSpan w:val="4"/>
            <w:shd w:val="clear" w:color="auto" w:fill="BFBFBF"/>
            <w:vAlign w:val="center"/>
          </w:tcPr>
          <w:p w:rsidR="003F0AAF" w:rsidRPr="008E227D" w:rsidRDefault="003F0AAF" w:rsidP="00117D03">
            <w:pPr>
              <w:autoSpaceDE w:val="0"/>
              <w:autoSpaceDN w:val="0"/>
              <w:spacing w:after="0" w:line="240" w:lineRule="auto"/>
              <w:jc w:val="center"/>
              <w:rPr>
                <w:rFonts w:ascii="Times New Roman" w:hAnsi="Times New Roman"/>
                <w:b/>
                <w:bCs/>
              </w:rPr>
            </w:pPr>
            <w:r w:rsidRPr="008E227D">
              <w:rPr>
                <w:rFonts w:ascii="Times New Roman" w:hAnsi="Times New Roman"/>
                <w:b/>
                <w:bCs/>
              </w:rPr>
              <w:t>Odhadované objemy</w:t>
            </w:r>
          </w:p>
        </w:tc>
      </w:tr>
      <w:tr w:rsidR="003F0AAF" w:rsidRPr="008E227D" w:rsidTr="00117D03">
        <w:trPr>
          <w:cantSplit/>
          <w:trHeight w:val="70"/>
        </w:trPr>
        <w:tc>
          <w:tcPr>
            <w:tcW w:w="4530" w:type="dxa"/>
            <w:vMerge/>
            <w:shd w:val="clear" w:color="auto" w:fill="BFBFBF"/>
          </w:tcPr>
          <w:p w:rsidR="003F0AAF" w:rsidRPr="008E227D" w:rsidRDefault="003F0AAF" w:rsidP="00117D03">
            <w:pPr>
              <w:autoSpaceDE w:val="0"/>
              <w:autoSpaceDN w:val="0"/>
              <w:spacing w:after="0" w:line="240" w:lineRule="auto"/>
              <w:jc w:val="center"/>
              <w:rPr>
                <w:rFonts w:ascii="Times New Roman" w:hAnsi="Times New Roman"/>
                <w:b/>
                <w:bCs/>
              </w:rPr>
            </w:pPr>
          </w:p>
        </w:tc>
        <w:tc>
          <w:tcPr>
            <w:tcW w:w="1134" w:type="dxa"/>
            <w:shd w:val="clear" w:color="auto" w:fill="BFBFBF"/>
            <w:vAlign w:val="center"/>
          </w:tcPr>
          <w:p w:rsidR="003F0AAF" w:rsidRPr="008E227D" w:rsidRDefault="003F0AAF" w:rsidP="00117D03">
            <w:pPr>
              <w:autoSpaceDE w:val="0"/>
              <w:autoSpaceDN w:val="0"/>
              <w:spacing w:after="0" w:line="240" w:lineRule="auto"/>
              <w:jc w:val="center"/>
              <w:rPr>
                <w:rFonts w:ascii="Times New Roman" w:hAnsi="Times New Roman"/>
                <w:b/>
                <w:bCs/>
              </w:rPr>
            </w:pPr>
            <w:r w:rsidRPr="008E227D">
              <w:rPr>
                <w:rFonts w:ascii="Times New Roman" w:hAnsi="Times New Roman"/>
                <w:b/>
                <w:bCs/>
              </w:rPr>
              <w:t>2021</w:t>
            </w:r>
          </w:p>
        </w:tc>
        <w:tc>
          <w:tcPr>
            <w:tcW w:w="1134" w:type="dxa"/>
            <w:shd w:val="clear" w:color="auto" w:fill="BFBFBF"/>
            <w:vAlign w:val="center"/>
          </w:tcPr>
          <w:p w:rsidR="003F0AAF" w:rsidRPr="008E227D" w:rsidRDefault="003F0AAF" w:rsidP="00117D03">
            <w:pPr>
              <w:autoSpaceDE w:val="0"/>
              <w:autoSpaceDN w:val="0"/>
              <w:spacing w:after="0" w:line="240" w:lineRule="auto"/>
              <w:jc w:val="center"/>
              <w:rPr>
                <w:rFonts w:ascii="Times New Roman" w:hAnsi="Times New Roman"/>
                <w:b/>
                <w:bCs/>
              </w:rPr>
            </w:pPr>
            <w:r w:rsidRPr="008E227D">
              <w:rPr>
                <w:rFonts w:ascii="Times New Roman" w:hAnsi="Times New Roman"/>
                <w:b/>
                <w:bCs/>
              </w:rPr>
              <w:t>2022</w:t>
            </w:r>
          </w:p>
        </w:tc>
        <w:tc>
          <w:tcPr>
            <w:tcW w:w="1134" w:type="dxa"/>
            <w:shd w:val="clear" w:color="auto" w:fill="BFBFBF"/>
            <w:vAlign w:val="center"/>
          </w:tcPr>
          <w:p w:rsidR="003F0AAF" w:rsidRPr="008E227D" w:rsidRDefault="003F0AAF" w:rsidP="00117D03">
            <w:pPr>
              <w:autoSpaceDE w:val="0"/>
              <w:autoSpaceDN w:val="0"/>
              <w:spacing w:after="0" w:line="240" w:lineRule="auto"/>
              <w:jc w:val="center"/>
              <w:rPr>
                <w:rFonts w:ascii="Times New Roman" w:hAnsi="Times New Roman"/>
                <w:b/>
                <w:bCs/>
              </w:rPr>
            </w:pPr>
            <w:r w:rsidRPr="008E227D">
              <w:rPr>
                <w:rFonts w:ascii="Times New Roman" w:hAnsi="Times New Roman"/>
                <w:b/>
                <w:bCs/>
              </w:rPr>
              <w:t>2023</w:t>
            </w:r>
          </w:p>
        </w:tc>
        <w:tc>
          <w:tcPr>
            <w:tcW w:w="1134" w:type="dxa"/>
            <w:shd w:val="clear" w:color="auto" w:fill="BFBFBF"/>
            <w:vAlign w:val="center"/>
          </w:tcPr>
          <w:p w:rsidR="003F0AAF" w:rsidRPr="008E227D" w:rsidRDefault="003F0AAF" w:rsidP="00117D03">
            <w:pPr>
              <w:autoSpaceDE w:val="0"/>
              <w:autoSpaceDN w:val="0"/>
              <w:spacing w:after="0" w:line="240" w:lineRule="auto"/>
              <w:jc w:val="center"/>
              <w:rPr>
                <w:rFonts w:ascii="Times New Roman" w:hAnsi="Times New Roman"/>
                <w:b/>
                <w:bCs/>
              </w:rPr>
            </w:pPr>
            <w:r w:rsidRPr="008E227D">
              <w:rPr>
                <w:rFonts w:ascii="Times New Roman" w:hAnsi="Times New Roman"/>
                <w:b/>
                <w:bCs/>
              </w:rPr>
              <w:t>2024</w:t>
            </w:r>
          </w:p>
        </w:tc>
      </w:tr>
      <w:tr w:rsidR="003F0AAF" w:rsidRPr="008E227D" w:rsidTr="00117D03">
        <w:trPr>
          <w:trHeight w:val="70"/>
        </w:trPr>
        <w:tc>
          <w:tcPr>
            <w:tcW w:w="4530" w:type="dxa"/>
          </w:tcPr>
          <w:p w:rsidR="003F0AAF" w:rsidRPr="008E227D" w:rsidRDefault="003F0AAF" w:rsidP="00117D03">
            <w:pPr>
              <w:autoSpaceDE w:val="0"/>
              <w:autoSpaceDN w:val="0"/>
              <w:spacing w:after="0" w:line="240" w:lineRule="auto"/>
              <w:rPr>
                <w:rFonts w:ascii="Times New Roman" w:hAnsi="Times New Roman"/>
                <w:color w:val="000000"/>
              </w:rPr>
            </w:pPr>
            <w:r w:rsidRPr="008E227D">
              <w:rPr>
                <w:rFonts w:ascii="Times New Roman" w:hAnsi="Times New Roman"/>
                <w:color w:val="000000"/>
              </w:rPr>
              <w:t>Indikátor ABC</w:t>
            </w:r>
          </w:p>
        </w:tc>
        <w:tc>
          <w:tcPr>
            <w:tcW w:w="1134" w:type="dxa"/>
          </w:tcPr>
          <w:p w:rsidR="003F0AAF" w:rsidRPr="008E227D" w:rsidRDefault="003F0AAF" w:rsidP="00117D03">
            <w:pPr>
              <w:autoSpaceDE w:val="0"/>
              <w:autoSpaceDN w:val="0"/>
              <w:spacing w:after="0" w:line="240" w:lineRule="auto"/>
              <w:jc w:val="right"/>
              <w:rPr>
                <w:rFonts w:ascii="Times New Roman" w:hAnsi="Times New Roman"/>
                <w:color w:val="000000"/>
              </w:rPr>
            </w:pPr>
          </w:p>
        </w:tc>
        <w:tc>
          <w:tcPr>
            <w:tcW w:w="1134" w:type="dxa"/>
          </w:tcPr>
          <w:p w:rsidR="003F0AAF" w:rsidRPr="008E227D" w:rsidRDefault="003F0AAF" w:rsidP="00117D03">
            <w:pPr>
              <w:autoSpaceDE w:val="0"/>
              <w:autoSpaceDN w:val="0"/>
              <w:spacing w:after="0" w:line="240" w:lineRule="auto"/>
              <w:jc w:val="right"/>
              <w:rPr>
                <w:rFonts w:ascii="Times New Roman" w:hAnsi="Times New Roman"/>
                <w:color w:val="000000"/>
              </w:rPr>
            </w:pPr>
          </w:p>
        </w:tc>
        <w:tc>
          <w:tcPr>
            <w:tcW w:w="1134" w:type="dxa"/>
          </w:tcPr>
          <w:p w:rsidR="003F0AAF" w:rsidRPr="008E227D" w:rsidRDefault="003F0AAF" w:rsidP="00117D03">
            <w:pPr>
              <w:autoSpaceDE w:val="0"/>
              <w:autoSpaceDN w:val="0"/>
              <w:spacing w:after="0" w:line="240" w:lineRule="auto"/>
              <w:jc w:val="right"/>
              <w:rPr>
                <w:rFonts w:ascii="Times New Roman" w:hAnsi="Times New Roman"/>
                <w:color w:val="000000"/>
              </w:rPr>
            </w:pPr>
          </w:p>
        </w:tc>
        <w:tc>
          <w:tcPr>
            <w:tcW w:w="1134" w:type="dxa"/>
          </w:tcPr>
          <w:p w:rsidR="003F0AAF" w:rsidRPr="008E227D" w:rsidRDefault="003F0AAF" w:rsidP="00117D03">
            <w:pPr>
              <w:autoSpaceDE w:val="0"/>
              <w:autoSpaceDN w:val="0"/>
              <w:spacing w:after="0" w:line="240" w:lineRule="auto"/>
              <w:jc w:val="right"/>
              <w:rPr>
                <w:rFonts w:ascii="Times New Roman" w:hAnsi="Times New Roman"/>
                <w:color w:val="000000"/>
              </w:rPr>
            </w:pPr>
          </w:p>
        </w:tc>
      </w:tr>
      <w:tr w:rsidR="003F0AAF" w:rsidRPr="008E227D" w:rsidTr="00117D03">
        <w:trPr>
          <w:trHeight w:val="70"/>
        </w:trPr>
        <w:tc>
          <w:tcPr>
            <w:tcW w:w="4530" w:type="dxa"/>
          </w:tcPr>
          <w:p w:rsidR="003F0AAF" w:rsidRPr="008E227D" w:rsidRDefault="003F0AAF" w:rsidP="00117D03">
            <w:pPr>
              <w:autoSpaceDE w:val="0"/>
              <w:autoSpaceDN w:val="0"/>
              <w:spacing w:after="0" w:line="240" w:lineRule="auto"/>
              <w:rPr>
                <w:rFonts w:ascii="Times New Roman" w:hAnsi="Times New Roman"/>
                <w:color w:val="000000"/>
              </w:rPr>
            </w:pPr>
            <w:r w:rsidRPr="008E227D">
              <w:rPr>
                <w:rFonts w:ascii="Times New Roman" w:hAnsi="Times New Roman"/>
                <w:color w:val="000000"/>
              </w:rPr>
              <w:t>Indikátor KLM</w:t>
            </w:r>
          </w:p>
        </w:tc>
        <w:tc>
          <w:tcPr>
            <w:tcW w:w="1134" w:type="dxa"/>
          </w:tcPr>
          <w:p w:rsidR="003F0AAF" w:rsidRPr="008E227D" w:rsidRDefault="003F0AAF" w:rsidP="00117D03">
            <w:pPr>
              <w:autoSpaceDE w:val="0"/>
              <w:autoSpaceDN w:val="0"/>
              <w:spacing w:after="0" w:line="240" w:lineRule="auto"/>
              <w:jc w:val="right"/>
              <w:rPr>
                <w:rFonts w:ascii="Times New Roman" w:hAnsi="Times New Roman"/>
                <w:color w:val="000000"/>
              </w:rPr>
            </w:pPr>
          </w:p>
        </w:tc>
        <w:tc>
          <w:tcPr>
            <w:tcW w:w="1134" w:type="dxa"/>
          </w:tcPr>
          <w:p w:rsidR="003F0AAF" w:rsidRPr="008E227D" w:rsidRDefault="003F0AAF" w:rsidP="00117D03">
            <w:pPr>
              <w:autoSpaceDE w:val="0"/>
              <w:autoSpaceDN w:val="0"/>
              <w:spacing w:after="0" w:line="240" w:lineRule="auto"/>
              <w:jc w:val="right"/>
              <w:rPr>
                <w:rFonts w:ascii="Times New Roman" w:hAnsi="Times New Roman"/>
                <w:color w:val="000000"/>
              </w:rPr>
            </w:pPr>
          </w:p>
        </w:tc>
        <w:tc>
          <w:tcPr>
            <w:tcW w:w="1134" w:type="dxa"/>
          </w:tcPr>
          <w:p w:rsidR="003F0AAF" w:rsidRPr="008E227D" w:rsidRDefault="003F0AAF" w:rsidP="00117D03">
            <w:pPr>
              <w:autoSpaceDE w:val="0"/>
              <w:autoSpaceDN w:val="0"/>
              <w:spacing w:after="0" w:line="240" w:lineRule="auto"/>
              <w:jc w:val="right"/>
              <w:rPr>
                <w:rFonts w:ascii="Times New Roman" w:hAnsi="Times New Roman"/>
                <w:color w:val="000000"/>
              </w:rPr>
            </w:pPr>
          </w:p>
        </w:tc>
        <w:tc>
          <w:tcPr>
            <w:tcW w:w="1134" w:type="dxa"/>
          </w:tcPr>
          <w:p w:rsidR="003F0AAF" w:rsidRPr="008E227D" w:rsidRDefault="003F0AAF" w:rsidP="00117D03">
            <w:pPr>
              <w:autoSpaceDE w:val="0"/>
              <w:autoSpaceDN w:val="0"/>
              <w:spacing w:after="0" w:line="240" w:lineRule="auto"/>
              <w:jc w:val="right"/>
              <w:rPr>
                <w:rFonts w:ascii="Times New Roman" w:hAnsi="Times New Roman"/>
                <w:color w:val="000000"/>
              </w:rPr>
            </w:pPr>
          </w:p>
        </w:tc>
      </w:tr>
      <w:tr w:rsidR="003F0AAF" w:rsidRPr="008E227D" w:rsidTr="00117D03">
        <w:trPr>
          <w:trHeight w:val="70"/>
        </w:trPr>
        <w:tc>
          <w:tcPr>
            <w:tcW w:w="4530" w:type="dxa"/>
          </w:tcPr>
          <w:p w:rsidR="003F0AAF" w:rsidRPr="008E227D" w:rsidRDefault="003F0AAF" w:rsidP="00117D03">
            <w:pPr>
              <w:autoSpaceDE w:val="0"/>
              <w:autoSpaceDN w:val="0"/>
              <w:spacing w:after="0" w:line="240" w:lineRule="auto"/>
              <w:rPr>
                <w:rFonts w:ascii="Times New Roman" w:hAnsi="Times New Roman"/>
                <w:color w:val="000000"/>
              </w:rPr>
            </w:pPr>
            <w:r w:rsidRPr="008E227D">
              <w:rPr>
                <w:rFonts w:ascii="Times New Roman" w:hAnsi="Times New Roman"/>
                <w:color w:val="000000"/>
              </w:rPr>
              <w:t>Indikátor XYZ</w:t>
            </w:r>
          </w:p>
        </w:tc>
        <w:tc>
          <w:tcPr>
            <w:tcW w:w="1134" w:type="dxa"/>
          </w:tcPr>
          <w:p w:rsidR="003F0AAF" w:rsidRPr="008E227D" w:rsidRDefault="003F0AAF" w:rsidP="00117D03">
            <w:pPr>
              <w:autoSpaceDE w:val="0"/>
              <w:autoSpaceDN w:val="0"/>
              <w:spacing w:after="0" w:line="240" w:lineRule="auto"/>
              <w:jc w:val="right"/>
              <w:rPr>
                <w:rFonts w:ascii="Times New Roman" w:hAnsi="Times New Roman"/>
                <w:color w:val="000000"/>
              </w:rPr>
            </w:pPr>
          </w:p>
        </w:tc>
        <w:tc>
          <w:tcPr>
            <w:tcW w:w="1134" w:type="dxa"/>
          </w:tcPr>
          <w:p w:rsidR="003F0AAF" w:rsidRPr="008E227D" w:rsidRDefault="003F0AAF" w:rsidP="00117D03">
            <w:pPr>
              <w:autoSpaceDE w:val="0"/>
              <w:autoSpaceDN w:val="0"/>
              <w:spacing w:after="0" w:line="240" w:lineRule="auto"/>
              <w:jc w:val="right"/>
              <w:rPr>
                <w:rFonts w:ascii="Times New Roman" w:hAnsi="Times New Roman"/>
                <w:color w:val="000000"/>
              </w:rPr>
            </w:pPr>
          </w:p>
        </w:tc>
        <w:tc>
          <w:tcPr>
            <w:tcW w:w="1134" w:type="dxa"/>
          </w:tcPr>
          <w:p w:rsidR="003F0AAF" w:rsidRPr="008E227D" w:rsidRDefault="003F0AAF" w:rsidP="00117D03">
            <w:pPr>
              <w:autoSpaceDE w:val="0"/>
              <w:autoSpaceDN w:val="0"/>
              <w:spacing w:after="0" w:line="240" w:lineRule="auto"/>
              <w:jc w:val="right"/>
              <w:rPr>
                <w:rFonts w:ascii="Times New Roman" w:hAnsi="Times New Roman"/>
                <w:color w:val="000000"/>
              </w:rPr>
            </w:pPr>
          </w:p>
        </w:tc>
        <w:tc>
          <w:tcPr>
            <w:tcW w:w="1134" w:type="dxa"/>
          </w:tcPr>
          <w:p w:rsidR="003F0AAF" w:rsidRPr="008E227D" w:rsidRDefault="003F0AAF" w:rsidP="00117D03">
            <w:pPr>
              <w:autoSpaceDE w:val="0"/>
              <w:autoSpaceDN w:val="0"/>
              <w:spacing w:after="0" w:line="240" w:lineRule="auto"/>
              <w:jc w:val="right"/>
              <w:rPr>
                <w:rFonts w:ascii="Times New Roman" w:hAnsi="Times New Roman"/>
                <w:color w:val="000000"/>
              </w:rPr>
            </w:pPr>
          </w:p>
        </w:tc>
      </w:tr>
    </w:tbl>
    <w:p w:rsidR="003F0AAF" w:rsidRPr="008E227D" w:rsidRDefault="003F0AAF" w:rsidP="003F0AAF">
      <w:pPr>
        <w:spacing w:after="0" w:line="240" w:lineRule="auto"/>
        <w:rPr>
          <w:rFonts w:ascii="Times New Roman" w:hAnsi="Times New Roman"/>
        </w:rPr>
      </w:pPr>
    </w:p>
    <w:p w:rsidR="003F0AAF" w:rsidRPr="008E227D" w:rsidRDefault="003F0AAF" w:rsidP="003F0AAF">
      <w:pPr>
        <w:spacing w:after="0" w:line="240" w:lineRule="auto"/>
        <w:rPr>
          <w:rFonts w:ascii="Times New Roman" w:hAnsi="Times New Roman"/>
        </w:rPr>
      </w:pPr>
      <w:r w:rsidRPr="008E227D">
        <w:rPr>
          <w:rFonts w:ascii="Times New Roman" w:hAnsi="Times New Roman"/>
        </w:rPr>
        <w:t>Predloženým návrhom zmeny zákona nedochádza k zmene vývoja objemu aktivít.</w:t>
      </w:r>
    </w:p>
    <w:p w:rsidR="003F0AAF" w:rsidRPr="008E227D" w:rsidRDefault="003F0AAF" w:rsidP="003F0AAF">
      <w:pPr>
        <w:spacing w:after="0" w:line="240" w:lineRule="auto"/>
        <w:rPr>
          <w:rFonts w:ascii="Times New Roman" w:hAnsi="Times New Roman"/>
        </w:rPr>
      </w:pPr>
    </w:p>
    <w:p w:rsidR="003F0AAF" w:rsidRPr="008E227D" w:rsidRDefault="003F0AAF" w:rsidP="003F0AAF">
      <w:pPr>
        <w:spacing w:after="0" w:line="240" w:lineRule="auto"/>
        <w:rPr>
          <w:rFonts w:ascii="Times New Roman" w:hAnsi="Times New Roman"/>
          <w:b/>
          <w:bCs/>
        </w:rPr>
      </w:pPr>
      <w:r w:rsidRPr="008E227D">
        <w:rPr>
          <w:rFonts w:ascii="Times New Roman" w:hAnsi="Times New Roman"/>
          <w:b/>
          <w:bCs/>
        </w:rPr>
        <w:t>2.2.4. Výpočty vplyvov na verejné financie</w:t>
      </w:r>
    </w:p>
    <w:p w:rsidR="003F0AAF" w:rsidRPr="008E227D" w:rsidRDefault="003F0AAF" w:rsidP="003F0AAF">
      <w:pPr>
        <w:spacing w:after="0" w:line="240" w:lineRule="auto"/>
        <w:rPr>
          <w:rFonts w:ascii="Times New Roman" w:hAnsi="Times New Roman"/>
          <w:b/>
          <w:bCs/>
        </w:rPr>
      </w:pPr>
    </w:p>
    <w:p w:rsidR="003F0AAF" w:rsidRPr="008E227D" w:rsidRDefault="003F0AAF" w:rsidP="003F0AAF">
      <w:pPr>
        <w:spacing w:after="0" w:line="240" w:lineRule="auto"/>
        <w:ind w:firstLine="708"/>
        <w:jc w:val="both"/>
        <w:rPr>
          <w:rFonts w:ascii="Times New Roman" w:hAnsi="Times New Roman"/>
          <w:bCs/>
        </w:rPr>
      </w:pPr>
      <w:r w:rsidRPr="008E227D">
        <w:rPr>
          <w:rFonts w:ascii="Times New Roman" w:hAnsi="Times New Roman"/>
        </w:rPr>
        <w:t xml:space="preserve">Pre ambulancie pevnej </w:t>
      </w:r>
      <w:r w:rsidRPr="008E227D">
        <w:rPr>
          <w:rFonts w:ascii="Times New Roman" w:hAnsi="Times New Roman"/>
          <w:bCs/>
        </w:rPr>
        <w:t>ambulantnej pohotovostnej služby</w:t>
      </w:r>
      <w:r w:rsidRPr="008E227D">
        <w:rPr>
          <w:rFonts w:ascii="Times New Roman" w:hAnsi="Times New Roman"/>
        </w:rPr>
        <w:t xml:space="preserve"> sa navrhuje </w:t>
      </w:r>
      <w:r w:rsidRPr="008E227D">
        <w:rPr>
          <w:rFonts w:ascii="Times New Roman" w:hAnsi="Times New Roman"/>
          <w:bCs/>
        </w:rPr>
        <w:t xml:space="preserve">zvýšenie pevnej mesačnej paušálnej úhrady na ambulanciu pevnej ambulantnej pohotovostnej služby zo sumy 9 800 eur na sumu 10 303 eur, čo predstavuje pre všetky ambulancie pevnej ambulantnej pohotovostnej služby ročnú čiastku vo výške cca 827 tisíc eur. </w:t>
      </w:r>
    </w:p>
    <w:p w:rsidR="003F0AAF" w:rsidRPr="008E227D" w:rsidRDefault="003F0AAF" w:rsidP="003F0AAF">
      <w:pPr>
        <w:spacing w:after="0" w:line="240" w:lineRule="auto"/>
        <w:ind w:firstLine="708"/>
        <w:jc w:val="both"/>
        <w:rPr>
          <w:rFonts w:ascii="Times New Roman" w:hAnsi="Times New Roman"/>
          <w:bCs/>
        </w:rPr>
      </w:pPr>
    </w:p>
    <w:tbl>
      <w:tblPr>
        <w:tblW w:w="9922" w:type="dxa"/>
        <w:jc w:val="center"/>
        <w:tblCellMar>
          <w:left w:w="70" w:type="dxa"/>
          <w:right w:w="70" w:type="dxa"/>
        </w:tblCellMar>
        <w:tblLook w:val="04A0" w:firstRow="1" w:lastRow="0" w:firstColumn="1" w:lastColumn="0" w:noHBand="0" w:noVBand="1"/>
      </w:tblPr>
      <w:tblGrid>
        <w:gridCol w:w="1662"/>
        <w:gridCol w:w="1096"/>
        <w:gridCol w:w="1395"/>
        <w:gridCol w:w="1525"/>
        <w:gridCol w:w="1395"/>
        <w:gridCol w:w="1395"/>
        <w:gridCol w:w="1454"/>
      </w:tblGrid>
      <w:tr w:rsidR="003F0AAF" w:rsidRPr="008E227D" w:rsidTr="00117D03">
        <w:trPr>
          <w:trHeight w:val="1080"/>
          <w:jc w:val="center"/>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center"/>
              <w:rPr>
                <w:rFonts w:ascii="Times New Roman" w:eastAsia="Times New Roman" w:hAnsi="Times New Roman"/>
                <w:b/>
                <w:bCs/>
                <w:color w:val="000000"/>
                <w:sz w:val="20"/>
              </w:rPr>
            </w:pPr>
            <w:r w:rsidRPr="008E227D">
              <w:rPr>
                <w:rFonts w:ascii="Times New Roman" w:eastAsia="Times New Roman" w:hAnsi="Times New Roman"/>
                <w:b/>
                <w:bCs/>
                <w:color w:val="000000"/>
                <w:sz w:val="20"/>
              </w:rPr>
              <w:t>Typ ambulancie</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center"/>
              <w:rPr>
                <w:rFonts w:ascii="Times New Roman" w:eastAsia="Times New Roman" w:hAnsi="Times New Roman"/>
                <w:b/>
                <w:bCs/>
                <w:color w:val="000000"/>
                <w:sz w:val="20"/>
              </w:rPr>
            </w:pPr>
            <w:r w:rsidRPr="008E227D">
              <w:rPr>
                <w:rFonts w:ascii="Times New Roman" w:eastAsia="Times New Roman" w:hAnsi="Times New Roman"/>
                <w:b/>
                <w:bCs/>
                <w:color w:val="000000"/>
                <w:sz w:val="20"/>
              </w:rPr>
              <w:t>Počet ambulancií pevnej APS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center"/>
              <w:rPr>
                <w:rFonts w:ascii="Times New Roman" w:eastAsia="Times New Roman" w:hAnsi="Times New Roman"/>
                <w:b/>
                <w:bCs/>
                <w:color w:val="000000"/>
                <w:sz w:val="20"/>
              </w:rPr>
            </w:pPr>
            <w:r w:rsidRPr="008E227D">
              <w:rPr>
                <w:rFonts w:ascii="Times New Roman" w:eastAsia="Times New Roman" w:hAnsi="Times New Roman"/>
                <w:b/>
                <w:bCs/>
                <w:color w:val="000000"/>
                <w:sz w:val="20"/>
              </w:rPr>
              <w:t>platná mesačná paušálna úhrada na jednu ambulanciu pevnej APS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center"/>
              <w:rPr>
                <w:rFonts w:ascii="Times New Roman" w:eastAsia="Times New Roman" w:hAnsi="Times New Roman"/>
                <w:b/>
                <w:bCs/>
                <w:color w:val="000000"/>
                <w:sz w:val="20"/>
              </w:rPr>
            </w:pPr>
            <w:r w:rsidRPr="008E227D">
              <w:rPr>
                <w:rFonts w:ascii="Times New Roman" w:eastAsia="Times New Roman" w:hAnsi="Times New Roman"/>
                <w:b/>
                <w:bCs/>
                <w:color w:val="000000"/>
                <w:sz w:val="20"/>
              </w:rPr>
              <w:t>navrhovaná mesačná paušálna úhrada na jednu ambulanciu pevnej APS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center"/>
              <w:rPr>
                <w:rFonts w:ascii="Times New Roman" w:eastAsia="Times New Roman" w:hAnsi="Times New Roman"/>
                <w:b/>
                <w:bCs/>
                <w:color w:val="000000"/>
                <w:sz w:val="20"/>
              </w:rPr>
            </w:pPr>
            <w:r w:rsidRPr="008E227D">
              <w:rPr>
                <w:rFonts w:ascii="Times New Roman" w:eastAsia="Times New Roman" w:hAnsi="Times New Roman"/>
                <w:b/>
                <w:bCs/>
                <w:color w:val="000000"/>
                <w:sz w:val="20"/>
              </w:rPr>
              <w:t>zvýšenie mesačnej paušálnej úhrady na jednu ambulanciu pevnej APS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center"/>
              <w:rPr>
                <w:rFonts w:ascii="Times New Roman" w:eastAsia="Times New Roman" w:hAnsi="Times New Roman"/>
                <w:b/>
                <w:bCs/>
                <w:color w:val="000000"/>
                <w:sz w:val="20"/>
              </w:rPr>
            </w:pPr>
            <w:r w:rsidRPr="008E227D">
              <w:rPr>
                <w:rFonts w:ascii="Times New Roman" w:eastAsia="Times New Roman" w:hAnsi="Times New Roman"/>
                <w:b/>
                <w:bCs/>
                <w:color w:val="000000"/>
                <w:sz w:val="20"/>
              </w:rPr>
              <w:t>zvýšenie ročnej paušálnej úhrady na jednu ambulanciu pevnej APS</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center"/>
              <w:rPr>
                <w:rFonts w:ascii="Times New Roman" w:eastAsia="Times New Roman" w:hAnsi="Times New Roman"/>
                <w:b/>
                <w:bCs/>
                <w:color w:val="000000"/>
                <w:sz w:val="20"/>
              </w:rPr>
            </w:pPr>
            <w:r w:rsidRPr="008E227D">
              <w:rPr>
                <w:rFonts w:ascii="Times New Roman" w:eastAsia="Times New Roman" w:hAnsi="Times New Roman"/>
                <w:b/>
                <w:bCs/>
                <w:color w:val="000000"/>
                <w:sz w:val="20"/>
              </w:rPr>
              <w:t>nárast ročnej paušálnej úhrady na všetky ambulancie pevnej APS</w:t>
            </w:r>
          </w:p>
        </w:tc>
      </w:tr>
      <w:tr w:rsidR="003F0AAF" w:rsidRPr="008E227D" w:rsidTr="00117D03">
        <w:trPr>
          <w:trHeight w:val="300"/>
          <w:jc w:val="center"/>
        </w:trPr>
        <w:tc>
          <w:tcPr>
            <w:tcW w:w="1661" w:type="dxa"/>
            <w:tcBorders>
              <w:top w:val="nil"/>
              <w:left w:val="single" w:sz="4" w:space="0" w:color="auto"/>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center"/>
              <w:rPr>
                <w:rFonts w:ascii="Times New Roman" w:eastAsia="Times New Roman" w:hAnsi="Times New Roman"/>
                <w:color w:val="000000"/>
                <w:sz w:val="20"/>
              </w:rPr>
            </w:pPr>
            <w:r w:rsidRPr="008E227D">
              <w:rPr>
                <w:rFonts w:ascii="Times New Roman" w:eastAsia="Times New Roman" w:hAnsi="Times New Roman"/>
                <w:color w:val="000000"/>
                <w:sz w:val="20"/>
              </w:rPr>
              <w:t> </w:t>
            </w:r>
          </w:p>
        </w:tc>
        <w:tc>
          <w:tcPr>
            <w:tcW w:w="965"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center"/>
              <w:rPr>
                <w:rFonts w:ascii="Times New Roman" w:eastAsia="Times New Roman" w:hAnsi="Times New Roman"/>
                <w:color w:val="000000"/>
                <w:sz w:val="20"/>
              </w:rPr>
            </w:pPr>
            <w:r w:rsidRPr="008E227D">
              <w:rPr>
                <w:rFonts w:ascii="Times New Roman" w:eastAsia="Times New Roman" w:hAnsi="Times New Roman"/>
                <w:color w:val="000000"/>
                <w:sz w:val="20"/>
              </w:rPr>
              <w:t>a</w:t>
            </w:r>
          </w:p>
        </w:tc>
        <w:tc>
          <w:tcPr>
            <w:tcW w:w="1418"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center"/>
              <w:rPr>
                <w:rFonts w:ascii="Times New Roman" w:eastAsia="Times New Roman" w:hAnsi="Times New Roman"/>
                <w:color w:val="000000"/>
                <w:sz w:val="20"/>
              </w:rPr>
            </w:pPr>
            <w:r w:rsidRPr="008E227D">
              <w:rPr>
                <w:rFonts w:ascii="Times New Roman" w:eastAsia="Times New Roman" w:hAnsi="Times New Roman"/>
                <w:color w:val="000000"/>
                <w:sz w:val="20"/>
              </w:rPr>
              <w:t>b</w:t>
            </w:r>
          </w:p>
        </w:tc>
        <w:tc>
          <w:tcPr>
            <w:tcW w:w="1559"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center"/>
              <w:rPr>
                <w:rFonts w:ascii="Times New Roman" w:eastAsia="Times New Roman" w:hAnsi="Times New Roman"/>
                <w:color w:val="000000"/>
                <w:sz w:val="20"/>
              </w:rPr>
            </w:pPr>
            <w:r w:rsidRPr="008E227D">
              <w:rPr>
                <w:rFonts w:ascii="Times New Roman" w:eastAsia="Times New Roman" w:hAnsi="Times New Roman"/>
                <w:color w:val="000000"/>
                <w:sz w:val="20"/>
              </w:rPr>
              <w:t>c</w:t>
            </w:r>
          </w:p>
        </w:tc>
        <w:tc>
          <w:tcPr>
            <w:tcW w:w="1418"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center"/>
              <w:rPr>
                <w:rFonts w:ascii="Times New Roman" w:eastAsia="Times New Roman" w:hAnsi="Times New Roman"/>
                <w:color w:val="000000"/>
                <w:sz w:val="20"/>
              </w:rPr>
            </w:pPr>
            <w:r w:rsidRPr="008E227D">
              <w:rPr>
                <w:rFonts w:ascii="Times New Roman" w:eastAsia="Times New Roman" w:hAnsi="Times New Roman"/>
                <w:color w:val="000000"/>
                <w:sz w:val="20"/>
              </w:rPr>
              <w:t>d = c - b</w:t>
            </w:r>
          </w:p>
        </w:tc>
        <w:tc>
          <w:tcPr>
            <w:tcW w:w="1417"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center"/>
              <w:rPr>
                <w:rFonts w:ascii="Times New Roman" w:eastAsia="Times New Roman" w:hAnsi="Times New Roman"/>
                <w:color w:val="000000"/>
                <w:sz w:val="20"/>
              </w:rPr>
            </w:pPr>
            <w:r w:rsidRPr="008E227D">
              <w:rPr>
                <w:rFonts w:ascii="Times New Roman" w:eastAsia="Times New Roman" w:hAnsi="Times New Roman"/>
                <w:color w:val="000000"/>
                <w:sz w:val="20"/>
              </w:rPr>
              <w:t>e = d x 12</w:t>
            </w:r>
          </w:p>
        </w:tc>
        <w:tc>
          <w:tcPr>
            <w:tcW w:w="1484"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center"/>
              <w:rPr>
                <w:rFonts w:ascii="Times New Roman" w:eastAsia="Times New Roman" w:hAnsi="Times New Roman"/>
                <w:color w:val="000000"/>
                <w:sz w:val="20"/>
              </w:rPr>
            </w:pPr>
            <w:r w:rsidRPr="008E227D">
              <w:rPr>
                <w:rFonts w:ascii="Times New Roman" w:eastAsia="Times New Roman" w:hAnsi="Times New Roman"/>
                <w:color w:val="000000"/>
                <w:sz w:val="20"/>
              </w:rPr>
              <w:t xml:space="preserve">f = e x a </w:t>
            </w:r>
          </w:p>
        </w:tc>
      </w:tr>
      <w:tr w:rsidR="003F0AAF" w:rsidRPr="008E227D" w:rsidTr="00117D03">
        <w:trPr>
          <w:trHeight w:val="510"/>
          <w:jc w:val="center"/>
        </w:trPr>
        <w:tc>
          <w:tcPr>
            <w:tcW w:w="1661" w:type="dxa"/>
            <w:tcBorders>
              <w:top w:val="nil"/>
              <w:left w:val="single" w:sz="4" w:space="0" w:color="auto"/>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rPr>
                <w:rFonts w:ascii="Times New Roman" w:eastAsia="Times New Roman" w:hAnsi="Times New Roman"/>
                <w:color w:val="000000"/>
                <w:sz w:val="20"/>
              </w:rPr>
            </w:pPr>
            <w:r w:rsidRPr="008E227D">
              <w:rPr>
                <w:rFonts w:ascii="Times New Roman" w:eastAsia="Times New Roman" w:hAnsi="Times New Roman"/>
                <w:color w:val="000000"/>
                <w:sz w:val="20"/>
              </w:rPr>
              <w:t>ambulancia pevnej APS* pre dospelých</w:t>
            </w:r>
          </w:p>
        </w:tc>
        <w:tc>
          <w:tcPr>
            <w:tcW w:w="965"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000000"/>
                <w:sz w:val="20"/>
              </w:rPr>
              <w:t>76</w:t>
            </w:r>
          </w:p>
        </w:tc>
        <w:tc>
          <w:tcPr>
            <w:tcW w:w="1418"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000000"/>
                <w:sz w:val="20"/>
              </w:rPr>
              <w:t>9 800 €</w:t>
            </w:r>
          </w:p>
        </w:tc>
        <w:tc>
          <w:tcPr>
            <w:tcW w:w="1559"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000000"/>
                <w:sz w:val="20"/>
              </w:rPr>
              <w:t>10 303 €</w:t>
            </w:r>
          </w:p>
        </w:tc>
        <w:tc>
          <w:tcPr>
            <w:tcW w:w="1418"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000000"/>
                <w:sz w:val="20"/>
              </w:rPr>
              <w:t>503 €</w:t>
            </w:r>
          </w:p>
        </w:tc>
        <w:tc>
          <w:tcPr>
            <w:tcW w:w="1417"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000000"/>
                <w:sz w:val="20"/>
              </w:rPr>
              <w:t>6 036 €</w:t>
            </w:r>
          </w:p>
        </w:tc>
        <w:tc>
          <w:tcPr>
            <w:tcW w:w="1484"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000000"/>
                <w:sz w:val="20"/>
              </w:rPr>
              <w:t>458 736 €</w:t>
            </w:r>
          </w:p>
        </w:tc>
      </w:tr>
      <w:tr w:rsidR="003F0AAF" w:rsidRPr="008E227D" w:rsidTr="00117D03">
        <w:trPr>
          <w:trHeight w:val="510"/>
          <w:jc w:val="center"/>
        </w:trPr>
        <w:tc>
          <w:tcPr>
            <w:tcW w:w="1661" w:type="dxa"/>
            <w:tcBorders>
              <w:top w:val="nil"/>
              <w:left w:val="single" w:sz="4" w:space="0" w:color="auto"/>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rPr>
                <w:rFonts w:ascii="Times New Roman" w:eastAsia="Times New Roman" w:hAnsi="Times New Roman"/>
                <w:color w:val="000000"/>
                <w:sz w:val="20"/>
              </w:rPr>
            </w:pPr>
            <w:r w:rsidRPr="008E227D">
              <w:rPr>
                <w:rFonts w:ascii="Times New Roman" w:eastAsia="Times New Roman" w:hAnsi="Times New Roman"/>
                <w:color w:val="000000"/>
                <w:sz w:val="20"/>
              </w:rPr>
              <w:t>ambulancia pevnej APS pre deti a dorast</w:t>
            </w:r>
          </w:p>
        </w:tc>
        <w:tc>
          <w:tcPr>
            <w:tcW w:w="965"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000000"/>
                <w:sz w:val="20"/>
              </w:rPr>
              <w:t>61</w:t>
            </w:r>
          </w:p>
        </w:tc>
        <w:tc>
          <w:tcPr>
            <w:tcW w:w="1418"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000000"/>
                <w:sz w:val="20"/>
              </w:rPr>
              <w:t>9 800 €</w:t>
            </w:r>
          </w:p>
        </w:tc>
        <w:tc>
          <w:tcPr>
            <w:tcW w:w="1559"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000000"/>
                <w:sz w:val="20"/>
              </w:rPr>
              <w:t>10 303 €</w:t>
            </w:r>
          </w:p>
        </w:tc>
        <w:tc>
          <w:tcPr>
            <w:tcW w:w="1418"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000000"/>
                <w:sz w:val="20"/>
              </w:rPr>
              <w:t>503 €</w:t>
            </w:r>
          </w:p>
        </w:tc>
        <w:tc>
          <w:tcPr>
            <w:tcW w:w="1417"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000000"/>
                <w:sz w:val="20"/>
              </w:rPr>
              <w:t>6 036 €</w:t>
            </w:r>
          </w:p>
        </w:tc>
        <w:tc>
          <w:tcPr>
            <w:tcW w:w="1484"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000000"/>
                <w:sz w:val="20"/>
              </w:rPr>
              <w:t>368 196 €</w:t>
            </w:r>
          </w:p>
        </w:tc>
      </w:tr>
      <w:tr w:rsidR="003F0AAF" w:rsidRPr="008E227D" w:rsidTr="00117D03">
        <w:trPr>
          <w:trHeight w:val="300"/>
          <w:jc w:val="center"/>
        </w:trPr>
        <w:tc>
          <w:tcPr>
            <w:tcW w:w="1661" w:type="dxa"/>
            <w:tcBorders>
              <w:top w:val="nil"/>
              <w:left w:val="single" w:sz="4" w:space="0" w:color="auto"/>
              <w:bottom w:val="single" w:sz="4" w:space="0" w:color="auto"/>
              <w:right w:val="single" w:sz="4" w:space="0" w:color="auto"/>
            </w:tcBorders>
            <w:shd w:val="clear" w:color="auto" w:fill="auto"/>
            <w:noWrap/>
            <w:vAlign w:val="center"/>
            <w:hideMark/>
          </w:tcPr>
          <w:p w:rsidR="003F0AAF" w:rsidRPr="008E227D" w:rsidRDefault="003F0AAF" w:rsidP="00117D03">
            <w:pPr>
              <w:spacing w:after="0" w:line="240" w:lineRule="auto"/>
              <w:rPr>
                <w:rFonts w:ascii="Times New Roman" w:eastAsia="Times New Roman" w:hAnsi="Times New Roman"/>
                <w:b/>
                <w:bCs/>
                <w:color w:val="000000"/>
                <w:sz w:val="20"/>
              </w:rPr>
            </w:pPr>
            <w:r w:rsidRPr="008E227D">
              <w:rPr>
                <w:rFonts w:ascii="Times New Roman" w:eastAsia="Times New Roman" w:hAnsi="Times New Roman"/>
                <w:b/>
                <w:bCs/>
                <w:color w:val="000000"/>
                <w:sz w:val="20"/>
              </w:rPr>
              <w:t>Spolu</w:t>
            </w:r>
          </w:p>
        </w:tc>
        <w:tc>
          <w:tcPr>
            <w:tcW w:w="965"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right"/>
              <w:rPr>
                <w:rFonts w:ascii="Times New Roman" w:eastAsia="Times New Roman" w:hAnsi="Times New Roman"/>
                <w:b/>
                <w:bCs/>
                <w:color w:val="000000"/>
                <w:sz w:val="20"/>
              </w:rPr>
            </w:pPr>
            <w:r w:rsidRPr="008E227D">
              <w:rPr>
                <w:rFonts w:ascii="Times New Roman" w:eastAsia="Times New Roman" w:hAnsi="Times New Roman"/>
                <w:b/>
                <w:bCs/>
                <w:color w:val="000000"/>
                <w:sz w:val="20"/>
              </w:rPr>
              <w:t>137</w:t>
            </w:r>
          </w:p>
        </w:tc>
        <w:tc>
          <w:tcPr>
            <w:tcW w:w="1418"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right"/>
              <w:rPr>
                <w:rFonts w:ascii="Times New Roman" w:eastAsia="Times New Roman" w:hAnsi="Times New Roman"/>
                <w:b/>
                <w:bCs/>
                <w:color w:val="000000"/>
                <w:sz w:val="20"/>
              </w:rPr>
            </w:pPr>
            <w:r w:rsidRPr="008E227D">
              <w:rPr>
                <w:rFonts w:ascii="Times New Roman" w:eastAsia="Times New Roman" w:hAnsi="Times New Roman"/>
                <w:b/>
                <w:bCs/>
                <w:color w:val="000000"/>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right"/>
              <w:rPr>
                <w:rFonts w:ascii="Times New Roman" w:eastAsia="Times New Roman" w:hAnsi="Times New Roman"/>
                <w:b/>
                <w:bCs/>
                <w:color w:val="000000"/>
                <w:sz w:val="20"/>
              </w:rPr>
            </w:pPr>
            <w:r w:rsidRPr="008E227D">
              <w:rPr>
                <w:rFonts w:ascii="Times New Roman" w:eastAsia="Times New Roman" w:hAnsi="Times New Roman"/>
                <w:b/>
                <w:bCs/>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right"/>
              <w:rPr>
                <w:rFonts w:ascii="Times New Roman" w:eastAsia="Times New Roman" w:hAnsi="Times New Roman"/>
                <w:b/>
                <w:bCs/>
                <w:color w:val="000000"/>
                <w:sz w:val="20"/>
              </w:rPr>
            </w:pPr>
            <w:r w:rsidRPr="008E227D">
              <w:rPr>
                <w:rFonts w:ascii="Times New Roman" w:eastAsia="Times New Roman" w:hAnsi="Times New Roman"/>
                <w:b/>
                <w:bCs/>
                <w:color w:val="000000"/>
                <w:sz w:val="20"/>
              </w:rPr>
              <w:t> </w:t>
            </w:r>
          </w:p>
        </w:tc>
        <w:tc>
          <w:tcPr>
            <w:tcW w:w="1417"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right"/>
              <w:rPr>
                <w:rFonts w:ascii="Times New Roman" w:eastAsia="Times New Roman" w:hAnsi="Times New Roman"/>
                <w:b/>
                <w:bCs/>
                <w:color w:val="000000"/>
                <w:sz w:val="20"/>
              </w:rPr>
            </w:pPr>
            <w:r w:rsidRPr="008E227D">
              <w:rPr>
                <w:rFonts w:ascii="Times New Roman" w:eastAsia="Times New Roman" w:hAnsi="Times New Roman"/>
                <w:b/>
                <w:bCs/>
                <w:color w:val="000000"/>
                <w:sz w:val="20"/>
              </w:rPr>
              <w:t> </w:t>
            </w:r>
          </w:p>
        </w:tc>
        <w:tc>
          <w:tcPr>
            <w:tcW w:w="1484" w:type="dxa"/>
            <w:tcBorders>
              <w:top w:val="nil"/>
              <w:left w:val="nil"/>
              <w:bottom w:val="single" w:sz="4" w:space="0" w:color="auto"/>
              <w:right w:val="single" w:sz="4" w:space="0" w:color="auto"/>
            </w:tcBorders>
            <w:shd w:val="clear" w:color="auto" w:fill="auto"/>
            <w:vAlign w:val="center"/>
            <w:hideMark/>
          </w:tcPr>
          <w:p w:rsidR="003F0AAF" w:rsidRPr="008E227D" w:rsidRDefault="003F0AAF" w:rsidP="00117D03">
            <w:pPr>
              <w:spacing w:after="0" w:line="240" w:lineRule="auto"/>
              <w:jc w:val="right"/>
              <w:rPr>
                <w:rFonts w:ascii="Times New Roman" w:eastAsia="Times New Roman" w:hAnsi="Times New Roman"/>
                <w:b/>
                <w:bCs/>
                <w:color w:val="000000"/>
                <w:sz w:val="20"/>
              </w:rPr>
            </w:pPr>
            <w:r w:rsidRPr="008E227D">
              <w:rPr>
                <w:rFonts w:ascii="Times New Roman" w:eastAsia="Times New Roman" w:hAnsi="Times New Roman"/>
                <w:b/>
                <w:bCs/>
                <w:color w:val="000000"/>
                <w:sz w:val="20"/>
              </w:rPr>
              <w:t>826 932 €</w:t>
            </w:r>
          </w:p>
        </w:tc>
      </w:tr>
    </w:tbl>
    <w:p w:rsidR="003F0AAF" w:rsidRPr="00F13655" w:rsidRDefault="003F0AAF" w:rsidP="003F0AAF">
      <w:pPr>
        <w:spacing w:after="0" w:line="240" w:lineRule="auto"/>
        <w:jc w:val="both"/>
        <w:rPr>
          <w:rFonts w:ascii="Times New Roman" w:hAnsi="Times New Roman"/>
          <w:sz w:val="10"/>
          <w:szCs w:val="10"/>
        </w:rPr>
      </w:pPr>
    </w:p>
    <w:p w:rsidR="003F0AAF" w:rsidRPr="008E227D" w:rsidRDefault="003F0AAF" w:rsidP="003F0AAF">
      <w:pPr>
        <w:spacing w:after="0" w:line="240" w:lineRule="auto"/>
        <w:jc w:val="both"/>
        <w:rPr>
          <w:rFonts w:ascii="Times New Roman" w:hAnsi="Times New Roman"/>
          <w:bCs/>
          <w:sz w:val="18"/>
        </w:rPr>
      </w:pPr>
      <w:r w:rsidRPr="008E227D">
        <w:rPr>
          <w:rFonts w:ascii="Times New Roman" w:hAnsi="Times New Roman"/>
          <w:sz w:val="18"/>
        </w:rPr>
        <w:t xml:space="preserve">* APS = </w:t>
      </w:r>
      <w:r w:rsidRPr="008E227D">
        <w:rPr>
          <w:rFonts w:ascii="Times New Roman" w:hAnsi="Times New Roman"/>
          <w:bCs/>
          <w:sz w:val="18"/>
        </w:rPr>
        <w:t>ambulantnej pohotovostnej služby</w:t>
      </w:r>
    </w:p>
    <w:p w:rsidR="003F0AAF" w:rsidRPr="008E227D" w:rsidRDefault="003F0AAF" w:rsidP="003F0AAF">
      <w:pPr>
        <w:spacing w:after="0" w:line="240" w:lineRule="auto"/>
        <w:jc w:val="both"/>
        <w:rPr>
          <w:rFonts w:ascii="Times New Roman" w:hAnsi="Times New Roman"/>
        </w:rPr>
      </w:pPr>
    </w:p>
    <w:p w:rsidR="003F0AAF" w:rsidRPr="008E227D" w:rsidRDefault="003F0AAF" w:rsidP="003F0AAF">
      <w:pPr>
        <w:spacing w:after="0" w:line="240" w:lineRule="auto"/>
        <w:jc w:val="both"/>
        <w:rPr>
          <w:rFonts w:ascii="Times New Roman" w:hAnsi="Times New Roman"/>
        </w:rPr>
      </w:pPr>
    </w:p>
    <w:p w:rsidR="003F0AAF" w:rsidRPr="008E227D" w:rsidRDefault="003F0AAF" w:rsidP="003F0AAF">
      <w:pPr>
        <w:spacing w:after="0" w:line="240" w:lineRule="auto"/>
        <w:jc w:val="both"/>
        <w:rPr>
          <w:rFonts w:ascii="Times New Roman" w:hAnsi="Times New Roman"/>
        </w:rPr>
      </w:pPr>
      <w:r w:rsidRPr="008E227D">
        <w:rPr>
          <w:rFonts w:ascii="Times New Roman" w:hAnsi="Times New Roman"/>
        </w:rPr>
        <w:t>Podľa skutočných úhrad z verejného zdravotného poistenia nad rámec paušálnej platby za rok 2019 vo</w:t>
      </w:r>
      <w:r w:rsidR="002D0197" w:rsidRPr="008E227D">
        <w:rPr>
          <w:rFonts w:ascii="Times New Roman" w:eastAsia="Times New Roman" w:hAnsi="Times New Roman"/>
          <w:color w:val="000000"/>
        </w:rPr>
        <w:t> </w:t>
      </w:r>
      <w:r w:rsidRPr="008E227D">
        <w:rPr>
          <w:rFonts w:ascii="Times New Roman" w:hAnsi="Times New Roman"/>
        </w:rPr>
        <w:t>väzbe na</w:t>
      </w:r>
      <w:r w:rsidRPr="008E227D">
        <w:rPr>
          <w:rFonts w:ascii="Times New Roman" w:eastAsia="Times New Roman" w:hAnsi="Times New Roman"/>
          <w:color w:val="000000"/>
        </w:rPr>
        <w:t> </w:t>
      </w:r>
      <w:r w:rsidRPr="008E227D">
        <w:rPr>
          <w:rFonts w:ascii="Times New Roman" w:hAnsi="Times New Roman"/>
        </w:rPr>
        <w:t>pôvodnú pevnú mesačnú paušálnu úhradu (9</w:t>
      </w:r>
      <w:r w:rsidRPr="008E227D">
        <w:rPr>
          <w:rFonts w:ascii="Times New Roman" w:hAnsi="Times New Roman"/>
          <w:bCs/>
        </w:rPr>
        <w:t> </w:t>
      </w:r>
      <w:r w:rsidRPr="008E227D">
        <w:rPr>
          <w:rFonts w:ascii="Times New Roman" w:hAnsi="Times New Roman"/>
        </w:rPr>
        <w:t xml:space="preserve">800 eur) </w:t>
      </w:r>
      <w:r w:rsidRPr="008E227D">
        <w:rPr>
          <w:rFonts w:ascii="Times New Roman" w:hAnsi="Times New Roman"/>
          <w:bCs/>
        </w:rPr>
        <w:t>možno predpokladať</w:t>
      </w:r>
      <w:r w:rsidRPr="008E227D">
        <w:rPr>
          <w:rFonts w:ascii="Times New Roman" w:hAnsi="Times New Roman"/>
        </w:rPr>
        <w:t xml:space="preserve"> pri zvýšení pevnej mesačnej paušálnej úhrady na ambulanciu pevnej </w:t>
      </w:r>
      <w:r w:rsidRPr="008E227D">
        <w:rPr>
          <w:rFonts w:ascii="Times New Roman" w:hAnsi="Times New Roman"/>
          <w:bCs/>
        </w:rPr>
        <w:t>ambulantnej pohotovostnej služby pokles celkovej úhrady za poskytnuté zdravotné výkony ambulanciami ambulantnej pohotovostnej služby nad</w:t>
      </w:r>
      <w:r w:rsidR="002D0197" w:rsidRPr="008E227D">
        <w:rPr>
          <w:rFonts w:ascii="Times New Roman" w:eastAsia="Times New Roman" w:hAnsi="Times New Roman"/>
          <w:color w:val="000000"/>
        </w:rPr>
        <w:t> </w:t>
      </w:r>
      <w:r w:rsidRPr="008E227D">
        <w:rPr>
          <w:rFonts w:ascii="Times New Roman" w:hAnsi="Times New Roman"/>
          <w:bCs/>
        </w:rPr>
        <w:t>rámec paušálnej platby v ročnej výške cca 184 tisíc eur</w:t>
      </w:r>
      <w:r w:rsidRPr="008E227D">
        <w:rPr>
          <w:rFonts w:ascii="Times New Roman" w:hAnsi="Times New Roman"/>
        </w:rPr>
        <w:t xml:space="preserve">. </w:t>
      </w:r>
      <w:r w:rsidRPr="008E227D">
        <w:rPr>
          <w:rFonts w:ascii="Times New Roman" w:hAnsi="Times New Roman"/>
          <w:lang w:eastAsia="en-US"/>
        </w:rPr>
        <w:t xml:space="preserve">Celkový ročný dopad navrhovaných zmien </w:t>
      </w:r>
      <w:r w:rsidRPr="008E227D">
        <w:rPr>
          <w:rFonts w:ascii="Times New Roman" w:hAnsi="Times New Roman"/>
          <w:lang w:eastAsia="en-US"/>
        </w:rPr>
        <w:lastRenderedPageBreak/>
        <w:t xml:space="preserve">segmentu </w:t>
      </w:r>
      <w:r w:rsidRPr="008E227D">
        <w:rPr>
          <w:rFonts w:ascii="Times New Roman" w:hAnsi="Times New Roman"/>
        </w:rPr>
        <w:t xml:space="preserve">ambulantnej pohotovostnej služby </w:t>
      </w:r>
      <w:r w:rsidRPr="008E227D">
        <w:rPr>
          <w:rFonts w:ascii="Times New Roman" w:hAnsi="Times New Roman"/>
          <w:lang w:eastAsia="en-US"/>
        </w:rPr>
        <w:t xml:space="preserve">v nadväznosti na uvedené </w:t>
      </w:r>
      <w:r w:rsidRPr="008E227D">
        <w:rPr>
          <w:rFonts w:ascii="Times New Roman" w:hAnsi="Times New Roman"/>
        </w:rPr>
        <w:t xml:space="preserve">sa predpokladá vo výške cca 643 tisíc eur (zníženie celkového dopadu zvýšenia paušálu o zníženie úhrady nad rámec paušálnej platby o 184 tisíc eur). </w:t>
      </w:r>
    </w:p>
    <w:p w:rsidR="003F0AAF" w:rsidRPr="008E227D" w:rsidRDefault="003F0AAF" w:rsidP="003F0AAF">
      <w:pPr>
        <w:spacing w:after="0" w:line="240" w:lineRule="auto"/>
        <w:jc w:val="both"/>
        <w:rPr>
          <w:rFonts w:ascii="Times New Roman" w:hAnsi="Times New Roman"/>
          <w:sz w:val="24"/>
          <w:szCs w:val="24"/>
        </w:rPr>
      </w:pPr>
    </w:p>
    <w:tbl>
      <w:tblPr>
        <w:tblW w:w="9108" w:type="dxa"/>
        <w:jc w:val="right"/>
        <w:tblCellMar>
          <w:left w:w="0" w:type="dxa"/>
          <w:right w:w="0" w:type="dxa"/>
        </w:tblCellMar>
        <w:tblLook w:val="04A0" w:firstRow="1" w:lastRow="0" w:firstColumn="1" w:lastColumn="0" w:noHBand="0" w:noVBand="1"/>
      </w:tblPr>
      <w:tblGrid>
        <w:gridCol w:w="2122"/>
        <w:gridCol w:w="992"/>
        <w:gridCol w:w="992"/>
        <w:gridCol w:w="1169"/>
        <w:gridCol w:w="1418"/>
        <w:gridCol w:w="2415"/>
      </w:tblGrid>
      <w:tr w:rsidR="003F0AAF" w:rsidRPr="008E227D" w:rsidTr="009C1C57">
        <w:trPr>
          <w:trHeight w:val="928"/>
          <w:jc w:val="right"/>
        </w:trPr>
        <w:tc>
          <w:tcPr>
            <w:tcW w:w="21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0AAF" w:rsidRPr="008E227D" w:rsidRDefault="003F0AAF" w:rsidP="00117D03">
            <w:pPr>
              <w:spacing w:after="0" w:line="240" w:lineRule="auto"/>
              <w:rPr>
                <w:rFonts w:ascii="Times New Roman" w:eastAsia="Times New Roman" w:hAnsi="Times New Roman"/>
                <w:color w:val="000000"/>
                <w:sz w:val="20"/>
              </w:rPr>
            </w:pPr>
            <w:r w:rsidRPr="008E227D">
              <w:rPr>
                <w:rFonts w:ascii="Times New Roman" w:eastAsia="Times New Roman" w:hAnsi="Times New Roman"/>
                <w:color w:val="000000"/>
                <w:sz w:val="20"/>
              </w:rPr>
              <w:t>na jednu ambulanciu pevnej APS</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F0AAF" w:rsidRPr="008E227D" w:rsidRDefault="003F0AAF" w:rsidP="00117D03">
            <w:pPr>
              <w:spacing w:after="0" w:line="240" w:lineRule="auto"/>
              <w:jc w:val="center"/>
              <w:rPr>
                <w:rFonts w:ascii="Times New Roman" w:eastAsia="Times New Roman" w:hAnsi="Times New Roman"/>
                <w:color w:val="000000"/>
                <w:sz w:val="20"/>
              </w:rPr>
            </w:pPr>
            <w:r w:rsidRPr="008E227D">
              <w:rPr>
                <w:rFonts w:ascii="Times New Roman" w:eastAsia="Times New Roman" w:hAnsi="Times New Roman"/>
                <w:color w:val="000000"/>
                <w:sz w:val="20"/>
              </w:rPr>
              <w:t>súčasnosť</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F0AAF" w:rsidRPr="008E227D" w:rsidRDefault="003F0AAF" w:rsidP="00117D03">
            <w:pPr>
              <w:spacing w:after="0" w:line="240" w:lineRule="auto"/>
              <w:jc w:val="center"/>
              <w:rPr>
                <w:rFonts w:ascii="Times New Roman" w:eastAsia="Times New Roman" w:hAnsi="Times New Roman"/>
                <w:color w:val="000000"/>
                <w:sz w:val="20"/>
              </w:rPr>
            </w:pPr>
            <w:r w:rsidRPr="008E227D">
              <w:rPr>
                <w:rFonts w:ascii="Times New Roman" w:eastAsia="Times New Roman" w:hAnsi="Times New Roman"/>
                <w:color w:val="000000"/>
                <w:sz w:val="20"/>
              </w:rPr>
              <w:t>návrh</w:t>
            </w:r>
          </w:p>
        </w:tc>
        <w:tc>
          <w:tcPr>
            <w:tcW w:w="116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F0AAF" w:rsidRPr="008E227D" w:rsidRDefault="003F0AAF" w:rsidP="00117D03">
            <w:pPr>
              <w:spacing w:after="0" w:line="240" w:lineRule="auto"/>
              <w:jc w:val="center"/>
              <w:rPr>
                <w:rFonts w:ascii="Times New Roman" w:eastAsia="Times New Roman" w:hAnsi="Times New Roman"/>
                <w:color w:val="000000"/>
                <w:sz w:val="20"/>
              </w:rPr>
            </w:pPr>
            <w:r w:rsidRPr="008E227D">
              <w:rPr>
                <w:rFonts w:ascii="Times New Roman" w:eastAsia="Times New Roman" w:hAnsi="Times New Roman"/>
                <w:color w:val="000000"/>
                <w:sz w:val="20"/>
              </w:rPr>
              <w:t>rozdiel</w:t>
            </w:r>
            <w:r w:rsidR="009C1C57">
              <w:rPr>
                <w:rFonts w:ascii="Times New Roman" w:eastAsia="Times New Roman" w:hAnsi="Times New Roman"/>
                <w:color w:val="000000"/>
                <w:sz w:val="20"/>
              </w:rPr>
              <w:t xml:space="preserve"> medzi návrhom a súčasnosťou</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F0AAF" w:rsidRPr="008E227D" w:rsidRDefault="003F0AAF" w:rsidP="00117D03">
            <w:pPr>
              <w:spacing w:after="0" w:line="240" w:lineRule="auto"/>
              <w:jc w:val="center"/>
              <w:rPr>
                <w:rFonts w:ascii="Times New Roman" w:eastAsia="Times New Roman" w:hAnsi="Times New Roman"/>
                <w:color w:val="000000"/>
                <w:sz w:val="20"/>
              </w:rPr>
            </w:pPr>
            <w:r w:rsidRPr="008E227D">
              <w:rPr>
                <w:rFonts w:ascii="Times New Roman" w:eastAsia="Times New Roman" w:hAnsi="Times New Roman"/>
                <w:color w:val="000000"/>
                <w:sz w:val="20"/>
              </w:rPr>
              <w:t>ročná zmena</w:t>
            </w:r>
          </w:p>
        </w:tc>
        <w:tc>
          <w:tcPr>
            <w:tcW w:w="241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F0AAF" w:rsidRPr="008E227D" w:rsidRDefault="003F0AAF" w:rsidP="00117D03">
            <w:pPr>
              <w:spacing w:after="0" w:line="240" w:lineRule="auto"/>
              <w:jc w:val="center"/>
              <w:rPr>
                <w:rFonts w:ascii="Times New Roman" w:eastAsia="Times New Roman" w:hAnsi="Times New Roman"/>
                <w:color w:val="000000"/>
                <w:sz w:val="20"/>
              </w:rPr>
            </w:pPr>
            <w:r w:rsidRPr="008E227D">
              <w:rPr>
                <w:rFonts w:ascii="Times New Roman" w:eastAsia="Times New Roman" w:hAnsi="Times New Roman"/>
                <w:color w:val="000000"/>
                <w:sz w:val="20"/>
              </w:rPr>
              <w:t>celkový ročný prepočet úhrad z verejného zdravotného poistenia na sieť APS</w:t>
            </w:r>
          </w:p>
        </w:tc>
      </w:tr>
      <w:tr w:rsidR="009C1C57" w:rsidRPr="008E227D" w:rsidTr="009C1C57">
        <w:trPr>
          <w:trHeight w:val="125"/>
          <w:jc w:val="right"/>
        </w:trPr>
        <w:tc>
          <w:tcPr>
            <w:tcW w:w="21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C1C57" w:rsidRPr="008E227D" w:rsidRDefault="009C1C57" w:rsidP="00117D03">
            <w:pPr>
              <w:spacing w:after="0" w:line="240" w:lineRule="auto"/>
              <w:rPr>
                <w:rFonts w:ascii="Times New Roman" w:eastAsia="Times New Roman" w:hAnsi="Times New Roman"/>
                <w:color w:val="000000"/>
                <w:sz w:val="20"/>
              </w:rPr>
            </w:pP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1C57" w:rsidRPr="008E227D" w:rsidRDefault="009C1C57" w:rsidP="00117D03">
            <w:pPr>
              <w:spacing w:after="0"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a</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1C57" w:rsidRPr="008E227D" w:rsidRDefault="009C1C57" w:rsidP="00117D03">
            <w:pPr>
              <w:spacing w:after="0"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b</w:t>
            </w:r>
          </w:p>
        </w:tc>
        <w:tc>
          <w:tcPr>
            <w:tcW w:w="116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1C57" w:rsidRPr="008E227D" w:rsidRDefault="009C1C57" w:rsidP="00117D03">
            <w:pPr>
              <w:spacing w:after="0"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c = b - a</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1C57" w:rsidRPr="008E227D" w:rsidRDefault="009C1C57" w:rsidP="00117D03">
            <w:pPr>
              <w:spacing w:after="0"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d = c * 12</w:t>
            </w:r>
          </w:p>
        </w:tc>
        <w:tc>
          <w:tcPr>
            <w:tcW w:w="241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1C57" w:rsidRPr="008E227D" w:rsidRDefault="009C1C57" w:rsidP="00117D03">
            <w:pPr>
              <w:spacing w:after="0" w:line="240" w:lineRule="auto"/>
              <w:jc w:val="center"/>
              <w:rPr>
                <w:rFonts w:ascii="Times New Roman" w:eastAsia="Times New Roman" w:hAnsi="Times New Roman"/>
                <w:color w:val="000000"/>
                <w:sz w:val="20"/>
              </w:rPr>
            </w:pPr>
            <w:r>
              <w:rPr>
                <w:rFonts w:ascii="Times New Roman" w:eastAsia="Times New Roman" w:hAnsi="Times New Roman"/>
                <w:color w:val="000000"/>
                <w:sz w:val="20"/>
              </w:rPr>
              <w:t>e = d * 137</w:t>
            </w:r>
          </w:p>
        </w:tc>
      </w:tr>
      <w:tr w:rsidR="003F0AAF" w:rsidRPr="008E227D" w:rsidTr="009C1C57">
        <w:tblPrEx>
          <w:tblCellMar>
            <w:left w:w="70" w:type="dxa"/>
            <w:right w:w="70" w:type="dxa"/>
          </w:tblCellMar>
        </w:tblPrEx>
        <w:trPr>
          <w:trHeight w:val="300"/>
          <w:jc w:val="right"/>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3F0AAF" w:rsidRPr="008E227D" w:rsidRDefault="003F0AAF" w:rsidP="00117D03">
            <w:pPr>
              <w:spacing w:after="0" w:line="240" w:lineRule="auto"/>
              <w:rPr>
                <w:rFonts w:ascii="Times New Roman" w:eastAsia="Times New Roman" w:hAnsi="Times New Roman"/>
                <w:color w:val="000000"/>
                <w:sz w:val="20"/>
              </w:rPr>
            </w:pPr>
            <w:r w:rsidRPr="008E227D">
              <w:rPr>
                <w:rFonts w:ascii="Times New Roman" w:eastAsia="Times New Roman" w:hAnsi="Times New Roman"/>
                <w:color w:val="000000"/>
                <w:sz w:val="20"/>
              </w:rPr>
              <w:t xml:space="preserve">mesačná paušálna úhrada </w:t>
            </w:r>
          </w:p>
        </w:tc>
        <w:tc>
          <w:tcPr>
            <w:tcW w:w="992" w:type="dxa"/>
            <w:tcBorders>
              <w:top w:val="nil"/>
              <w:left w:val="nil"/>
              <w:bottom w:val="single" w:sz="4" w:space="0" w:color="auto"/>
              <w:right w:val="single" w:sz="4" w:space="0" w:color="auto"/>
            </w:tcBorders>
            <w:shd w:val="clear" w:color="auto" w:fill="auto"/>
            <w:noWrap/>
            <w:vAlign w:val="bottom"/>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000000"/>
                <w:sz w:val="20"/>
              </w:rPr>
              <w:t xml:space="preserve">9 800  </w:t>
            </w:r>
          </w:p>
        </w:tc>
        <w:tc>
          <w:tcPr>
            <w:tcW w:w="992" w:type="dxa"/>
            <w:tcBorders>
              <w:top w:val="nil"/>
              <w:left w:val="nil"/>
              <w:bottom w:val="single" w:sz="4" w:space="0" w:color="auto"/>
              <w:right w:val="single" w:sz="4" w:space="0" w:color="auto"/>
            </w:tcBorders>
            <w:shd w:val="clear" w:color="auto" w:fill="auto"/>
            <w:noWrap/>
            <w:vAlign w:val="bottom"/>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000000"/>
                <w:sz w:val="20"/>
              </w:rPr>
              <w:t xml:space="preserve">10 303  </w:t>
            </w:r>
          </w:p>
        </w:tc>
        <w:tc>
          <w:tcPr>
            <w:tcW w:w="1169" w:type="dxa"/>
            <w:tcBorders>
              <w:top w:val="nil"/>
              <w:left w:val="nil"/>
              <w:bottom w:val="single" w:sz="4" w:space="0" w:color="auto"/>
              <w:right w:val="single" w:sz="4" w:space="0" w:color="auto"/>
            </w:tcBorders>
            <w:shd w:val="clear" w:color="auto" w:fill="auto"/>
            <w:noWrap/>
            <w:vAlign w:val="bottom"/>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000000"/>
                <w:sz w:val="20"/>
              </w:rPr>
              <w:t xml:space="preserve">503  </w:t>
            </w:r>
          </w:p>
        </w:tc>
        <w:tc>
          <w:tcPr>
            <w:tcW w:w="1418" w:type="dxa"/>
            <w:tcBorders>
              <w:top w:val="nil"/>
              <w:left w:val="nil"/>
              <w:bottom w:val="single" w:sz="4" w:space="0" w:color="auto"/>
              <w:right w:val="single" w:sz="4" w:space="0" w:color="auto"/>
            </w:tcBorders>
            <w:shd w:val="clear" w:color="auto" w:fill="auto"/>
            <w:noWrap/>
            <w:vAlign w:val="bottom"/>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000000"/>
                <w:sz w:val="20"/>
              </w:rPr>
              <w:t xml:space="preserve">6 036 </w:t>
            </w:r>
          </w:p>
        </w:tc>
        <w:tc>
          <w:tcPr>
            <w:tcW w:w="2415" w:type="dxa"/>
            <w:tcBorders>
              <w:top w:val="nil"/>
              <w:left w:val="nil"/>
              <w:bottom w:val="single" w:sz="4" w:space="0" w:color="auto"/>
              <w:right w:val="single" w:sz="4" w:space="0" w:color="auto"/>
            </w:tcBorders>
            <w:shd w:val="clear" w:color="auto" w:fill="auto"/>
            <w:noWrap/>
            <w:vAlign w:val="bottom"/>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000000"/>
                <w:sz w:val="20"/>
              </w:rPr>
              <w:t xml:space="preserve">826 932 </w:t>
            </w:r>
          </w:p>
        </w:tc>
      </w:tr>
      <w:tr w:rsidR="003F0AAF" w:rsidRPr="008E227D" w:rsidTr="009C1C57">
        <w:tblPrEx>
          <w:tblCellMar>
            <w:left w:w="70" w:type="dxa"/>
            <w:right w:w="70" w:type="dxa"/>
          </w:tblCellMar>
        </w:tblPrEx>
        <w:trPr>
          <w:trHeight w:val="300"/>
          <w:jc w:val="right"/>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3F0AAF" w:rsidRPr="008E227D" w:rsidRDefault="003F0AAF" w:rsidP="00117D03">
            <w:pPr>
              <w:spacing w:after="0" w:line="240" w:lineRule="auto"/>
              <w:rPr>
                <w:rFonts w:ascii="Times New Roman" w:eastAsia="Times New Roman" w:hAnsi="Times New Roman"/>
                <w:color w:val="000000"/>
                <w:sz w:val="20"/>
              </w:rPr>
            </w:pPr>
            <w:r w:rsidRPr="008E227D">
              <w:rPr>
                <w:rFonts w:ascii="Times New Roman" w:eastAsia="Times New Roman" w:hAnsi="Times New Roman"/>
                <w:color w:val="000000"/>
                <w:sz w:val="20"/>
              </w:rPr>
              <w:t>priemerná mesačná úhrada nad rámec paušálu</w:t>
            </w:r>
          </w:p>
        </w:tc>
        <w:tc>
          <w:tcPr>
            <w:tcW w:w="992" w:type="dxa"/>
            <w:tcBorders>
              <w:top w:val="nil"/>
              <w:left w:val="nil"/>
              <w:bottom w:val="single" w:sz="4" w:space="0" w:color="auto"/>
              <w:right w:val="single" w:sz="4" w:space="0" w:color="auto"/>
            </w:tcBorders>
            <w:shd w:val="clear" w:color="auto" w:fill="auto"/>
            <w:noWrap/>
            <w:vAlign w:val="bottom"/>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000000"/>
                <w:sz w:val="20"/>
              </w:rPr>
              <w:t>699</w:t>
            </w:r>
            <w:r w:rsidR="009C1C57" w:rsidRPr="009C1C57">
              <w:rPr>
                <w:rFonts w:ascii="Times New Roman" w:eastAsia="Times New Roman" w:hAnsi="Times New Roman"/>
                <w:color w:val="000000"/>
                <w:sz w:val="18"/>
              </w:rPr>
              <w:t>*</w:t>
            </w:r>
            <w:r w:rsidRPr="008E227D">
              <w:rPr>
                <w:rFonts w:ascii="Times New Roman" w:eastAsia="Times New Roman" w:hAnsi="Times New Roman"/>
                <w:color w:val="00000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000000"/>
                <w:sz w:val="20"/>
              </w:rPr>
              <w:t>587</w:t>
            </w:r>
            <w:r w:rsidR="009C1C57" w:rsidRPr="009C1C57">
              <w:rPr>
                <w:rFonts w:ascii="Times New Roman" w:eastAsia="Times New Roman" w:hAnsi="Times New Roman"/>
                <w:color w:val="000000"/>
                <w:sz w:val="18"/>
              </w:rPr>
              <w:t>*</w:t>
            </w:r>
            <w:r w:rsidR="009C1C57">
              <w:rPr>
                <w:rFonts w:ascii="Times New Roman" w:eastAsia="Times New Roman" w:hAnsi="Times New Roman"/>
                <w:color w:val="000000"/>
                <w:sz w:val="18"/>
              </w:rPr>
              <w:t>*</w:t>
            </w:r>
            <w:r w:rsidRPr="009C1C57">
              <w:rPr>
                <w:rFonts w:ascii="Times New Roman" w:eastAsia="Times New Roman" w:hAnsi="Times New Roman"/>
                <w:color w:val="000000"/>
                <w:sz w:val="18"/>
              </w:rPr>
              <w:t xml:space="preserve"> </w:t>
            </w:r>
          </w:p>
        </w:tc>
        <w:tc>
          <w:tcPr>
            <w:tcW w:w="1169" w:type="dxa"/>
            <w:tcBorders>
              <w:top w:val="nil"/>
              <w:left w:val="nil"/>
              <w:bottom w:val="single" w:sz="4" w:space="0" w:color="auto"/>
              <w:right w:val="single" w:sz="4" w:space="0" w:color="auto"/>
            </w:tcBorders>
            <w:shd w:val="clear" w:color="auto" w:fill="auto"/>
            <w:noWrap/>
            <w:vAlign w:val="bottom"/>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FF0000"/>
                <w:sz w:val="20"/>
              </w:rPr>
              <w:t xml:space="preserve">-112 </w:t>
            </w:r>
          </w:p>
        </w:tc>
        <w:tc>
          <w:tcPr>
            <w:tcW w:w="1418" w:type="dxa"/>
            <w:tcBorders>
              <w:top w:val="nil"/>
              <w:left w:val="nil"/>
              <w:bottom w:val="single" w:sz="4" w:space="0" w:color="auto"/>
              <w:right w:val="single" w:sz="4" w:space="0" w:color="auto"/>
            </w:tcBorders>
            <w:shd w:val="clear" w:color="auto" w:fill="auto"/>
            <w:noWrap/>
            <w:vAlign w:val="bottom"/>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FF0000"/>
                <w:sz w:val="20"/>
              </w:rPr>
              <w:t xml:space="preserve">-1 344  </w:t>
            </w:r>
          </w:p>
        </w:tc>
        <w:tc>
          <w:tcPr>
            <w:tcW w:w="2415" w:type="dxa"/>
            <w:tcBorders>
              <w:top w:val="nil"/>
              <w:left w:val="nil"/>
              <w:bottom w:val="single" w:sz="4" w:space="0" w:color="auto"/>
              <w:right w:val="single" w:sz="4" w:space="0" w:color="auto"/>
            </w:tcBorders>
            <w:shd w:val="clear" w:color="auto" w:fill="auto"/>
            <w:noWrap/>
            <w:vAlign w:val="bottom"/>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FF0000"/>
                <w:sz w:val="20"/>
              </w:rPr>
              <w:t xml:space="preserve">-184 128  </w:t>
            </w:r>
          </w:p>
        </w:tc>
      </w:tr>
      <w:tr w:rsidR="003F0AAF" w:rsidRPr="008E227D" w:rsidTr="009C1C57">
        <w:tblPrEx>
          <w:tblCellMar>
            <w:left w:w="70" w:type="dxa"/>
            <w:right w:w="70" w:type="dxa"/>
          </w:tblCellMar>
        </w:tblPrEx>
        <w:trPr>
          <w:trHeight w:val="300"/>
          <w:jc w:val="right"/>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3F0AAF" w:rsidRPr="008E227D" w:rsidRDefault="003F0AAF" w:rsidP="00117D03">
            <w:pPr>
              <w:spacing w:after="0" w:line="240" w:lineRule="auto"/>
              <w:rPr>
                <w:rFonts w:ascii="Times New Roman" w:eastAsia="Times New Roman" w:hAnsi="Times New Roman"/>
                <w:color w:val="000000"/>
                <w:sz w:val="20"/>
              </w:rPr>
            </w:pPr>
            <w:r w:rsidRPr="008E227D">
              <w:rPr>
                <w:rFonts w:ascii="Times New Roman" w:eastAsia="Times New Roman" w:hAnsi="Times New Roman"/>
                <w:color w:val="000000"/>
                <w:sz w:val="20"/>
              </w:rPr>
              <w:t>spolu</w:t>
            </w:r>
          </w:p>
        </w:tc>
        <w:tc>
          <w:tcPr>
            <w:tcW w:w="992" w:type="dxa"/>
            <w:tcBorders>
              <w:top w:val="nil"/>
              <w:left w:val="nil"/>
              <w:bottom w:val="nil"/>
              <w:right w:val="nil"/>
            </w:tcBorders>
            <w:shd w:val="clear" w:color="auto" w:fill="auto"/>
            <w:noWrap/>
            <w:vAlign w:val="bottom"/>
            <w:hideMark/>
          </w:tcPr>
          <w:p w:rsidR="003F0AAF" w:rsidRPr="008E227D" w:rsidRDefault="003F0AAF" w:rsidP="00117D03">
            <w:pPr>
              <w:spacing w:after="0" w:line="240" w:lineRule="auto"/>
              <w:rPr>
                <w:rFonts w:ascii="Times New Roman" w:eastAsia="Times New Roman" w:hAnsi="Times New Roman"/>
                <w:color w:val="000000"/>
                <w:sz w:val="20"/>
              </w:rPr>
            </w:pPr>
          </w:p>
        </w:tc>
        <w:tc>
          <w:tcPr>
            <w:tcW w:w="992" w:type="dxa"/>
            <w:tcBorders>
              <w:top w:val="nil"/>
              <w:left w:val="nil"/>
              <w:bottom w:val="nil"/>
              <w:right w:val="nil"/>
            </w:tcBorders>
            <w:shd w:val="clear" w:color="auto" w:fill="auto"/>
            <w:noWrap/>
            <w:vAlign w:val="bottom"/>
            <w:hideMark/>
          </w:tcPr>
          <w:p w:rsidR="003F0AAF" w:rsidRPr="008E227D" w:rsidRDefault="003F0AAF" w:rsidP="00117D03">
            <w:pPr>
              <w:spacing w:after="0" w:line="240" w:lineRule="auto"/>
              <w:rPr>
                <w:rFonts w:ascii="Times New Roman" w:eastAsia="Times New Roman" w:hAnsi="Times New Roman"/>
                <w:sz w:val="20"/>
              </w:rPr>
            </w:pPr>
          </w:p>
        </w:tc>
        <w:tc>
          <w:tcPr>
            <w:tcW w:w="1169" w:type="dxa"/>
            <w:tcBorders>
              <w:top w:val="nil"/>
              <w:left w:val="nil"/>
              <w:bottom w:val="nil"/>
              <w:right w:val="nil"/>
            </w:tcBorders>
            <w:shd w:val="clear" w:color="auto" w:fill="auto"/>
            <w:noWrap/>
            <w:vAlign w:val="bottom"/>
            <w:hideMark/>
          </w:tcPr>
          <w:p w:rsidR="003F0AAF" w:rsidRPr="008E227D" w:rsidRDefault="003F0AAF" w:rsidP="00117D03">
            <w:pPr>
              <w:spacing w:after="0" w:line="240" w:lineRule="auto"/>
              <w:rPr>
                <w:rFonts w:ascii="Times New Roman" w:eastAsia="Times New Roman" w:hAnsi="Times New Roman"/>
                <w:sz w:val="20"/>
              </w:rPr>
            </w:pPr>
          </w:p>
        </w:tc>
        <w:tc>
          <w:tcPr>
            <w:tcW w:w="1418" w:type="dxa"/>
            <w:tcBorders>
              <w:top w:val="nil"/>
              <w:left w:val="nil"/>
              <w:bottom w:val="nil"/>
              <w:right w:val="nil"/>
            </w:tcBorders>
            <w:shd w:val="clear" w:color="auto" w:fill="auto"/>
            <w:noWrap/>
            <w:vAlign w:val="bottom"/>
            <w:hideMark/>
          </w:tcPr>
          <w:p w:rsidR="003F0AAF" w:rsidRPr="008E227D" w:rsidRDefault="003F0AAF" w:rsidP="00117D03">
            <w:pPr>
              <w:spacing w:after="0" w:line="240" w:lineRule="auto"/>
              <w:rPr>
                <w:rFonts w:ascii="Times New Roman" w:eastAsia="Times New Roman" w:hAnsi="Times New Roman"/>
                <w:sz w:val="20"/>
              </w:rPr>
            </w:pPr>
          </w:p>
        </w:tc>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3F0AAF" w:rsidRPr="008E227D" w:rsidRDefault="003F0AAF" w:rsidP="00117D03">
            <w:pPr>
              <w:spacing w:after="0" w:line="240" w:lineRule="auto"/>
              <w:jc w:val="right"/>
              <w:rPr>
                <w:rFonts w:ascii="Times New Roman" w:eastAsia="Times New Roman" w:hAnsi="Times New Roman"/>
                <w:color w:val="000000"/>
                <w:sz w:val="20"/>
              </w:rPr>
            </w:pPr>
            <w:r w:rsidRPr="008E227D">
              <w:rPr>
                <w:rFonts w:ascii="Times New Roman" w:eastAsia="Times New Roman" w:hAnsi="Times New Roman"/>
                <w:color w:val="000000"/>
                <w:sz w:val="20"/>
              </w:rPr>
              <w:t xml:space="preserve">642 804  </w:t>
            </w:r>
          </w:p>
        </w:tc>
      </w:tr>
    </w:tbl>
    <w:p w:rsidR="00F13655" w:rsidRPr="00F13655" w:rsidRDefault="00F13655" w:rsidP="003F0AAF">
      <w:pPr>
        <w:spacing w:after="0" w:line="240" w:lineRule="auto"/>
        <w:jc w:val="both"/>
        <w:rPr>
          <w:rFonts w:ascii="Times New Roman" w:hAnsi="Times New Roman"/>
          <w:sz w:val="10"/>
          <w:szCs w:val="10"/>
        </w:rPr>
      </w:pPr>
    </w:p>
    <w:p w:rsidR="003F0AAF" w:rsidRDefault="009C1C57" w:rsidP="003F0AAF">
      <w:pPr>
        <w:spacing w:after="0" w:line="240" w:lineRule="auto"/>
        <w:jc w:val="both"/>
        <w:rPr>
          <w:rFonts w:ascii="Times New Roman" w:hAnsi="Times New Roman"/>
          <w:sz w:val="18"/>
          <w:szCs w:val="18"/>
        </w:rPr>
      </w:pPr>
      <w:r w:rsidRPr="009C1C57">
        <w:rPr>
          <w:rFonts w:ascii="Times New Roman" w:hAnsi="Times New Roman"/>
          <w:sz w:val="18"/>
          <w:szCs w:val="18"/>
        </w:rPr>
        <w:t>* podľa údajov zo zdravotných poisťovní</w:t>
      </w:r>
      <w:r w:rsidR="00743872">
        <w:rPr>
          <w:rFonts w:ascii="Times New Roman" w:hAnsi="Times New Roman"/>
          <w:sz w:val="18"/>
          <w:szCs w:val="18"/>
        </w:rPr>
        <w:t xml:space="preserve"> za rok 2019</w:t>
      </w:r>
    </w:p>
    <w:p w:rsidR="009C1C57" w:rsidRDefault="009C1C57" w:rsidP="003F0AAF">
      <w:pPr>
        <w:spacing w:after="0" w:line="240" w:lineRule="auto"/>
        <w:jc w:val="both"/>
        <w:rPr>
          <w:rFonts w:ascii="Times New Roman" w:hAnsi="Times New Roman"/>
          <w:sz w:val="18"/>
          <w:szCs w:val="18"/>
        </w:rPr>
      </w:pPr>
      <w:r>
        <w:rPr>
          <w:rFonts w:ascii="Times New Roman" w:hAnsi="Times New Roman"/>
          <w:sz w:val="18"/>
          <w:szCs w:val="18"/>
        </w:rPr>
        <w:t xml:space="preserve">** </w:t>
      </w:r>
      <w:r w:rsidR="00BC0A26" w:rsidRPr="00BC0A26">
        <w:rPr>
          <w:rFonts w:ascii="Times New Roman" w:hAnsi="Times New Roman"/>
          <w:sz w:val="18"/>
          <w:szCs w:val="18"/>
        </w:rPr>
        <w:t>predpoklad</w:t>
      </w:r>
      <w:r w:rsidR="00BC0A26">
        <w:rPr>
          <w:rFonts w:ascii="Times New Roman" w:hAnsi="Times New Roman"/>
          <w:sz w:val="18"/>
          <w:szCs w:val="18"/>
        </w:rPr>
        <w:t>aná</w:t>
      </w:r>
      <w:r w:rsidR="00BC0A26" w:rsidRPr="00BC0A26">
        <w:rPr>
          <w:rFonts w:ascii="Times New Roman" w:hAnsi="Times New Roman"/>
          <w:sz w:val="18"/>
          <w:szCs w:val="18"/>
        </w:rPr>
        <w:t xml:space="preserve"> priemern</w:t>
      </w:r>
      <w:r w:rsidR="00BC0A26">
        <w:rPr>
          <w:rFonts w:ascii="Times New Roman" w:hAnsi="Times New Roman"/>
          <w:sz w:val="18"/>
          <w:szCs w:val="18"/>
        </w:rPr>
        <w:t>á</w:t>
      </w:r>
      <w:r w:rsidR="00BC0A26" w:rsidRPr="00BC0A26">
        <w:rPr>
          <w:rFonts w:ascii="Times New Roman" w:hAnsi="Times New Roman"/>
          <w:sz w:val="18"/>
          <w:szCs w:val="18"/>
        </w:rPr>
        <w:t xml:space="preserve"> hodnot</w:t>
      </w:r>
      <w:r w:rsidR="00BC0A26">
        <w:rPr>
          <w:rFonts w:ascii="Times New Roman" w:hAnsi="Times New Roman"/>
          <w:sz w:val="18"/>
          <w:szCs w:val="18"/>
        </w:rPr>
        <w:t>a</w:t>
      </w:r>
      <w:r w:rsidR="00BC0A26" w:rsidRPr="00BC0A26">
        <w:rPr>
          <w:rFonts w:ascii="Times New Roman" w:hAnsi="Times New Roman"/>
          <w:sz w:val="18"/>
          <w:szCs w:val="18"/>
        </w:rPr>
        <w:t xml:space="preserve"> </w:t>
      </w:r>
      <w:r w:rsidR="00BC0A26">
        <w:rPr>
          <w:rFonts w:ascii="Times New Roman" w:hAnsi="Times New Roman"/>
          <w:sz w:val="18"/>
          <w:szCs w:val="18"/>
        </w:rPr>
        <w:t xml:space="preserve">pri </w:t>
      </w:r>
      <w:r w:rsidR="00BC0A26" w:rsidRPr="00BC0A26">
        <w:rPr>
          <w:rFonts w:ascii="Times New Roman" w:hAnsi="Times New Roman"/>
          <w:sz w:val="18"/>
          <w:szCs w:val="18"/>
        </w:rPr>
        <w:t>navrhovanej úrovni paušálu</w:t>
      </w:r>
      <w:r w:rsidR="00743872">
        <w:rPr>
          <w:rFonts w:ascii="Times New Roman" w:hAnsi="Times New Roman"/>
          <w:sz w:val="18"/>
          <w:szCs w:val="18"/>
        </w:rPr>
        <w:t xml:space="preserve"> </w:t>
      </w:r>
      <w:r w:rsidR="00BC0A26" w:rsidRPr="00BC0A26">
        <w:rPr>
          <w:rFonts w:ascii="Times New Roman" w:hAnsi="Times New Roman"/>
          <w:sz w:val="18"/>
          <w:szCs w:val="18"/>
        </w:rPr>
        <w:t xml:space="preserve">pri </w:t>
      </w:r>
      <w:r w:rsidR="00511C47">
        <w:rPr>
          <w:rFonts w:ascii="Times New Roman" w:hAnsi="Times New Roman"/>
          <w:sz w:val="18"/>
          <w:szCs w:val="18"/>
        </w:rPr>
        <w:t xml:space="preserve">zohľadnení </w:t>
      </w:r>
      <w:r w:rsidR="00BC0A26" w:rsidRPr="00BC0A26">
        <w:rPr>
          <w:rFonts w:ascii="Times New Roman" w:hAnsi="Times New Roman"/>
          <w:sz w:val="18"/>
          <w:szCs w:val="18"/>
        </w:rPr>
        <w:t>zachovan</w:t>
      </w:r>
      <w:r w:rsidR="00511C47">
        <w:rPr>
          <w:rFonts w:ascii="Times New Roman" w:hAnsi="Times New Roman"/>
          <w:sz w:val="18"/>
          <w:szCs w:val="18"/>
        </w:rPr>
        <w:t>ia</w:t>
      </w:r>
      <w:r w:rsidR="00BC0A26" w:rsidRPr="00BC0A26">
        <w:rPr>
          <w:rFonts w:ascii="Times New Roman" w:hAnsi="Times New Roman"/>
          <w:sz w:val="18"/>
          <w:szCs w:val="18"/>
        </w:rPr>
        <w:t xml:space="preserve"> podmien</w:t>
      </w:r>
      <w:r w:rsidR="00511C47">
        <w:rPr>
          <w:rFonts w:ascii="Times New Roman" w:hAnsi="Times New Roman"/>
          <w:sz w:val="18"/>
          <w:szCs w:val="18"/>
        </w:rPr>
        <w:t>o</w:t>
      </w:r>
      <w:r w:rsidR="00BC0A26" w:rsidRPr="00BC0A26">
        <w:rPr>
          <w:rFonts w:ascii="Times New Roman" w:hAnsi="Times New Roman"/>
          <w:sz w:val="18"/>
          <w:szCs w:val="18"/>
        </w:rPr>
        <w:t>k</w:t>
      </w:r>
      <w:r w:rsidR="00511C47">
        <w:rPr>
          <w:rFonts w:ascii="Times New Roman" w:hAnsi="Times New Roman"/>
          <w:sz w:val="18"/>
          <w:szCs w:val="18"/>
        </w:rPr>
        <w:t xml:space="preserve"> podľa roku 2019</w:t>
      </w:r>
      <w:bookmarkStart w:id="1" w:name="_GoBack"/>
      <w:bookmarkEnd w:id="1"/>
      <w:r w:rsidR="00BC0A26" w:rsidRPr="00BC0A26">
        <w:rPr>
          <w:rFonts w:ascii="Times New Roman" w:hAnsi="Times New Roman"/>
          <w:sz w:val="18"/>
          <w:szCs w:val="18"/>
        </w:rPr>
        <w:t xml:space="preserve"> v systéme ambulantnej pohotovostnej služby </w:t>
      </w:r>
    </w:p>
    <w:p w:rsidR="00BC0A26" w:rsidRDefault="00BC0A26" w:rsidP="003F0AAF">
      <w:pPr>
        <w:spacing w:after="0" w:line="240" w:lineRule="auto"/>
        <w:jc w:val="both"/>
        <w:rPr>
          <w:rFonts w:ascii="Times New Roman" w:hAnsi="Times New Roman"/>
          <w:sz w:val="18"/>
          <w:szCs w:val="18"/>
        </w:rPr>
      </w:pPr>
    </w:p>
    <w:p w:rsidR="00BC0A26" w:rsidRPr="008E227D" w:rsidRDefault="00BC0A26" w:rsidP="003F0AAF">
      <w:pPr>
        <w:spacing w:after="0" w:line="240" w:lineRule="auto"/>
        <w:jc w:val="both"/>
        <w:rPr>
          <w:rFonts w:ascii="Times New Roman" w:hAnsi="Times New Roman"/>
          <w:sz w:val="24"/>
          <w:szCs w:val="24"/>
        </w:rPr>
      </w:pPr>
    </w:p>
    <w:p w:rsidR="002D0197" w:rsidRPr="002D0197" w:rsidRDefault="002D0197" w:rsidP="002D0197">
      <w:pPr>
        <w:jc w:val="both"/>
        <w:rPr>
          <w:rFonts w:ascii="Times New Roman" w:hAnsi="Times New Roman"/>
        </w:rPr>
      </w:pPr>
      <w:r>
        <w:rPr>
          <w:rFonts w:ascii="Times New Roman" w:hAnsi="Times New Roman"/>
        </w:rPr>
        <w:t xml:space="preserve">V systéme </w:t>
      </w:r>
      <w:r w:rsidRPr="008E227D">
        <w:rPr>
          <w:rFonts w:ascii="Times New Roman" w:hAnsi="Times New Roman"/>
          <w:bCs/>
        </w:rPr>
        <w:t xml:space="preserve">ambulantnej pohotovostnej služby </w:t>
      </w:r>
      <w:r>
        <w:rPr>
          <w:rFonts w:ascii="Times New Roman" w:hAnsi="Times New Roman"/>
          <w:bCs/>
        </w:rPr>
        <w:t>je zavedený</w:t>
      </w:r>
      <w:r w:rsidRPr="002D0197">
        <w:rPr>
          <w:rFonts w:ascii="Times New Roman" w:hAnsi="Times New Roman"/>
        </w:rPr>
        <w:t xml:space="preserve"> pri úhradách z verejného zdravotn</w:t>
      </w:r>
      <w:r>
        <w:rPr>
          <w:rFonts w:ascii="Times New Roman" w:hAnsi="Times New Roman"/>
        </w:rPr>
        <w:t>ého poistenia tzv. „pretekanie“ to znamená, že</w:t>
      </w:r>
      <w:r w:rsidRPr="002D0197">
        <w:rPr>
          <w:rFonts w:ascii="Times New Roman" w:hAnsi="Times New Roman"/>
        </w:rPr>
        <w:t xml:space="preserve"> </w:t>
      </w:r>
      <w:r>
        <w:rPr>
          <w:rFonts w:ascii="Times New Roman" w:hAnsi="Times New Roman"/>
        </w:rPr>
        <w:t>č</w:t>
      </w:r>
      <w:r w:rsidRPr="002D0197">
        <w:rPr>
          <w:rFonts w:ascii="Times New Roman" w:hAnsi="Times New Roman"/>
        </w:rPr>
        <w:t xml:space="preserve">ím je vyššia </w:t>
      </w:r>
      <w:r>
        <w:rPr>
          <w:rFonts w:ascii="Times New Roman" w:hAnsi="Times New Roman"/>
        </w:rPr>
        <w:t>hodnota</w:t>
      </w:r>
      <w:r w:rsidRPr="002D0197">
        <w:rPr>
          <w:rFonts w:ascii="Times New Roman" w:hAnsi="Times New Roman"/>
        </w:rPr>
        <w:t xml:space="preserve"> paušálu, tým menej úhrad za zdravotné výkony „pretečie“ </w:t>
      </w:r>
      <w:r>
        <w:rPr>
          <w:rFonts w:ascii="Times New Roman" w:hAnsi="Times New Roman"/>
        </w:rPr>
        <w:t>po</w:t>
      </w:r>
      <w:r w:rsidRPr="002D0197">
        <w:rPr>
          <w:rFonts w:ascii="Times New Roman" w:hAnsi="Times New Roman"/>
        </w:rPr>
        <w:t>nad úroveň tohto paušálu.</w:t>
      </w:r>
      <w:r>
        <w:rPr>
          <w:rFonts w:ascii="Times New Roman" w:hAnsi="Times New Roman"/>
        </w:rPr>
        <w:t xml:space="preserve"> Ambulancii </w:t>
      </w:r>
      <w:r w:rsidRPr="008E227D">
        <w:rPr>
          <w:rFonts w:ascii="Times New Roman" w:hAnsi="Times New Roman"/>
          <w:bCs/>
        </w:rPr>
        <w:t>ambulantnej pohotovostnej služby</w:t>
      </w:r>
      <w:r>
        <w:rPr>
          <w:rFonts w:ascii="Times New Roman" w:hAnsi="Times New Roman"/>
          <w:bCs/>
        </w:rPr>
        <w:t xml:space="preserve"> patrí úhrada </w:t>
      </w:r>
      <w:r w:rsidRPr="002D0197">
        <w:rPr>
          <w:rFonts w:ascii="Times New Roman" w:hAnsi="Times New Roman"/>
        </w:rPr>
        <w:t>z verejného zdravotn</w:t>
      </w:r>
      <w:r>
        <w:rPr>
          <w:rFonts w:ascii="Times New Roman" w:hAnsi="Times New Roman"/>
        </w:rPr>
        <w:t>ého poistenia vo výške mesačného paušálu a úhrad za zdravotné výkony, ktoré „pretiekli“ nad hodnotu paušálu.</w:t>
      </w:r>
    </w:p>
    <w:p w:rsidR="002D0197" w:rsidRPr="002D0197" w:rsidRDefault="002D0197" w:rsidP="002D0197">
      <w:pPr>
        <w:jc w:val="both"/>
        <w:rPr>
          <w:rFonts w:ascii="Times New Roman" w:hAnsi="Times New Roman"/>
        </w:rPr>
      </w:pPr>
      <w:r w:rsidRPr="002D0197">
        <w:rPr>
          <w:rFonts w:ascii="Times New Roman" w:hAnsi="Times New Roman"/>
        </w:rPr>
        <w:t xml:space="preserve">V súčasnosti je stanovená mesačná paušálna úhrada na 1 ambulanciu pevnej </w:t>
      </w:r>
      <w:r w:rsidRPr="008E227D">
        <w:rPr>
          <w:rFonts w:ascii="Times New Roman" w:hAnsi="Times New Roman"/>
          <w:bCs/>
        </w:rPr>
        <w:t>ambulantnej pohotovostnej služby</w:t>
      </w:r>
      <w:r w:rsidRPr="002D0197">
        <w:rPr>
          <w:rFonts w:ascii="Times New Roman" w:hAnsi="Times New Roman"/>
        </w:rPr>
        <w:t xml:space="preserve"> vo výške 9 800€ a pri tejto hodnote paušálu je podľa údajov zo zdravotných poisťovní priemerná hodnota v položke mesačná úhrada nad rámec paušálu </w:t>
      </w:r>
      <w:r>
        <w:rPr>
          <w:rFonts w:ascii="Times New Roman" w:hAnsi="Times New Roman"/>
        </w:rPr>
        <w:t>na úrovni</w:t>
      </w:r>
      <w:r w:rsidRPr="002D0197">
        <w:rPr>
          <w:rFonts w:ascii="Times New Roman" w:hAnsi="Times New Roman"/>
        </w:rPr>
        <w:t xml:space="preserve"> 699€ na 1 ambulanciu pevnej </w:t>
      </w:r>
      <w:r w:rsidRPr="008E227D">
        <w:rPr>
          <w:rFonts w:ascii="Times New Roman" w:hAnsi="Times New Roman"/>
          <w:bCs/>
        </w:rPr>
        <w:t>ambulantnej pohotovostnej služby</w:t>
      </w:r>
      <w:r w:rsidRPr="002D0197">
        <w:rPr>
          <w:rFonts w:ascii="Times New Roman" w:hAnsi="Times New Roman"/>
        </w:rPr>
        <w:t>.</w:t>
      </w:r>
    </w:p>
    <w:p w:rsidR="003F0AAF" w:rsidRPr="002D0197" w:rsidRDefault="002D0197" w:rsidP="002D0197">
      <w:pPr>
        <w:spacing w:after="0" w:line="240" w:lineRule="auto"/>
        <w:jc w:val="both"/>
        <w:rPr>
          <w:rFonts w:ascii="Times New Roman" w:hAnsi="Times New Roman"/>
        </w:rPr>
      </w:pPr>
      <w:r w:rsidRPr="002D0197">
        <w:rPr>
          <w:rFonts w:ascii="Times New Roman" w:hAnsi="Times New Roman"/>
        </w:rPr>
        <w:t xml:space="preserve">Navrhuje sa zvýšiť stanovenú mesačnú paušálnu úhradu na 1 ambulanciu pevnej </w:t>
      </w:r>
      <w:r w:rsidRPr="008E227D">
        <w:rPr>
          <w:rFonts w:ascii="Times New Roman" w:hAnsi="Times New Roman"/>
          <w:bCs/>
        </w:rPr>
        <w:t>ambulantnej pohotovostnej služby</w:t>
      </w:r>
      <w:r w:rsidRPr="002D0197">
        <w:rPr>
          <w:rFonts w:ascii="Times New Roman" w:hAnsi="Times New Roman"/>
        </w:rPr>
        <w:t xml:space="preserve"> na hodnotu 10 303€</w:t>
      </w:r>
      <w:r w:rsidR="00511C47">
        <w:rPr>
          <w:rFonts w:ascii="Times New Roman" w:hAnsi="Times New Roman"/>
        </w:rPr>
        <w:t xml:space="preserve">. Pri </w:t>
      </w:r>
      <w:r w:rsidRPr="002D0197">
        <w:rPr>
          <w:rFonts w:ascii="Times New Roman" w:hAnsi="Times New Roman"/>
        </w:rPr>
        <w:t>navrhovanej úrovni paušálu a</w:t>
      </w:r>
      <w:r w:rsidR="00511C47">
        <w:rPr>
          <w:rFonts w:ascii="Times New Roman" w:hAnsi="Times New Roman"/>
        </w:rPr>
        <w:t xml:space="preserve"> za predpokladu </w:t>
      </w:r>
      <w:r w:rsidRPr="002D0197">
        <w:rPr>
          <w:rFonts w:ascii="Times New Roman" w:hAnsi="Times New Roman"/>
        </w:rPr>
        <w:t>zachovan</w:t>
      </w:r>
      <w:r w:rsidR="00511C47">
        <w:rPr>
          <w:rFonts w:ascii="Times New Roman" w:hAnsi="Times New Roman"/>
        </w:rPr>
        <w:t>ia</w:t>
      </w:r>
      <w:r w:rsidRPr="002D0197">
        <w:rPr>
          <w:rFonts w:ascii="Times New Roman" w:hAnsi="Times New Roman"/>
        </w:rPr>
        <w:t xml:space="preserve"> podmien</w:t>
      </w:r>
      <w:r w:rsidR="00511C47">
        <w:rPr>
          <w:rFonts w:ascii="Times New Roman" w:hAnsi="Times New Roman"/>
        </w:rPr>
        <w:t>o</w:t>
      </w:r>
      <w:r w:rsidRPr="002D0197">
        <w:rPr>
          <w:rFonts w:ascii="Times New Roman" w:hAnsi="Times New Roman"/>
        </w:rPr>
        <w:t xml:space="preserve">k v systéme </w:t>
      </w:r>
      <w:r w:rsidRPr="008E227D">
        <w:rPr>
          <w:rFonts w:ascii="Times New Roman" w:hAnsi="Times New Roman"/>
          <w:bCs/>
        </w:rPr>
        <w:t>ambulantnej pohotovostnej služby</w:t>
      </w:r>
      <w:r w:rsidRPr="002D0197">
        <w:rPr>
          <w:rFonts w:ascii="Times New Roman" w:hAnsi="Times New Roman"/>
        </w:rPr>
        <w:t xml:space="preserve"> predpokladáme priemernú hodnotu v položke mesačná úhrada nad rámec paušálu na úrovni 587€</w:t>
      </w:r>
      <w:r w:rsidR="006F1861" w:rsidRPr="006F1861">
        <w:rPr>
          <w:rFonts w:ascii="Times New Roman" w:hAnsi="Times New Roman"/>
        </w:rPr>
        <w:t xml:space="preserve"> </w:t>
      </w:r>
      <w:r w:rsidR="006F1861" w:rsidRPr="002D0197">
        <w:rPr>
          <w:rFonts w:ascii="Times New Roman" w:hAnsi="Times New Roman"/>
        </w:rPr>
        <w:t xml:space="preserve">na 1 ambulanciu pevnej </w:t>
      </w:r>
      <w:r w:rsidR="006F1861" w:rsidRPr="008E227D">
        <w:rPr>
          <w:rFonts w:ascii="Times New Roman" w:hAnsi="Times New Roman"/>
          <w:bCs/>
        </w:rPr>
        <w:t>ambulantnej pohotovostnej služby</w:t>
      </w:r>
      <w:r w:rsidRPr="002D0197">
        <w:rPr>
          <w:rFonts w:ascii="Times New Roman" w:hAnsi="Times New Roman"/>
        </w:rPr>
        <w:t>. To znamená, že pri navýšení mesačného paušálu o 503€</w:t>
      </w:r>
      <w:r w:rsidR="006F1861" w:rsidRPr="006F1861">
        <w:rPr>
          <w:rFonts w:ascii="Times New Roman" w:hAnsi="Times New Roman"/>
        </w:rPr>
        <w:t xml:space="preserve"> </w:t>
      </w:r>
      <w:r w:rsidR="006F1861" w:rsidRPr="002D0197">
        <w:rPr>
          <w:rFonts w:ascii="Times New Roman" w:hAnsi="Times New Roman"/>
        </w:rPr>
        <w:t xml:space="preserve">na 1 ambulanciu pevnej </w:t>
      </w:r>
      <w:r w:rsidR="006F1861" w:rsidRPr="008E227D">
        <w:rPr>
          <w:rFonts w:ascii="Times New Roman" w:hAnsi="Times New Roman"/>
          <w:bCs/>
        </w:rPr>
        <w:t>ambulantnej pohotovostnej služby</w:t>
      </w:r>
      <w:r w:rsidRPr="002D0197">
        <w:rPr>
          <w:rFonts w:ascii="Times New Roman" w:hAnsi="Times New Roman"/>
        </w:rPr>
        <w:t xml:space="preserve"> predpokladáme pokles mesačnej úhrady nad</w:t>
      </w:r>
      <w:r w:rsidR="006F1861" w:rsidRPr="002D0197">
        <w:rPr>
          <w:rFonts w:ascii="Times New Roman" w:hAnsi="Times New Roman"/>
        </w:rPr>
        <w:t> </w:t>
      </w:r>
      <w:r w:rsidRPr="002D0197">
        <w:rPr>
          <w:rFonts w:ascii="Times New Roman" w:hAnsi="Times New Roman"/>
        </w:rPr>
        <w:t>rámec paušálu o 112€</w:t>
      </w:r>
      <w:r w:rsidR="006F1861">
        <w:rPr>
          <w:rFonts w:ascii="Times New Roman" w:hAnsi="Times New Roman"/>
        </w:rPr>
        <w:t xml:space="preserve"> </w:t>
      </w:r>
      <w:r w:rsidR="006F1861" w:rsidRPr="002D0197">
        <w:rPr>
          <w:rFonts w:ascii="Times New Roman" w:hAnsi="Times New Roman"/>
        </w:rPr>
        <w:t xml:space="preserve">na 1 ambulanciu pevnej </w:t>
      </w:r>
      <w:r w:rsidR="006F1861" w:rsidRPr="008E227D">
        <w:rPr>
          <w:rFonts w:ascii="Times New Roman" w:hAnsi="Times New Roman"/>
          <w:bCs/>
        </w:rPr>
        <w:t>ambulantnej pohotovostnej služby</w:t>
      </w:r>
      <w:r w:rsidRPr="002D0197">
        <w:rPr>
          <w:rFonts w:ascii="Times New Roman" w:hAnsi="Times New Roman"/>
        </w:rPr>
        <w:t>.</w:t>
      </w:r>
    </w:p>
    <w:p w:rsidR="003F0AAF" w:rsidRPr="008E227D" w:rsidRDefault="003F0AAF" w:rsidP="003F0AAF">
      <w:pPr>
        <w:spacing w:after="0" w:line="240" w:lineRule="auto"/>
        <w:jc w:val="both"/>
        <w:rPr>
          <w:rFonts w:ascii="Times New Roman" w:hAnsi="Times New Roman"/>
          <w:sz w:val="24"/>
          <w:szCs w:val="24"/>
        </w:rPr>
      </w:pPr>
    </w:p>
    <w:p w:rsidR="003F0AAF" w:rsidRPr="008E227D" w:rsidRDefault="003F0AAF" w:rsidP="003F0AAF">
      <w:pPr>
        <w:tabs>
          <w:tab w:val="num" w:pos="1080"/>
        </w:tabs>
        <w:spacing w:after="0" w:line="240" w:lineRule="auto"/>
        <w:ind w:left="720"/>
        <w:rPr>
          <w:rFonts w:ascii="Times New Roman" w:hAnsi="Times New Roman"/>
          <w:bCs/>
        </w:rPr>
      </w:pPr>
    </w:p>
    <w:p w:rsidR="003F0AAF" w:rsidRPr="008E227D" w:rsidRDefault="003F0AAF" w:rsidP="003F0AAF">
      <w:pPr>
        <w:tabs>
          <w:tab w:val="num" w:pos="1080"/>
        </w:tabs>
        <w:spacing w:after="0" w:line="240" w:lineRule="auto"/>
        <w:ind w:left="720"/>
        <w:rPr>
          <w:rFonts w:ascii="Times New Roman" w:hAnsi="Times New Roman"/>
          <w:bCs/>
        </w:rPr>
        <w:sectPr w:rsidR="003F0AAF" w:rsidRPr="008E227D" w:rsidSect="000F304D">
          <w:pgSz w:w="11906" w:h="16838"/>
          <w:pgMar w:top="1417" w:right="1417" w:bottom="1276" w:left="1417" w:header="708" w:footer="708" w:gutter="0"/>
          <w:pgNumType w:start="1"/>
          <w:cols w:space="708"/>
          <w:titlePg/>
          <w:docGrid w:linePitch="360"/>
        </w:sectPr>
      </w:pPr>
    </w:p>
    <w:p w:rsidR="003F0AAF" w:rsidRPr="008E227D" w:rsidRDefault="003F0AAF" w:rsidP="003F0AAF">
      <w:pPr>
        <w:tabs>
          <w:tab w:val="num" w:pos="1080"/>
        </w:tabs>
        <w:spacing w:after="0" w:line="240" w:lineRule="auto"/>
        <w:jc w:val="right"/>
        <w:rPr>
          <w:rFonts w:ascii="Times New Roman" w:hAnsi="Times New Roman"/>
          <w:bCs/>
        </w:rPr>
      </w:pPr>
      <w:r w:rsidRPr="008E227D">
        <w:rPr>
          <w:rFonts w:ascii="Times New Roman" w:hAnsi="Times New Roman"/>
          <w:bCs/>
        </w:rPr>
        <w:lastRenderedPageBreak/>
        <w:t xml:space="preserve">Tabuľka č. 3 </w:t>
      </w:r>
    </w:p>
    <w:p w:rsidR="003F0AAF" w:rsidRPr="008E227D" w:rsidRDefault="003F0AAF" w:rsidP="003F0AAF">
      <w:pPr>
        <w:tabs>
          <w:tab w:val="num" w:pos="1080"/>
        </w:tabs>
        <w:spacing w:after="0" w:line="240" w:lineRule="auto"/>
        <w:jc w:val="both"/>
        <w:rPr>
          <w:rFonts w:ascii="Times New Roman" w:hAnsi="Times New Roman"/>
          <w:bCs/>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3F0AAF" w:rsidRPr="008E227D" w:rsidTr="00117D03">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poznámka</w:t>
            </w:r>
          </w:p>
        </w:tc>
      </w:tr>
      <w:tr w:rsidR="003F0AAF" w:rsidRPr="008E227D" w:rsidTr="00117D03">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3F0AAF" w:rsidRPr="008E227D" w:rsidRDefault="003F0AAF" w:rsidP="00117D03">
            <w:pPr>
              <w:spacing w:after="0" w:line="240" w:lineRule="auto"/>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2021</w:t>
            </w:r>
          </w:p>
        </w:tc>
        <w:tc>
          <w:tcPr>
            <w:tcW w:w="1500" w:type="dxa"/>
            <w:tcBorders>
              <w:top w:val="nil"/>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2022</w:t>
            </w:r>
          </w:p>
        </w:tc>
        <w:tc>
          <w:tcPr>
            <w:tcW w:w="1500" w:type="dxa"/>
            <w:tcBorders>
              <w:top w:val="nil"/>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2023</w:t>
            </w:r>
          </w:p>
        </w:tc>
        <w:tc>
          <w:tcPr>
            <w:tcW w:w="1500" w:type="dxa"/>
            <w:tcBorders>
              <w:top w:val="nil"/>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2024</w:t>
            </w:r>
          </w:p>
        </w:tc>
        <w:tc>
          <w:tcPr>
            <w:tcW w:w="3000" w:type="dxa"/>
            <w:vMerge/>
            <w:tcBorders>
              <w:top w:val="single" w:sz="4" w:space="0" w:color="auto"/>
              <w:left w:val="single" w:sz="4" w:space="0" w:color="auto"/>
              <w:bottom w:val="single" w:sz="4" w:space="0" w:color="auto"/>
              <w:right w:val="single" w:sz="4" w:space="0" w:color="auto"/>
            </w:tcBorders>
            <w:vAlign w:val="center"/>
          </w:tcPr>
          <w:p w:rsidR="003F0AAF" w:rsidRPr="008E227D" w:rsidRDefault="003F0AAF" w:rsidP="00117D03">
            <w:pPr>
              <w:spacing w:after="0" w:line="240" w:lineRule="auto"/>
              <w:rPr>
                <w:rFonts w:ascii="Times New Roman" w:hAnsi="Times New Roman"/>
                <w:b/>
                <w:bCs/>
                <w:color w:val="FFFFFF"/>
              </w:rPr>
            </w:pPr>
          </w:p>
        </w:tc>
      </w:tr>
      <w:tr w:rsidR="003F0AAF" w:rsidRPr="008E227D" w:rsidTr="00117D03">
        <w:trPr>
          <w:trHeight w:val="255"/>
        </w:trPr>
        <w:tc>
          <w:tcPr>
            <w:tcW w:w="4950" w:type="dxa"/>
            <w:tcBorders>
              <w:top w:val="nil"/>
              <w:left w:val="single" w:sz="4" w:space="0" w:color="auto"/>
              <w:bottom w:val="single" w:sz="4" w:space="0" w:color="auto"/>
              <w:right w:val="single" w:sz="4" w:space="0" w:color="auto"/>
            </w:tcBorders>
          </w:tcPr>
          <w:p w:rsidR="003F0AAF" w:rsidRPr="008E227D" w:rsidRDefault="003F0AAF" w:rsidP="00117D03">
            <w:pPr>
              <w:spacing w:after="0" w:line="240" w:lineRule="auto"/>
              <w:rPr>
                <w:rFonts w:ascii="Times New Roman" w:hAnsi="Times New Roman"/>
                <w:b/>
                <w:bCs/>
                <w:vertAlign w:val="superscript"/>
              </w:rPr>
            </w:pPr>
            <w:r w:rsidRPr="008E227D">
              <w:rPr>
                <w:rFonts w:ascii="Times New Roman" w:hAnsi="Times New Roman"/>
                <w:b/>
                <w:bCs/>
              </w:rPr>
              <w:t>Daňové príjmy (100)</w:t>
            </w:r>
            <w:r w:rsidRPr="008E227D">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rPr>
            </w:pPr>
            <w:r w:rsidRPr="008E227D">
              <w:rPr>
                <w:rFonts w:ascii="Times New Roman" w:hAnsi="Times New Roman"/>
              </w:rPr>
              <w:t> </w:t>
            </w:r>
          </w:p>
        </w:tc>
      </w:tr>
      <w:tr w:rsidR="003F0AAF" w:rsidRPr="008E227D" w:rsidTr="00117D03">
        <w:trPr>
          <w:trHeight w:val="255"/>
        </w:trPr>
        <w:tc>
          <w:tcPr>
            <w:tcW w:w="4950" w:type="dxa"/>
            <w:tcBorders>
              <w:top w:val="nil"/>
              <w:left w:val="single" w:sz="4" w:space="0" w:color="auto"/>
              <w:bottom w:val="single" w:sz="4" w:space="0" w:color="auto"/>
              <w:right w:val="single" w:sz="4" w:space="0" w:color="auto"/>
            </w:tcBorders>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Nedaňové príjmy (200)</w:t>
            </w:r>
            <w:r w:rsidRPr="008E227D">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rPr>
            </w:pPr>
            <w:r w:rsidRPr="008E227D">
              <w:rPr>
                <w:rFonts w:ascii="Times New Roman" w:hAnsi="Times New Roman"/>
              </w:rPr>
              <w:t> </w:t>
            </w:r>
          </w:p>
        </w:tc>
      </w:tr>
      <w:tr w:rsidR="003F0AAF" w:rsidRPr="008E227D" w:rsidTr="00117D03">
        <w:trPr>
          <w:trHeight w:val="255"/>
        </w:trPr>
        <w:tc>
          <w:tcPr>
            <w:tcW w:w="4950" w:type="dxa"/>
            <w:tcBorders>
              <w:top w:val="nil"/>
              <w:left w:val="single" w:sz="4" w:space="0" w:color="auto"/>
              <w:bottom w:val="single" w:sz="4" w:space="0" w:color="auto"/>
              <w:right w:val="single" w:sz="4" w:space="0" w:color="auto"/>
            </w:tcBorders>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Granty a transfery (300)</w:t>
            </w:r>
            <w:r w:rsidRPr="008E227D">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rPr>
            </w:pPr>
            <w:r w:rsidRPr="008E227D">
              <w:rPr>
                <w:rFonts w:ascii="Times New Roman" w:hAnsi="Times New Roman"/>
              </w:rPr>
              <w:t> </w:t>
            </w:r>
          </w:p>
        </w:tc>
      </w:tr>
      <w:tr w:rsidR="003F0AAF" w:rsidRPr="008E227D" w:rsidTr="00117D03">
        <w:trPr>
          <w:trHeight w:val="255"/>
        </w:trPr>
        <w:tc>
          <w:tcPr>
            <w:tcW w:w="4950" w:type="dxa"/>
            <w:tcBorders>
              <w:top w:val="nil"/>
              <w:left w:val="single" w:sz="4" w:space="0" w:color="auto"/>
              <w:bottom w:val="single" w:sz="4" w:space="0" w:color="auto"/>
              <w:right w:val="single" w:sz="4" w:space="0" w:color="auto"/>
            </w:tcBorders>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 </w:t>
            </w:r>
          </w:p>
        </w:tc>
        <w:tc>
          <w:tcPr>
            <w:tcW w:w="3000" w:type="dxa"/>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rPr>
            </w:pPr>
            <w:r w:rsidRPr="008E227D">
              <w:rPr>
                <w:rFonts w:ascii="Times New Roman" w:hAnsi="Times New Roman"/>
              </w:rPr>
              <w:t> </w:t>
            </w:r>
          </w:p>
        </w:tc>
      </w:tr>
      <w:tr w:rsidR="003F0AAF" w:rsidRPr="008E227D" w:rsidTr="00117D03">
        <w:trPr>
          <w:trHeight w:val="255"/>
        </w:trPr>
        <w:tc>
          <w:tcPr>
            <w:tcW w:w="4950" w:type="dxa"/>
            <w:tcBorders>
              <w:top w:val="nil"/>
              <w:left w:val="single" w:sz="4" w:space="0" w:color="auto"/>
              <w:bottom w:val="single" w:sz="4" w:space="0" w:color="auto"/>
              <w:right w:val="single" w:sz="4" w:space="0" w:color="auto"/>
            </w:tcBorders>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 </w:t>
            </w:r>
          </w:p>
        </w:tc>
        <w:tc>
          <w:tcPr>
            <w:tcW w:w="3000" w:type="dxa"/>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rPr>
            </w:pPr>
            <w:r w:rsidRPr="008E227D">
              <w:rPr>
                <w:rFonts w:ascii="Times New Roman" w:hAnsi="Times New Roman"/>
              </w:rPr>
              <w:t> </w:t>
            </w:r>
          </w:p>
        </w:tc>
      </w:tr>
      <w:tr w:rsidR="003F0AAF" w:rsidRPr="008E227D" w:rsidTr="00117D03">
        <w:trPr>
          <w:trHeight w:val="255"/>
        </w:trPr>
        <w:tc>
          <w:tcPr>
            <w:tcW w:w="4950" w:type="dxa"/>
            <w:tcBorders>
              <w:top w:val="nil"/>
              <w:left w:val="single" w:sz="4" w:space="0" w:color="auto"/>
              <w:bottom w:val="single" w:sz="4" w:space="0" w:color="auto"/>
              <w:right w:val="single" w:sz="4" w:space="0" w:color="auto"/>
            </w:tcBorders>
            <w:shd w:val="clear" w:color="auto" w:fill="BFBFBF"/>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Dopad na príjmy verejnej správy celkom</w:t>
            </w:r>
          </w:p>
        </w:tc>
        <w:tc>
          <w:tcPr>
            <w:tcW w:w="1500" w:type="dxa"/>
            <w:tcBorders>
              <w:top w:val="nil"/>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shd w:val="clear" w:color="auto" w:fill="BFBFBF"/>
            <w:noWrap/>
            <w:vAlign w:val="bottom"/>
          </w:tcPr>
          <w:p w:rsidR="003F0AAF" w:rsidRPr="008E227D" w:rsidRDefault="003F0AAF" w:rsidP="00117D03">
            <w:pPr>
              <w:spacing w:after="0" w:line="240" w:lineRule="auto"/>
              <w:rPr>
                <w:rFonts w:ascii="Times New Roman" w:hAnsi="Times New Roman"/>
              </w:rPr>
            </w:pPr>
            <w:r w:rsidRPr="008E227D">
              <w:rPr>
                <w:rFonts w:ascii="Times New Roman" w:hAnsi="Times New Roman"/>
              </w:rPr>
              <w:t> </w:t>
            </w:r>
          </w:p>
        </w:tc>
      </w:tr>
    </w:tbl>
    <w:p w:rsidR="003F0AAF" w:rsidRPr="008E227D" w:rsidRDefault="003F0AAF" w:rsidP="003F0AAF">
      <w:pPr>
        <w:tabs>
          <w:tab w:val="num" w:pos="1080"/>
        </w:tabs>
        <w:spacing w:after="0" w:line="240" w:lineRule="auto"/>
        <w:jc w:val="both"/>
        <w:rPr>
          <w:rFonts w:ascii="Times New Roman" w:hAnsi="Times New Roman"/>
          <w:bCs/>
        </w:rPr>
      </w:pPr>
      <w:r w:rsidRPr="008E227D">
        <w:rPr>
          <w:rFonts w:ascii="Times New Roman" w:hAnsi="Times New Roman"/>
          <w:bCs/>
        </w:rPr>
        <w:t>1 –  príjmy rozpísať až do položiek platnej ekonomickej klasifikácie</w:t>
      </w:r>
    </w:p>
    <w:p w:rsidR="003F0AAF" w:rsidRPr="008E227D" w:rsidRDefault="003F0AAF" w:rsidP="003F0AAF">
      <w:pPr>
        <w:tabs>
          <w:tab w:val="num" w:pos="1080"/>
        </w:tabs>
        <w:spacing w:after="0" w:line="240" w:lineRule="auto"/>
        <w:jc w:val="both"/>
        <w:rPr>
          <w:rFonts w:ascii="Times New Roman" w:hAnsi="Times New Roman"/>
          <w:bCs/>
        </w:rPr>
      </w:pPr>
    </w:p>
    <w:p w:rsidR="003F0AAF" w:rsidRPr="008E227D" w:rsidRDefault="003F0AAF" w:rsidP="003F0AAF">
      <w:pPr>
        <w:tabs>
          <w:tab w:val="num" w:pos="1080"/>
        </w:tabs>
        <w:spacing w:after="0" w:line="240" w:lineRule="auto"/>
        <w:jc w:val="both"/>
        <w:rPr>
          <w:rFonts w:ascii="Times New Roman" w:hAnsi="Times New Roman"/>
          <w:b/>
          <w:bCs/>
        </w:rPr>
      </w:pPr>
      <w:r w:rsidRPr="008E227D">
        <w:rPr>
          <w:rFonts w:ascii="Times New Roman" w:hAnsi="Times New Roman"/>
          <w:b/>
          <w:bCs/>
        </w:rPr>
        <w:t>Poznámka:</w:t>
      </w:r>
    </w:p>
    <w:p w:rsidR="003F0AAF" w:rsidRPr="008E227D" w:rsidRDefault="003F0AAF" w:rsidP="003F0AAF">
      <w:pPr>
        <w:tabs>
          <w:tab w:val="num" w:pos="1080"/>
        </w:tabs>
        <w:spacing w:after="0" w:line="240" w:lineRule="auto"/>
        <w:jc w:val="both"/>
        <w:rPr>
          <w:rFonts w:ascii="Times New Roman" w:hAnsi="Times New Roman"/>
          <w:bCs/>
        </w:rPr>
      </w:pPr>
      <w:r w:rsidRPr="008E227D">
        <w:rPr>
          <w:rFonts w:ascii="Times New Roman" w:hAnsi="Times New Roman"/>
          <w:bCs/>
        </w:rPr>
        <w:t>Ak sa vplyv týka viacerých subjektov verejnej správy, vypĺňa sa samostatná tabuľka za každý subjekt.</w:t>
      </w:r>
    </w:p>
    <w:p w:rsidR="003F0AAF" w:rsidRPr="008E227D" w:rsidRDefault="003F0AAF" w:rsidP="003F0AAF">
      <w:pPr>
        <w:tabs>
          <w:tab w:val="num" w:pos="1080"/>
        </w:tabs>
        <w:spacing w:after="0" w:line="240" w:lineRule="auto"/>
        <w:ind w:right="-578"/>
        <w:jc w:val="right"/>
        <w:rPr>
          <w:rFonts w:ascii="Times New Roman" w:hAnsi="Times New Roman"/>
          <w:bCs/>
        </w:rPr>
      </w:pPr>
    </w:p>
    <w:p w:rsidR="003F0AAF" w:rsidRPr="008E227D" w:rsidRDefault="003F0AAF" w:rsidP="003F0AAF">
      <w:pPr>
        <w:tabs>
          <w:tab w:val="num" w:pos="1080"/>
        </w:tabs>
        <w:spacing w:after="0" w:line="240" w:lineRule="auto"/>
        <w:ind w:right="-578"/>
        <w:jc w:val="right"/>
        <w:rPr>
          <w:rFonts w:ascii="Times New Roman" w:hAnsi="Times New Roman"/>
          <w:bCs/>
        </w:rPr>
      </w:pPr>
    </w:p>
    <w:p w:rsidR="003F0AAF" w:rsidRPr="008E227D" w:rsidRDefault="003F0AAF" w:rsidP="003F0AAF">
      <w:pPr>
        <w:tabs>
          <w:tab w:val="num" w:pos="1080"/>
        </w:tabs>
        <w:spacing w:after="0" w:line="240" w:lineRule="auto"/>
        <w:ind w:right="-578"/>
        <w:jc w:val="right"/>
        <w:rPr>
          <w:rFonts w:ascii="Times New Roman" w:hAnsi="Times New Roman"/>
          <w:bCs/>
        </w:rPr>
      </w:pPr>
    </w:p>
    <w:p w:rsidR="003F0AAF" w:rsidRPr="008E227D" w:rsidRDefault="003F0AAF" w:rsidP="003F0AAF">
      <w:pPr>
        <w:tabs>
          <w:tab w:val="num" w:pos="1080"/>
        </w:tabs>
        <w:spacing w:after="0" w:line="240" w:lineRule="auto"/>
        <w:ind w:right="-578"/>
        <w:jc w:val="right"/>
        <w:rPr>
          <w:rFonts w:ascii="Times New Roman" w:hAnsi="Times New Roman"/>
          <w:bCs/>
        </w:rPr>
      </w:pPr>
    </w:p>
    <w:p w:rsidR="003F0AAF" w:rsidRPr="008E227D" w:rsidRDefault="003F0AAF" w:rsidP="003F0AAF">
      <w:pPr>
        <w:tabs>
          <w:tab w:val="num" w:pos="1080"/>
        </w:tabs>
        <w:spacing w:after="0" w:line="240" w:lineRule="auto"/>
        <w:ind w:right="-578"/>
        <w:jc w:val="right"/>
        <w:rPr>
          <w:rFonts w:ascii="Times New Roman" w:hAnsi="Times New Roman"/>
          <w:bCs/>
        </w:rPr>
      </w:pPr>
    </w:p>
    <w:p w:rsidR="003F0AAF" w:rsidRPr="008E227D" w:rsidRDefault="003F0AAF" w:rsidP="003F0AAF">
      <w:pPr>
        <w:tabs>
          <w:tab w:val="num" w:pos="1080"/>
        </w:tabs>
        <w:spacing w:after="0" w:line="240" w:lineRule="auto"/>
        <w:ind w:right="-578"/>
        <w:jc w:val="right"/>
        <w:rPr>
          <w:rFonts w:ascii="Times New Roman" w:hAnsi="Times New Roman"/>
          <w:bCs/>
        </w:rPr>
      </w:pPr>
    </w:p>
    <w:p w:rsidR="003F0AAF" w:rsidRPr="008E227D" w:rsidRDefault="003F0AAF" w:rsidP="003F0AAF">
      <w:pPr>
        <w:tabs>
          <w:tab w:val="num" w:pos="1080"/>
        </w:tabs>
        <w:spacing w:after="0" w:line="240" w:lineRule="auto"/>
        <w:ind w:right="-578"/>
        <w:jc w:val="right"/>
        <w:rPr>
          <w:rFonts w:ascii="Times New Roman" w:hAnsi="Times New Roman"/>
          <w:bCs/>
        </w:rPr>
      </w:pPr>
    </w:p>
    <w:p w:rsidR="003F0AAF" w:rsidRPr="008E227D" w:rsidRDefault="003F0AAF" w:rsidP="003F0AAF">
      <w:pPr>
        <w:tabs>
          <w:tab w:val="num" w:pos="1080"/>
        </w:tabs>
        <w:spacing w:after="0" w:line="240" w:lineRule="auto"/>
        <w:ind w:right="-578"/>
        <w:jc w:val="right"/>
        <w:rPr>
          <w:rFonts w:ascii="Times New Roman" w:hAnsi="Times New Roman"/>
          <w:bCs/>
        </w:rPr>
      </w:pPr>
    </w:p>
    <w:p w:rsidR="003F0AAF" w:rsidRPr="008E227D" w:rsidRDefault="003F0AAF" w:rsidP="003F0AAF">
      <w:pPr>
        <w:tabs>
          <w:tab w:val="num" w:pos="1080"/>
        </w:tabs>
        <w:spacing w:after="0" w:line="240" w:lineRule="auto"/>
        <w:ind w:right="-578"/>
        <w:jc w:val="right"/>
        <w:rPr>
          <w:rFonts w:ascii="Times New Roman" w:hAnsi="Times New Roman"/>
          <w:bCs/>
        </w:rPr>
      </w:pPr>
    </w:p>
    <w:p w:rsidR="003F0AAF" w:rsidRPr="008E227D" w:rsidRDefault="003F0AAF" w:rsidP="003F0AAF">
      <w:pPr>
        <w:tabs>
          <w:tab w:val="num" w:pos="1080"/>
        </w:tabs>
        <w:spacing w:after="0" w:line="240" w:lineRule="auto"/>
        <w:ind w:right="-578"/>
        <w:jc w:val="right"/>
        <w:rPr>
          <w:rFonts w:ascii="Times New Roman" w:hAnsi="Times New Roman"/>
          <w:bCs/>
        </w:rPr>
      </w:pPr>
    </w:p>
    <w:p w:rsidR="003F0AAF" w:rsidRPr="008E227D" w:rsidRDefault="003F0AAF" w:rsidP="003F0AAF">
      <w:pPr>
        <w:tabs>
          <w:tab w:val="num" w:pos="1080"/>
        </w:tabs>
        <w:spacing w:after="0" w:line="240" w:lineRule="auto"/>
        <w:ind w:right="-578"/>
        <w:jc w:val="right"/>
        <w:rPr>
          <w:rFonts w:ascii="Times New Roman" w:hAnsi="Times New Roman"/>
          <w:bCs/>
        </w:rPr>
      </w:pPr>
    </w:p>
    <w:p w:rsidR="003F0AAF" w:rsidRPr="008E227D" w:rsidRDefault="003F0AAF" w:rsidP="003F0AAF">
      <w:pPr>
        <w:tabs>
          <w:tab w:val="num" w:pos="1080"/>
        </w:tabs>
        <w:spacing w:after="0" w:line="240" w:lineRule="auto"/>
        <w:ind w:right="-578"/>
        <w:jc w:val="right"/>
        <w:rPr>
          <w:rFonts w:ascii="Times New Roman" w:hAnsi="Times New Roman"/>
          <w:bCs/>
        </w:rPr>
      </w:pPr>
    </w:p>
    <w:p w:rsidR="003F0AAF" w:rsidRPr="008E227D" w:rsidRDefault="003F0AAF" w:rsidP="003F0AAF">
      <w:pPr>
        <w:tabs>
          <w:tab w:val="num" w:pos="1080"/>
        </w:tabs>
        <w:spacing w:after="0" w:line="240" w:lineRule="auto"/>
        <w:ind w:right="-578"/>
        <w:jc w:val="right"/>
        <w:rPr>
          <w:rFonts w:ascii="Times New Roman" w:hAnsi="Times New Roman"/>
          <w:bCs/>
        </w:rPr>
      </w:pPr>
    </w:p>
    <w:p w:rsidR="003F0AAF" w:rsidRPr="008E227D" w:rsidRDefault="003F0AAF" w:rsidP="003F0AAF">
      <w:pPr>
        <w:tabs>
          <w:tab w:val="num" w:pos="1080"/>
        </w:tabs>
        <w:spacing w:after="0" w:line="240" w:lineRule="auto"/>
        <w:ind w:right="-578"/>
        <w:jc w:val="right"/>
        <w:rPr>
          <w:rFonts w:ascii="Times New Roman" w:hAnsi="Times New Roman"/>
          <w:bCs/>
        </w:rPr>
      </w:pPr>
    </w:p>
    <w:p w:rsidR="003F0AAF" w:rsidRPr="008E227D" w:rsidRDefault="003F0AAF" w:rsidP="003F0AAF">
      <w:pPr>
        <w:tabs>
          <w:tab w:val="num" w:pos="1080"/>
        </w:tabs>
        <w:spacing w:after="0" w:line="240" w:lineRule="auto"/>
        <w:ind w:right="-578"/>
        <w:jc w:val="right"/>
        <w:rPr>
          <w:rFonts w:ascii="Times New Roman" w:hAnsi="Times New Roman"/>
          <w:bCs/>
        </w:rPr>
      </w:pPr>
    </w:p>
    <w:p w:rsidR="003F0AAF" w:rsidRPr="008E227D" w:rsidRDefault="003F0AAF" w:rsidP="003F0AAF">
      <w:pPr>
        <w:tabs>
          <w:tab w:val="num" w:pos="1080"/>
        </w:tabs>
        <w:spacing w:after="0" w:line="240" w:lineRule="auto"/>
        <w:ind w:right="-578"/>
        <w:jc w:val="right"/>
        <w:rPr>
          <w:rFonts w:ascii="Times New Roman" w:hAnsi="Times New Roman"/>
          <w:bCs/>
        </w:rPr>
      </w:pPr>
    </w:p>
    <w:p w:rsidR="003F0AAF" w:rsidRPr="008E227D" w:rsidRDefault="003F0AAF" w:rsidP="003F0AAF">
      <w:pPr>
        <w:tabs>
          <w:tab w:val="num" w:pos="1080"/>
        </w:tabs>
        <w:spacing w:after="0" w:line="240" w:lineRule="auto"/>
        <w:ind w:right="-578"/>
        <w:jc w:val="right"/>
        <w:rPr>
          <w:rFonts w:ascii="Times New Roman" w:hAnsi="Times New Roman"/>
          <w:bCs/>
        </w:rPr>
      </w:pPr>
    </w:p>
    <w:p w:rsidR="003F0AAF" w:rsidRPr="008E227D" w:rsidRDefault="003F0AAF" w:rsidP="003F0AAF">
      <w:pPr>
        <w:tabs>
          <w:tab w:val="num" w:pos="1080"/>
        </w:tabs>
        <w:spacing w:after="0" w:line="240" w:lineRule="auto"/>
        <w:ind w:right="-578"/>
        <w:jc w:val="right"/>
        <w:rPr>
          <w:rFonts w:ascii="Times New Roman" w:hAnsi="Times New Roman"/>
          <w:bCs/>
        </w:rPr>
      </w:pPr>
    </w:p>
    <w:p w:rsidR="003F0AAF" w:rsidRPr="008E227D" w:rsidRDefault="003F0AAF" w:rsidP="003F0AAF">
      <w:pPr>
        <w:tabs>
          <w:tab w:val="num" w:pos="1080"/>
        </w:tabs>
        <w:spacing w:after="0" w:line="240" w:lineRule="auto"/>
        <w:ind w:right="-578"/>
        <w:jc w:val="right"/>
        <w:rPr>
          <w:rFonts w:ascii="Times New Roman" w:hAnsi="Times New Roman"/>
          <w:bCs/>
        </w:rPr>
      </w:pPr>
    </w:p>
    <w:p w:rsidR="003F0AAF" w:rsidRPr="008E227D" w:rsidRDefault="003F0AAF" w:rsidP="003F0AAF">
      <w:pPr>
        <w:tabs>
          <w:tab w:val="num" w:pos="1080"/>
        </w:tabs>
        <w:spacing w:after="0" w:line="240" w:lineRule="auto"/>
        <w:ind w:right="-32"/>
        <w:jc w:val="right"/>
        <w:rPr>
          <w:rFonts w:ascii="Times New Roman" w:hAnsi="Times New Roman"/>
          <w:bCs/>
        </w:rPr>
      </w:pPr>
      <w:r w:rsidRPr="008E227D">
        <w:rPr>
          <w:rFonts w:ascii="Times New Roman" w:hAnsi="Times New Roman"/>
          <w:bCs/>
        </w:rPr>
        <w:lastRenderedPageBreak/>
        <w:t xml:space="preserve">Tabuľka č. 4 </w:t>
      </w:r>
    </w:p>
    <w:p w:rsidR="003F0AAF" w:rsidRPr="008E227D" w:rsidRDefault="003F0AAF" w:rsidP="003F0AAF">
      <w:pPr>
        <w:tabs>
          <w:tab w:val="num" w:pos="1080"/>
        </w:tabs>
        <w:spacing w:after="0" w:line="240" w:lineRule="auto"/>
        <w:jc w:val="both"/>
        <w:rPr>
          <w:rFonts w:ascii="Times New Roman" w:hAnsi="Times New Roman"/>
          <w:bCs/>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3F0AAF" w:rsidRPr="008E227D" w:rsidTr="00117D0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poznámka</w:t>
            </w:r>
          </w:p>
        </w:tc>
      </w:tr>
      <w:tr w:rsidR="003F0AAF" w:rsidRPr="008E227D" w:rsidTr="00117D0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3F0AAF" w:rsidRPr="008E227D" w:rsidRDefault="003F0AAF" w:rsidP="00117D03">
            <w:pPr>
              <w:spacing w:after="0" w:line="240" w:lineRule="auto"/>
              <w:rPr>
                <w:rFonts w:ascii="Times New Roman" w:hAnsi="Times New Roman"/>
                <w:b/>
                <w:bCs/>
                <w:color w:val="FFFFFF"/>
              </w:rPr>
            </w:pPr>
          </w:p>
        </w:tc>
        <w:tc>
          <w:tcPr>
            <w:tcW w:w="1540" w:type="dxa"/>
            <w:tcBorders>
              <w:top w:val="nil"/>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2021</w:t>
            </w:r>
          </w:p>
        </w:tc>
        <w:tc>
          <w:tcPr>
            <w:tcW w:w="1540" w:type="dxa"/>
            <w:tcBorders>
              <w:top w:val="nil"/>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2022</w:t>
            </w:r>
          </w:p>
        </w:tc>
        <w:tc>
          <w:tcPr>
            <w:tcW w:w="1540" w:type="dxa"/>
            <w:tcBorders>
              <w:top w:val="nil"/>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2023</w:t>
            </w:r>
          </w:p>
        </w:tc>
        <w:tc>
          <w:tcPr>
            <w:tcW w:w="1540" w:type="dxa"/>
            <w:tcBorders>
              <w:top w:val="nil"/>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2024</w:t>
            </w:r>
          </w:p>
        </w:tc>
        <w:tc>
          <w:tcPr>
            <w:tcW w:w="2220" w:type="dxa"/>
            <w:vMerge/>
            <w:tcBorders>
              <w:top w:val="single" w:sz="4" w:space="0" w:color="auto"/>
              <w:left w:val="single" w:sz="4" w:space="0" w:color="auto"/>
              <w:bottom w:val="single" w:sz="4" w:space="0" w:color="auto"/>
              <w:right w:val="single" w:sz="4" w:space="0" w:color="auto"/>
            </w:tcBorders>
            <w:vAlign w:val="center"/>
          </w:tcPr>
          <w:p w:rsidR="003F0AAF" w:rsidRPr="008E227D" w:rsidRDefault="003F0AAF" w:rsidP="00117D03">
            <w:pPr>
              <w:spacing w:after="0" w:line="240" w:lineRule="auto"/>
              <w:rPr>
                <w:rFonts w:ascii="Times New Roman" w:hAnsi="Times New Roman"/>
                <w:b/>
                <w:bCs/>
                <w:color w:val="FFFFFF"/>
              </w:rPr>
            </w:pPr>
          </w:p>
        </w:tc>
      </w:tr>
      <w:tr w:rsidR="003F0AAF" w:rsidRPr="008E227D" w:rsidTr="00117D03">
        <w:trPr>
          <w:trHeight w:val="255"/>
        </w:trPr>
        <w:tc>
          <w:tcPr>
            <w:tcW w:w="7070" w:type="dxa"/>
            <w:tcBorders>
              <w:top w:val="nil"/>
              <w:left w:val="single" w:sz="4" w:space="0" w:color="auto"/>
              <w:bottom w:val="single" w:sz="4" w:space="0" w:color="auto"/>
              <w:right w:val="single" w:sz="4" w:space="0" w:color="auto"/>
            </w:tcBorders>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Bežné výdavky (600)</w:t>
            </w: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2220" w:type="dxa"/>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rPr>
            </w:pPr>
            <w:r w:rsidRPr="008E227D">
              <w:rPr>
                <w:rFonts w:ascii="Times New Roman" w:hAnsi="Times New Roman"/>
              </w:rPr>
              <w:t> </w:t>
            </w:r>
          </w:p>
        </w:tc>
      </w:tr>
      <w:tr w:rsidR="003F0AAF" w:rsidRPr="008E227D" w:rsidTr="00117D03">
        <w:trPr>
          <w:trHeight w:val="255"/>
        </w:trPr>
        <w:tc>
          <w:tcPr>
            <w:tcW w:w="7070" w:type="dxa"/>
            <w:tcBorders>
              <w:top w:val="nil"/>
              <w:left w:val="single" w:sz="4" w:space="0" w:color="auto"/>
              <w:bottom w:val="single" w:sz="4" w:space="0" w:color="auto"/>
              <w:right w:val="single" w:sz="4" w:space="0" w:color="auto"/>
            </w:tcBorders>
          </w:tcPr>
          <w:p w:rsidR="003F0AAF" w:rsidRPr="008E227D" w:rsidRDefault="003F0AAF" w:rsidP="00117D03">
            <w:pPr>
              <w:spacing w:after="0" w:line="240" w:lineRule="auto"/>
              <w:rPr>
                <w:rFonts w:ascii="Times New Roman" w:hAnsi="Times New Roman"/>
              </w:rPr>
            </w:pPr>
            <w:r w:rsidRPr="008E227D">
              <w:rPr>
                <w:rFonts w:ascii="Times New Roman" w:hAnsi="Times New Roman"/>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rPr>
            </w:pPr>
            <w:r w:rsidRPr="008E227D">
              <w:rPr>
                <w:rFonts w:ascii="Times New Roman" w:hAnsi="Times New Roman"/>
              </w:rPr>
              <w:t> </w:t>
            </w:r>
          </w:p>
        </w:tc>
      </w:tr>
      <w:tr w:rsidR="003F0AAF" w:rsidRPr="008E227D" w:rsidTr="00117D03">
        <w:trPr>
          <w:trHeight w:val="255"/>
        </w:trPr>
        <w:tc>
          <w:tcPr>
            <w:tcW w:w="7070" w:type="dxa"/>
            <w:tcBorders>
              <w:top w:val="nil"/>
              <w:left w:val="single" w:sz="4" w:space="0" w:color="auto"/>
              <w:bottom w:val="single" w:sz="4" w:space="0" w:color="auto"/>
              <w:right w:val="single" w:sz="4" w:space="0" w:color="auto"/>
            </w:tcBorders>
          </w:tcPr>
          <w:p w:rsidR="003F0AAF" w:rsidRPr="008E227D" w:rsidRDefault="003F0AAF" w:rsidP="00117D03">
            <w:pPr>
              <w:spacing w:after="0" w:line="240" w:lineRule="auto"/>
              <w:rPr>
                <w:rFonts w:ascii="Times New Roman" w:hAnsi="Times New Roman"/>
                <w:vertAlign w:val="superscript"/>
              </w:rPr>
            </w:pPr>
            <w:r w:rsidRPr="008E227D">
              <w:rPr>
                <w:rFonts w:ascii="Times New Roman" w:hAnsi="Times New Roman"/>
              </w:rPr>
              <w:t xml:space="preserve">  Poistné a príspevok do poisťovní (620)</w:t>
            </w: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rPr>
            </w:pPr>
            <w:r w:rsidRPr="008E227D">
              <w:rPr>
                <w:rFonts w:ascii="Times New Roman" w:hAnsi="Times New Roman"/>
              </w:rPr>
              <w:t> </w:t>
            </w:r>
          </w:p>
        </w:tc>
      </w:tr>
      <w:tr w:rsidR="003F0AAF" w:rsidRPr="008E227D" w:rsidTr="00117D03">
        <w:trPr>
          <w:trHeight w:val="255"/>
        </w:trPr>
        <w:tc>
          <w:tcPr>
            <w:tcW w:w="7070" w:type="dxa"/>
            <w:tcBorders>
              <w:top w:val="nil"/>
              <w:left w:val="single" w:sz="4" w:space="0" w:color="auto"/>
              <w:bottom w:val="single" w:sz="4" w:space="0" w:color="auto"/>
              <w:right w:val="single" w:sz="4" w:space="0" w:color="auto"/>
            </w:tcBorders>
          </w:tcPr>
          <w:p w:rsidR="003F0AAF" w:rsidRPr="008E227D" w:rsidRDefault="003F0AAF" w:rsidP="00117D03">
            <w:pPr>
              <w:spacing w:after="0" w:line="240" w:lineRule="auto"/>
              <w:rPr>
                <w:rFonts w:ascii="Times New Roman" w:hAnsi="Times New Roman"/>
                <w:vertAlign w:val="superscript"/>
              </w:rPr>
            </w:pPr>
            <w:r w:rsidRPr="008E227D">
              <w:rPr>
                <w:rFonts w:ascii="Times New Roman" w:hAnsi="Times New Roman"/>
              </w:rPr>
              <w:t xml:space="preserve">  Tovary a služby (630)</w:t>
            </w:r>
            <w:r w:rsidRPr="008E227D">
              <w:rPr>
                <w:rFonts w:ascii="Times New Roman" w:hAnsi="Times New Roman"/>
                <w:vertAlign w:val="superscript"/>
              </w:rPr>
              <w:t>2</w:t>
            </w:r>
          </w:p>
        </w:tc>
        <w:tc>
          <w:tcPr>
            <w:tcW w:w="1540" w:type="dxa"/>
            <w:tcBorders>
              <w:top w:val="nil"/>
              <w:left w:val="nil"/>
              <w:bottom w:val="single" w:sz="4" w:space="0" w:color="auto"/>
              <w:right w:val="single" w:sz="4" w:space="0" w:color="auto"/>
            </w:tcBorders>
            <w:vAlign w:val="center"/>
          </w:tcPr>
          <w:p w:rsidR="003F0AAF" w:rsidRPr="008E227D" w:rsidRDefault="003F0AAF" w:rsidP="00117D03">
            <w:pPr>
              <w:spacing w:after="0" w:line="240" w:lineRule="auto"/>
              <w:jc w:val="right"/>
              <w:rPr>
                <w:rFonts w:ascii="Times New Roman" w:hAnsi="Times New Roman"/>
                <w:color w:val="000000"/>
              </w:rPr>
            </w:pPr>
            <w:r w:rsidRPr="008E227D">
              <w:rPr>
                <w:rFonts w:ascii="Times New Roman" w:hAnsi="Times New Roman"/>
                <w:color w:val="000000"/>
              </w:rPr>
              <w:t xml:space="preserve">642 804 </w:t>
            </w:r>
          </w:p>
        </w:tc>
        <w:tc>
          <w:tcPr>
            <w:tcW w:w="1540" w:type="dxa"/>
            <w:tcBorders>
              <w:top w:val="nil"/>
              <w:left w:val="nil"/>
              <w:bottom w:val="single" w:sz="4" w:space="0" w:color="auto"/>
              <w:right w:val="single" w:sz="4" w:space="0" w:color="auto"/>
            </w:tcBorders>
            <w:vAlign w:val="center"/>
          </w:tcPr>
          <w:p w:rsidR="003F0AAF" w:rsidRPr="008E227D" w:rsidRDefault="003F0AAF" w:rsidP="00117D03">
            <w:pPr>
              <w:spacing w:after="0" w:line="240" w:lineRule="auto"/>
              <w:jc w:val="right"/>
              <w:rPr>
                <w:rFonts w:ascii="Times New Roman" w:hAnsi="Times New Roman"/>
                <w:color w:val="000000"/>
              </w:rPr>
            </w:pPr>
            <w:r w:rsidRPr="008E227D">
              <w:rPr>
                <w:rFonts w:ascii="Times New Roman" w:hAnsi="Times New Roman"/>
                <w:color w:val="000000"/>
              </w:rPr>
              <w:t xml:space="preserve">642 804 </w:t>
            </w:r>
          </w:p>
        </w:tc>
        <w:tc>
          <w:tcPr>
            <w:tcW w:w="1540" w:type="dxa"/>
            <w:tcBorders>
              <w:top w:val="nil"/>
              <w:left w:val="nil"/>
              <w:bottom w:val="single" w:sz="4" w:space="0" w:color="auto"/>
              <w:right w:val="single" w:sz="4" w:space="0" w:color="auto"/>
            </w:tcBorders>
            <w:vAlign w:val="center"/>
          </w:tcPr>
          <w:p w:rsidR="003F0AAF" w:rsidRPr="008E227D" w:rsidRDefault="003F0AAF" w:rsidP="00117D03">
            <w:pPr>
              <w:spacing w:after="0" w:line="240" w:lineRule="auto"/>
              <w:jc w:val="right"/>
              <w:rPr>
                <w:rFonts w:ascii="Times New Roman" w:hAnsi="Times New Roman"/>
                <w:color w:val="000000"/>
              </w:rPr>
            </w:pPr>
            <w:r w:rsidRPr="008E227D">
              <w:rPr>
                <w:rFonts w:ascii="Times New Roman" w:hAnsi="Times New Roman"/>
                <w:color w:val="000000"/>
              </w:rPr>
              <w:t xml:space="preserve">642 804 </w:t>
            </w:r>
          </w:p>
        </w:tc>
        <w:tc>
          <w:tcPr>
            <w:tcW w:w="1540" w:type="dxa"/>
            <w:tcBorders>
              <w:top w:val="nil"/>
              <w:left w:val="nil"/>
              <w:bottom w:val="single" w:sz="4" w:space="0" w:color="auto"/>
              <w:right w:val="single" w:sz="4" w:space="0" w:color="auto"/>
            </w:tcBorders>
            <w:vAlign w:val="center"/>
          </w:tcPr>
          <w:p w:rsidR="003F0AAF" w:rsidRPr="008E227D" w:rsidRDefault="003F0AAF" w:rsidP="00117D03">
            <w:pPr>
              <w:spacing w:after="0" w:line="240" w:lineRule="auto"/>
              <w:jc w:val="right"/>
              <w:rPr>
                <w:rFonts w:ascii="Times New Roman" w:hAnsi="Times New Roman"/>
                <w:color w:val="000000"/>
              </w:rPr>
            </w:pPr>
            <w:r w:rsidRPr="008E227D">
              <w:rPr>
                <w:rFonts w:ascii="Times New Roman" w:hAnsi="Times New Roman"/>
                <w:color w:val="000000"/>
              </w:rPr>
              <w:t xml:space="preserve">642 804 </w:t>
            </w:r>
          </w:p>
        </w:tc>
        <w:tc>
          <w:tcPr>
            <w:tcW w:w="2220" w:type="dxa"/>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rPr>
            </w:pPr>
            <w:r w:rsidRPr="008E227D">
              <w:rPr>
                <w:rFonts w:ascii="Times New Roman" w:hAnsi="Times New Roman"/>
              </w:rPr>
              <w:t xml:space="preserve">  úhrady zdravotných poisťovní za služby - poskytovanie zdravotnej starostlivosti ambulanciami </w:t>
            </w:r>
            <w:r w:rsidRPr="008E227D">
              <w:rPr>
                <w:rFonts w:ascii="Times New Roman" w:hAnsi="Times New Roman"/>
                <w:bCs/>
              </w:rPr>
              <w:t>ambulantnej pohotovostnej služby</w:t>
            </w:r>
          </w:p>
        </w:tc>
      </w:tr>
      <w:tr w:rsidR="003F0AAF" w:rsidRPr="008E227D" w:rsidTr="00117D03">
        <w:trPr>
          <w:trHeight w:val="255"/>
        </w:trPr>
        <w:tc>
          <w:tcPr>
            <w:tcW w:w="7070" w:type="dxa"/>
            <w:tcBorders>
              <w:top w:val="nil"/>
              <w:left w:val="single" w:sz="4" w:space="0" w:color="auto"/>
              <w:bottom w:val="single" w:sz="4" w:space="0" w:color="auto"/>
              <w:right w:val="single" w:sz="4" w:space="0" w:color="auto"/>
            </w:tcBorders>
          </w:tcPr>
          <w:p w:rsidR="003F0AAF" w:rsidRPr="008E227D" w:rsidRDefault="003F0AAF" w:rsidP="00117D03">
            <w:pPr>
              <w:spacing w:after="0" w:line="240" w:lineRule="auto"/>
              <w:rPr>
                <w:rFonts w:ascii="Times New Roman" w:hAnsi="Times New Roman"/>
              </w:rPr>
            </w:pPr>
            <w:r w:rsidRPr="008E227D">
              <w:rPr>
                <w:rFonts w:ascii="Times New Roman" w:hAnsi="Times New Roman"/>
              </w:rPr>
              <w:t xml:space="preserve">  Bežné transfery (640)</w:t>
            </w:r>
            <w:r w:rsidRPr="008E227D">
              <w:rPr>
                <w:rFonts w:ascii="Times New Roman" w:hAnsi="Times New Roman"/>
                <w:vertAlign w:val="superscript"/>
              </w:rPr>
              <w:t>2</w:t>
            </w: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rPr>
            </w:pPr>
            <w:r w:rsidRPr="008E227D">
              <w:rPr>
                <w:rFonts w:ascii="Times New Roman" w:hAnsi="Times New Roman"/>
              </w:rPr>
              <w:t> </w:t>
            </w:r>
          </w:p>
        </w:tc>
      </w:tr>
      <w:tr w:rsidR="003F0AAF" w:rsidRPr="008E227D" w:rsidTr="00117D03">
        <w:trPr>
          <w:trHeight w:val="255"/>
        </w:trPr>
        <w:tc>
          <w:tcPr>
            <w:tcW w:w="7070" w:type="dxa"/>
            <w:tcBorders>
              <w:top w:val="nil"/>
              <w:left w:val="single" w:sz="4" w:space="0" w:color="auto"/>
              <w:bottom w:val="single" w:sz="4" w:space="0" w:color="auto"/>
              <w:right w:val="single" w:sz="4" w:space="0" w:color="auto"/>
            </w:tcBorders>
            <w:vAlign w:val="center"/>
          </w:tcPr>
          <w:p w:rsidR="003F0AAF" w:rsidRPr="008E227D" w:rsidRDefault="003F0AAF" w:rsidP="00117D03">
            <w:pPr>
              <w:spacing w:after="0" w:line="240" w:lineRule="auto"/>
              <w:rPr>
                <w:rFonts w:ascii="Times New Roman" w:hAnsi="Times New Roman"/>
              </w:rPr>
            </w:pPr>
            <w:r w:rsidRPr="008E227D">
              <w:rPr>
                <w:rFonts w:ascii="Times New Roman" w:hAnsi="Times New Roman"/>
              </w:rPr>
              <w:t xml:space="preserve">  Splácanie úrokov a ostatné platby súvisiace s  úverom, pôžičkou, návratnou finančnou výpomocou a finančným prenájmom (650)</w:t>
            </w:r>
            <w:r w:rsidRPr="008E227D">
              <w:rPr>
                <w:rFonts w:ascii="Times New Roman" w:hAnsi="Times New Roman"/>
                <w:vertAlign w:val="superscript"/>
              </w:rPr>
              <w:t>2</w:t>
            </w: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rPr>
            </w:pPr>
          </w:p>
        </w:tc>
      </w:tr>
      <w:tr w:rsidR="003F0AAF" w:rsidRPr="008E227D" w:rsidTr="00117D03">
        <w:trPr>
          <w:trHeight w:val="255"/>
        </w:trPr>
        <w:tc>
          <w:tcPr>
            <w:tcW w:w="7070" w:type="dxa"/>
            <w:tcBorders>
              <w:top w:val="nil"/>
              <w:left w:val="single" w:sz="4" w:space="0" w:color="auto"/>
              <w:bottom w:val="single" w:sz="4" w:space="0" w:color="auto"/>
              <w:right w:val="single" w:sz="4" w:space="0" w:color="auto"/>
            </w:tcBorders>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Kapitálové výdavky (700)</w:t>
            </w: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2220" w:type="dxa"/>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rPr>
            </w:pPr>
            <w:r w:rsidRPr="008E227D">
              <w:rPr>
                <w:rFonts w:ascii="Times New Roman" w:hAnsi="Times New Roman"/>
              </w:rPr>
              <w:t> </w:t>
            </w:r>
          </w:p>
        </w:tc>
      </w:tr>
      <w:tr w:rsidR="003F0AAF" w:rsidRPr="008E227D" w:rsidTr="00117D03">
        <w:trPr>
          <w:trHeight w:val="255"/>
        </w:trPr>
        <w:tc>
          <w:tcPr>
            <w:tcW w:w="7070" w:type="dxa"/>
            <w:tcBorders>
              <w:top w:val="nil"/>
              <w:left w:val="single" w:sz="4" w:space="0" w:color="auto"/>
              <w:bottom w:val="single" w:sz="4" w:space="0" w:color="auto"/>
              <w:right w:val="single" w:sz="4" w:space="0" w:color="auto"/>
            </w:tcBorders>
          </w:tcPr>
          <w:p w:rsidR="003F0AAF" w:rsidRPr="008E227D" w:rsidRDefault="003F0AAF" w:rsidP="00117D03">
            <w:pPr>
              <w:spacing w:after="0" w:line="240" w:lineRule="auto"/>
              <w:rPr>
                <w:rFonts w:ascii="Times New Roman" w:hAnsi="Times New Roman"/>
              </w:rPr>
            </w:pPr>
            <w:r w:rsidRPr="008E227D">
              <w:rPr>
                <w:rFonts w:ascii="Times New Roman" w:hAnsi="Times New Roman"/>
              </w:rPr>
              <w:t xml:space="preserve">  Obstarávanie kapitálových aktív (710)</w:t>
            </w:r>
            <w:r w:rsidRPr="008E227D">
              <w:rPr>
                <w:rFonts w:ascii="Times New Roman" w:hAnsi="Times New Roman"/>
                <w:vertAlign w:val="superscript"/>
              </w:rPr>
              <w:t>2</w:t>
            </w: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rPr>
            </w:pPr>
            <w:r w:rsidRPr="008E227D">
              <w:rPr>
                <w:rFonts w:ascii="Times New Roman" w:hAnsi="Times New Roman"/>
              </w:rPr>
              <w:t> </w:t>
            </w:r>
          </w:p>
        </w:tc>
      </w:tr>
      <w:tr w:rsidR="003F0AAF" w:rsidRPr="008E227D" w:rsidTr="00117D03">
        <w:trPr>
          <w:trHeight w:val="255"/>
        </w:trPr>
        <w:tc>
          <w:tcPr>
            <w:tcW w:w="7070" w:type="dxa"/>
            <w:tcBorders>
              <w:top w:val="nil"/>
              <w:left w:val="single" w:sz="4" w:space="0" w:color="auto"/>
              <w:bottom w:val="single" w:sz="4" w:space="0" w:color="auto"/>
              <w:right w:val="single" w:sz="4" w:space="0" w:color="auto"/>
            </w:tcBorders>
          </w:tcPr>
          <w:p w:rsidR="003F0AAF" w:rsidRPr="008E227D" w:rsidRDefault="003F0AAF" w:rsidP="00117D03">
            <w:pPr>
              <w:spacing w:after="0" w:line="240" w:lineRule="auto"/>
              <w:rPr>
                <w:rFonts w:ascii="Times New Roman" w:hAnsi="Times New Roman"/>
              </w:rPr>
            </w:pPr>
            <w:r w:rsidRPr="008E227D">
              <w:rPr>
                <w:rFonts w:ascii="Times New Roman" w:hAnsi="Times New Roman"/>
              </w:rPr>
              <w:t xml:space="preserve">  Kapitálové transfery (720)</w:t>
            </w:r>
            <w:r w:rsidRPr="008E227D">
              <w:rPr>
                <w:rFonts w:ascii="Times New Roman" w:hAnsi="Times New Roman"/>
                <w:vertAlign w:val="superscript"/>
              </w:rPr>
              <w:t>2</w:t>
            </w: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rPr>
            </w:pPr>
            <w:r w:rsidRPr="008E227D">
              <w:rPr>
                <w:rFonts w:ascii="Times New Roman" w:hAnsi="Times New Roman"/>
              </w:rPr>
              <w:t> </w:t>
            </w:r>
          </w:p>
        </w:tc>
      </w:tr>
      <w:tr w:rsidR="003F0AAF" w:rsidRPr="008E227D" w:rsidTr="00117D03">
        <w:trPr>
          <w:trHeight w:val="255"/>
        </w:trPr>
        <w:tc>
          <w:tcPr>
            <w:tcW w:w="7070" w:type="dxa"/>
            <w:tcBorders>
              <w:top w:val="nil"/>
              <w:left w:val="single" w:sz="4" w:space="0" w:color="auto"/>
              <w:bottom w:val="single" w:sz="4" w:space="0" w:color="auto"/>
              <w:right w:val="single" w:sz="4" w:space="0" w:color="auto"/>
            </w:tcBorders>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 </w:t>
            </w:r>
          </w:p>
        </w:tc>
        <w:tc>
          <w:tcPr>
            <w:tcW w:w="2220" w:type="dxa"/>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rPr>
            </w:pPr>
            <w:r w:rsidRPr="008E227D">
              <w:rPr>
                <w:rFonts w:ascii="Times New Roman" w:hAnsi="Times New Roman"/>
              </w:rPr>
              <w:t> </w:t>
            </w:r>
          </w:p>
        </w:tc>
      </w:tr>
      <w:tr w:rsidR="003F0AAF" w:rsidRPr="008E227D" w:rsidTr="00117D0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vAlign w:val="center"/>
          </w:tcPr>
          <w:p w:rsidR="003F0AAF" w:rsidRPr="008E227D" w:rsidRDefault="003F0AAF" w:rsidP="00117D03">
            <w:pPr>
              <w:spacing w:after="0" w:line="240" w:lineRule="auto"/>
              <w:jc w:val="right"/>
              <w:rPr>
                <w:rFonts w:ascii="Times New Roman" w:hAnsi="Times New Roman"/>
                <w:b/>
                <w:color w:val="000000"/>
              </w:rPr>
            </w:pPr>
            <w:r w:rsidRPr="008E227D">
              <w:rPr>
                <w:rFonts w:ascii="Times New Roman" w:hAnsi="Times New Roman"/>
                <w:b/>
                <w:color w:val="000000"/>
              </w:rPr>
              <w:t xml:space="preserve">642 804 </w:t>
            </w:r>
          </w:p>
        </w:tc>
        <w:tc>
          <w:tcPr>
            <w:tcW w:w="1540" w:type="dxa"/>
            <w:tcBorders>
              <w:top w:val="single" w:sz="4" w:space="0" w:color="auto"/>
              <w:left w:val="nil"/>
              <w:bottom w:val="single" w:sz="4" w:space="0" w:color="auto"/>
              <w:right w:val="single" w:sz="4" w:space="0" w:color="auto"/>
            </w:tcBorders>
            <w:shd w:val="clear" w:color="auto" w:fill="BFBFBF"/>
            <w:vAlign w:val="center"/>
          </w:tcPr>
          <w:p w:rsidR="003F0AAF" w:rsidRPr="008E227D" w:rsidRDefault="003F0AAF" w:rsidP="00117D03">
            <w:pPr>
              <w:spacing w:after="0" w:line="240" w:lineRule="auto"/>
              <w:jc w:val="right"/>
              <w:rPr>
                <w:rFonts w:ascii="Times New Roman" w:hAnsi="Times New Roman"/>
                <w:b/>
                <w:color w:val="000000"/>
              </w:rPr>
            </w:pPr>
            <w:r w:rsidRPr="008E227D">
              <w:rPr>
                <w:rFonts w:ascii="Times New Roman" w:hAnsi="Times New Roman"/>
                <w:b/>
                <w:color w:val="000000"/>
              </w:rPr>
              <w:t xml:space="preserve">642 804 </w:t>
            </w:r>
          </w:p>
        </w:tc>
        <w:tc>
          <w:tcPr>
            <w:tcW w:w="1540" w:type="dxa"/>
            <w:tcBorders>
              <w:top w:val="single" w:sz="4" w:space="0" w:color="auto"/>
              <w:left w:val="nil"/>
              <w:bottom w:val="single" w:sz="4" w:space="0" w:color="auto"/>
              <w:right w:val="single" w:sz="4" w:space="0" w:color="auto"/>
            </w:tcBorders>
            <w:shd w:val="clear" w:color="auto" w:fill="BFBFBF"/>
            <w:vAlign w:val="center"/>
          </w:tcPr>
          <w:p w:rsidR="003F0AAF" w:rsidRPr="008E227D" w:rsidRDefault="003F0AAF" w:rsidP="00117D03">
            <w:pPr>
              <w:spacing w:after="0" w:line="240" w:lineRule="auto"/>
              <w:jc w:val="right"/>
              <w:rPr>
                <w:rFonts w:ascii="Times New Roman" w:hAnsi="Times New Roman"/>
                <w:b/>
                <w:color w:val="000000"/>
              </w:rPr>
            </w:pPr>
            <w:r w:rsidRPr="008E227D">
              <w:rPr>
                <w:rFonts w:ascii="Times New Roman" w:hAnsi="Times New Roman"/>
                <w:b/>
                <w:color w:val="000000"/>
              </w:rPr>
              <w:t xml:space="preserve">642 804 </w:t>
            </w:r>
          </w:p>
        </w:tc>
        <w:tc>
          <w:tcPr>
            <w:tcW w:w="1540" w:type="dxa"/>
            <w:tcBorders>
              <w:top w:val="single" w:sz="4" w:space="0" w:color="auto"/>
              <w:left w:val="nil"/>
              <w:bottom w:val="single" w:sz="4" w:space="0" w:color="auto"/>
              <w:right w:val="single" w:sz="4" w:space="0" w:color="auto"/>
            </w:tcBorders>
            <w:shd w:val="clear" w:color="auto" w:fill="BFBFBF"/>
            <w:vAlign w:val="center"/>
          </w:tcPr>
          <w:p w:rsidR="003F0AAF" w:rsidRPr="008E227D" w:rsidRDefault="003F0AAF" w:rsidP="00117D03">
            <w:pPr>
              <w:spacing w:after="0" w:line="240" w:lineRule="auto"/>
              <w:jc w:val="right"/>
              <w:rPr>
                <w:rFonts w:ascii="Times New Roman" w:hAnsi="Times New Roman"/>
                <w:b/>
                <w:color w:val="000000"/>
              </w:rPr>
            </w:pPr>
            <w:r w:rsidRPr="008E227D">
              <w:rPr>
                <w:rFonts w:ascii="Times New Roman" w:hAnsi="Times New Roman"/>
                <w:b/>
                <w:color w:val="000000"/>
              </w:rPr>
              <w:t xml:space="preserve">642 804 </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3F0AAF" w:rsidRPr="008E227D" w:rsidRDefault="003F0AAF" w:rsidP="00117D03">
            <w:pPr>
              <w:spacing w:after="0" w:line="240" w:lineRule="auto"/>
              <w:rPr>
                <w:rFonts w:ascii="Times New Roman" w:hAnsi="Times New Roman"/>
              </w:rPr>
            </w:pPr>
            <w:r w:rsidRPr="008E227D">
              <w:rPr>
                <w:rFonts w:ascii="Times New Roman" w:hAnsi="Times New Roman"/>
              </w:rPr>
              <w:t> </w:t>
            </w:r>
          </w:p>
        </w:tc>
      </w:tr>
    </w:tbl>
    <w:p w:rsidR="003F0AAF" w:rsidRPr="008E227D" w:rsidRDefault="003F0AAF" w:rsidP="003F0AAF">
      <w:pPr>
        <w:tabs>
          <w:tab w:val="num" w:pos="1080"/>
        </w:tabs>
        <w:spacing w:after="0" w:line="240" w:lineRule="auto"/>
        <w:ind w:left="-900"/>
        <w:jc w:val="both"/>
        <w:rPr>
          <w:rFonts w:ascii="Times New Roman" w:hAnsi="Times New Roman"/>
          <w:bCs/>
        </w:rPr>
      </w:pPr>
      <w:r w:rsidRPr="008E227D">
        <w:rPr>
          <w:rFonts w:ascii="Times New Roman" w:hAnsi="Times New Roman"/>
          <w:bCs/>
        </w:rPr>
        <w:t>2 –  výdavky rozpísať až do položiek platnej ekonomickej klasifikácie</w:t>
      </w:r>
    </w:p>
    <w:p w:rsidR="003F0AAF" w:rsidRPr="008E227D" w:rsidRDefault="003F0AAF" w:rsidP="003F0AAF">
      <w:pPr>
        <w:tabs>
          <w:tab w:val="num" w:pos="1080"/>
        </w:tabs>
        <w:spacing w:after="0" w:line="240" w:lineRule="auto"/>
        <w:ind w:left="-900"/>
        <w:jc w:val="both"/>
        <w:rPr>
          <w:rFonts w:ascii="Times New Roman" w:hAnsi="Times New Roman"/>
          <w:bCs/>
        </w:rPr>
      </w:pPr>
    </w:p>
    <w:p w:rsidR="003F0AAF" w:rsidRPr="008E227D" w:rsidRDefault="003F0AAF" w:rsidP="003F0AAF">
      <w:pPr>
        <w:tabs>
          <w:tab w:val="num" w:pos="1080"/>
        </w:tabs>
        <w:spacing w:after="0" w:line="240" w:lineRule="auto"/>
        <w:ind w:left="-900"/>
        <w:jc w:val="both"/>
        <w:rPr>
          <w:rFonts w:ascii="Times New Roman" w:hAnsi="Times New Roman"/>
          <w:b/>
          <w:bCs/>
        </w:rPr>
      </w:pPr>
      <w:r w:rsidRPr="008E227D">
        <w:rPr>
          <w:rFonts w:ascii="Times New Roman" w:hAnsi="Times New Roman"/>
          <w:b/>
          <w:bCs/>
        </w:rPr>
        <w:t>Poznámka:</w:t>
      </w:r>
    </w:p>
    <w:p w:rsidR="003F0AAF" w:rsidRPr="008E227D" w:rsidRDefault="003F0AAF" w:rsidP="003F0AAF">
      <w:pPr>
        <w:tabs>
          <w:tab w:val="num" w:pos="1080"/>
        </w:tabs>
        <w:spacing w:after="0" w:line="240" w:lineRule="auto"/>
        <w:ind w:left="-900"/>
        <w:jc w:val="both"/>
        <w:rPr>
          <w:rFonts w:ascii="Times New Roman" w:hAnsi="Times New Roman"/>
          <w:bCs/>
        </w:rPr>
      </w:pPr>
      <w:r w:rsidRPr="008E227D">
        <w:rPr>
          <w:rFonts w:ascii="Times New Roman" w:hAnsi="Times New Roman"/>
          <w:bCs/>
        </w:rPr>
        <w:t>Ak sa vplyv týka viacerých subjektov verejnej správy, vypĺňa sa samostatná tabuľka za každý subjekt.</w:t>
      </w:r>
    </w:p>
    <w:p w:rsidR="003F0AAF" w:rsidRPr="008E227D" w:rsidRDefault="003F0AAF" w:rsidP="003F0AAF">
      <w:pPr>
        <w:tabs>
          <w:tab w:val="num" w:pos="1080"/>
        </w:tabs>
        <w:spacing w:after="0" w:line="240" w:lineRule="auto"/>
        <w:ind w:left="-900"/>
        <w:jc w:val="both"/>
        <w:rPr>
          <w:rFonts w:ascii="Times New Roman" w:hAnsi="Times New Roman"/>
          <w:bCs/>
        </w:rPr>
      </w:pPr>
    </w:p>
    <w:p w:rsidR="003F0AAF" w:rsidRPr="008E227D" w:rsidRDefault="003F0AAF" w:rsidP="003F0AAF">
      <w:pPr>
        <w:tabs>
          <w:tab w:val="num" w:pos="1080"/>
        </w:tabs>
        <w:spacing w:after="0" w:line="240" w:lineRule="auto"/>
        <w:ind w:left="-900"/>
        <w:jc w:val="both"/>
        <w:rPr>
          <w:rFonts w:ascii="Times New Roman" w:hAnsi="Times New Roman"/>
          <w:bCs/>
        </w:rPr>
      </w:pPr>
    </w:p>
    <w:p w:rsidR="003F0AAF" w:rsidRPr="008E227D" w:rsidRDefault="003F0AAF" w:rsidP="003F0AAF">
      <w:pPr>
        <w:tabs>
          <w:tab w:val="num" w:pos="1080"/>
        </w:tabs>
        <w:spacing w:after="0" w:line="240" w:lineRule="auto"/>
        <w:ind w:left="-900"/>
        <w:jc w:val="both"/>
        <w:rPr>
          <w:rFonts w:ascii="Times New Roman" w:hAnsi="Times New Roman"/>
          <w:bCs/>
        </w:rPr>
      </w:pPr>
    </w:p>
    <w:p w:rsidR="003F0AAF" w:rsidRPr="008E227D" w:rsidRDefault="003F0AAF" w:rsidP="003F0AAF">
      <w:pPr>
        <w:tabs>
          <w:tab w:val="num" w:pos="1080"/>
        </w:tabs>
        <w:spacing w:after="0" w:line="240" w:lineRule="auto"/>
        <w:ind w:left="-900"/>
        <w:jc w:val="both"/>
        <w:rPr>
          <w:rFonts w:ascii="Times New Roman" w:hAnsi="Times New Roman"/>
          <w:bCs/>
        </w:rPr>
      </w:pPr>
    </w:p>
    <w:p w:rsidR="003F0AAF" w:rsidRPr="008E227D" w:rsidRDefault="003F0AAF" w:rsidP="003F0AAF">
      <w:pPr>
        <w:tabs>
          <w:tab w:val="num" w:pos="1080"/>
        </w:tabs>
        <w:spacing w:after="0" w:line="240" w:lineRule="auto"/>
        <w:ind w:left="-900"/>
        <w:jc w:val="both"/>
        <w:rPr>
          <w:rFonts w:ascii="Times New Roman" w:hAnsi="Times New Roman"/>
          <w:bCs/>
        </w:rPr>
      </w:pPr>
    </w:p>
    <w:p w:rsidR="003F0AAF" w:rsidRPr="008E227D" w:rsidRDefault="003F0AAF" w:rsidP="003F0AAF">
      <w:pPr>
        <w:tabs>
          <w:tab w:val="num" w:pos="1080"/>
        </w:tabs>
        <w:spacing w:after="0" w:line="240" w:lineRule="auto"/>
        <w:ind w:left="-900"/>
        <w:jc w:val="both"/>
        <w:rPr>
          <w:rFonts w:ascii="Times New Roman" w:hAnsi="Times New Roman"/>
          <w:bCs/>
        </w:rPr>
      </w:pPr>
    </w:p>
    <w:p w:rsidR="003F0AAF" w:rsidRPr="008E227D" w:rsidRDefault="003F0AAF" w:rsidP="003F0AAF">
      <w:pPr>
        <w:tabs>
          <w:tab w:val="num" w:pos="1080"/>
        </w:tabs>
        <w:spacing w:after="0" w:line="240" w:lineRule="auto"/>
        <w:ind w:left="-900"/>
        <w:jc w:val="both"/>
        <w:rPr>
          <w:rFonts w:ascii="Times New Roman" w:hAnsi="Times New Roman"/>
          <w:bCs/>
        </w:rPr>
      </w:pPr>
    </w:p>
    <w:p w:rsidR="003F0AAF" w:rsidRPr="008E227D" w:rsidRDefault="003F0AAF" w:rsidP="003F0AAF">
      <w:pPr>
        <w:tabs>
          <w:tab w:val="num" w:pos="1080"/>
        </w:tabs>
        <w:spacing w:after="0" w:line="240" w:lineRule="auto"/>
        <w:ind w:left="-900"/>
        <w:jc w:val="both"/>
        <w:rPr>
          <w:rFonts w:ascii="Times New Roman" w:hAnsi="Times New Roman"/>
          <w:bCs/>
        </w:rPr>
      </w:pPr>
    </w:p>
    <w:p w:rsidR="003F0AAF" w:rsidRPr="008E227D" w:rsidRDefault="003F0AAF" w:rsidP="003F0AAF">
      <w:pPr>
        <w:tabs>
          <w:tab w:val="num" w:pos="1080"/>
        </w:tabs>
        <w:spacing w:after="0" w:line="240" w:lineRule="auto"/>
        <w:ind w:left="-900"/>
        <w:jc w:val="both"/>
        <w:rPr>
          <w:rFonts w:ascii="Times New Roman" w:hAnsi="Times New Roman"/>
          <w:bCs/>
        </w:rPr>
      </w:pPr>
    </w:p>
    <w:p w:rsidR="003F0AAF" w:rsidRPr="008E227D" w:rsidRDefault="003F0AAF" w:rsidP="003F0AAF">
      <w:pPr>
        <w:tabs>
          <w:tab w:val="num" w:pos="1080"/>
        </w:tabs>
        <w:spacing w:after="0" w:line="240" w:lineRule="auto"/>
        <w:ind w:left="-900"/>
        <w:jc w:val="both"/>
        <w:rPr>
          <w:rFonts w:ascii="Times New Roman" w:hAnsi="Times New Roman"/>
          <w:bCs/>
        </w:rPr>
      </w:pPr>
    </w:p>
    <w:p w:rsidR="003F0AAF" w:rsidRPr="008E227D" w:rsidRDefault="003F0AAF" w:rsidP="003F0AAF">
      <w:pPr>
        <w:tabs>
          <w:tab w:val="num" w:pos="1080"/>
        </w:tabs>
        <w:spacing w:after="0" w:line="240" w:lineRule="auto"/>
        <w:ind w:left="-900"/>
        <w:jc w:val="both"/>
        <w:rPr>
          <w:rFonts w:ascii="Times New Roman" w:hAnsi="Times New Roman"/>
          <w:bCs/>
        </w:rPr>
      </w:pPr>
    </w:p>
    <w:p w:rsidR="003F0AAF" w:rsidRPr="008E227D" w:rsidRDefault="003F0AAF" w:rsidP="003F0AAF">
      <w:pPr>
        <w:tabs>
          <w:tab w:val="num" w:pos="1080"/>
        </w:tabs>
        <w:spacing w:after="0" w:line="240" w:lineRule="auto"/>
        <w:ind w:left="-900"/>
        <w:jc w:val="both"/>
        <w:rPr>
          <w:rFonts w:ascii="Times New Roman" w:hAnsi="Times New Roman"/>
          <w:bCs/>
        </w:rPr>
      </w:pPr>
    </w:p>
    <w:p w:rsidR="003F0AAF" w:rsidRPr="008E227D" w:rsidRDefault="003F0AAF" w:rsidP="003F0AAF">
      <w:pPr>
        <w:tabs>
          <w:tab w:val="num" w:pos="1080"/>
        </w:tabs>
        <w:spacing w:after="0" w:line="240" w:lineRule="auto"/>
        <w:jc w:val="right"/>
        <w:rPr>
          <w:rFonts w:ascii="Times New Roman" w:hAnsi="Times New Roman"/>
          <w:bCs/>
        </w:rPr>
      </w:pPr>
      <w:r w:rsidRPr="008E227D">
        <w:rPr>
          <w:rFonts w:ascii="Times New Roman" w:hAnsi="Times New Roman"/>
          <w:bCs/>
        </w:rPr>
        <w:t xml:space="preserve">                 Tabuľka č. 5 </w:t>
      </w:r>
    </w:p>
    <w:p w:rsidR="003F0AAF" w:rsidRPr="008E227D" w:rsidRDefault="003F0AAF" w:rsidP="003F0AAF">
      <w:pPr>
        <w:tabs>
          <w:tab w:val="num" w:pos="1080"/>
        </w:tabs>
        <w:spacing w:after="0" w:line="240" w:lineRule="auto"/>
        <w:jc w:val="both"/>
        <w:rPr>
          <w:rFonts w:ascii="Times New Roman" w:hAnsi="Times New Roman"/>
          <w:bCs/>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3F0AAF" w:rsidRPr="008E227D" w:rsidTr="00117D03">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poznámka</w:t>
            </w:r>
          </w:p>
        </w:tc>
      </w:tr>
      <w:tr w:rsidR="003F0AAF" w:rsidRPr="008E227D" w:rsidTr="00117D03">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3F0AAF" w:rsidRPr="008E227D" w:rsidRDefault="003F0AAF" w:rsidP="00117D03">
            <w:pPr>
              <w:spacing w:after="0" w:line="240" w:lineRule="auto"/>
              <w:rPr>
                <w:rFonts w:ascii="Times New Roman" w:hAnsi="Times New Roman"/>
                <w:b/>
                <w:bCs/>
              </w:rPr>
            </w:pPr>
          </w:p>
        </w:tc>
        <w:tc>
          <w:tcPr>
            <w:tcW w:w="1698" w:type="dxa"/>
            <w:tcBorders>
              <w:top w:val="nil"/>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2021</w:t>
            </w:r>
          </w:p>
        </w:tc>
        <w:tc>
          <w:tcPr>
            <w:tcW w:w="1788" w:type="dxa"/>
            <w:tcBorders>
              <w:top w:val="nil"/>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2022</w:t>
            </w:r>
          </w:p>
        </w:tc>
        <w:tc>
          <w:tcPr>
            <w:tcW w:w="2418" w:type="dxa"/>
            <w:gridSpan w:val="2"/>
            <w:tcBorders>
              <w:top w:val="nil"/>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2023</w:t>
            </w:r>
          </w:p>
        </w:tc>
        <w:tc>
          <w:tcPr>
            <w:tcW w:w="1722" w:type="dxa"/>
            <w:tcBorders>
              <w:top w:val="nil"/>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r w:rsidRPr="008E227D">
              <w:rPr>
                <w:rFonts w:ascii="Times New Roman" w:hAnsi="Times New Roman"/>
                <w:b/>
                <w:bCs/>
              </w:rPr>
              <w:t>2024</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rsidR="003F0AAF" w:rsidRPr="008E227D" w:rsidRDefault="003F0AAF" w:rsidP="00117D03">
            <w:pPr>
              <w:spacing w:after="0" w:line="240" w:lineRule="auto"/>
              <w:rPr>
                <w:rFonts w:ascii="Times New Roman" w:hAnsi="Times New Roman"/>
                <w:b/>
                <w:bCs/>
                <w:color w:val="FFFFFF"/>
              </w:rPr>
            </w:pPr>
          </w:p>
        </w:tc>
      </w:tr>
      <w:tr w:rsidR="003F0AAF" w:rsidRPr="008E227D" w:rsidTr="00117D03">
        <w:trPr>
          <w:trHeight w:val="255"/>
        </w:trPr>
        <w:tc>
          <w:tcPr>
            <w:tcW w:w="6188" w:type="dxa"/>
            <w:tcBorders>
              <w:top w:val="nil"/>
              <w:left w:val="single" w:sz="4" w:space="0" w:color="auto"/>
              <w:bottom w:val="single" w:sz="4" w:space="0" w:color="auto"/>
              <w:right w:val="single" w:sz="4" w:space="0" w:color="auto"/>
            </w:tcBorders>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Počet zamestnancov celkom</w:t>
            </w:r>
          </w:p>
        </w:tc>
        <w:tc>
          <w:tcPr>
            <w:tcW w:w="1698"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rPr>
            </w:pPr>
            <w:r w:rsidRPr="008E227D">
              <w:rPr>
                <w:rFonts w:ascii="Times New Roman" w:hAnsi="Times New Roman"/>
              </w:rPr>
              <w:t> </w:t>
            </w:r>
          </w:p>
        </w:tc>
      </w:tr>
      <w:tr w:rsidR="003F0AAF" w:rsidRPr="008E227D" w:rsidTr="00117D03">
        <w:trPr>
          <w:trHeight w:val="255"/>
        </w:trPr>
        <w:tc>
          <w:tcPr>
            <w:tcW w:w="6188" w:type="dxa"/>
            <w:tcBorders>
              <w:top w:val="nil"/>
              <w:left w:val="single" w:sz="4" w:space="0" w:color="auto"/>
              <w:bottom w:val="single" w:sz="4" w:space="0" w:color="auto"/>
              <w:right w:val="single" w:sz="4" w:space="0" w:color="auto"/>
            </w:tcBorders>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2418" w:type="dxa"/>
            <w:gridSpan w:val="2"/>
            <w:tcBorders>
              <w:top w:val="single" w:sz="4" w:space="0" w:color="auto"/>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rPr>
            </w:pPr>
          </w:p>
        </w:tc>
      </w:tr>
      <w:tr w:rsidR="003F0AAF" w:rsidRPr="008E227D" w:rsidTr="00117D03">
        <w:trPr>
          <w:trHeight w:val="255"/>
        </w:trPr>
        <w:tc>
          <w:tcPr>
            <w:tcW w:w="6188" w:type="dxa"/>
            <w:tcBorders>
              <w:top w:val="nil"/>
              <w:left w:val="single" w:sz="4" w:space="0" w:color="auto"/>
              <w:bottom w:val="single" w:sz="4" w:space="0" w:color="auto"/>
              <w:right w:val="single" w:sz="4" w:space="0" w:color="auto"/>
            </w:tcBorders>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2418" w:type="dxa"/>
            <w:gridSpan w:val="2"/>
            <w:tcBorders>
              <w:top w:val="single" w:sz="4" w:space="0" w:color="auto"/>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rPr>
            </w:pPr>
            <w:r w:rsidRPr="008E227D">
              <w:rPr>
                <w:rFonts w:ascii="Times New Roman" w:hAnsi="Times New Roman"/>
              </w:rPr>
              <w:t> </w:t>
            </w:r>
          </w:p>
        </w:tc>
      </w:tr>
      <w:tr w:rsidR="003F0AAF" w:rsidRPr="008E227D" w:rsidTr="00117D03">
        <w:trPr>
          <w:trHeight w:val="255"/>
        </w:trPr>
        <w:tc>
          <w:tcPr>
            <w:tcW w:w="6188" w:type="dxa"/>
            <w:tcBorders>
              <w:top w:val="nil"/>
              <w:left w:val="single" w:sz="4" w:space="0" w:color="auto"/>
              <w:bottom w:val="single" w:sz="4" w:space="0" w:color="auto"/>
              <w:right w:val="single" w:sz="4" w:space="0" w:color="auto"/>
            </w:tcBorders>
          </w:tcPr>
          <w:p w:rsidR="003F0AAF" w:rsidRPr="008E227D" w:rsidRDefault="003F0AAF" w:rsidP="00117D03">
            <w:pPr>
              <w:spacing w:after="0" w:line="240" w:lineRule="auto"/>
              <w:rPr>
                <w:rFonts w:ascii="Times New Roman" w:hAnsi="Times New Roman"/>
              </w:rPr>
            </w:pPr>
            <w:r w:rsidRPr="008E227D">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r w:rsidRPr="008E227D">
              <w:rPr>
                <w:rFonts w:ascii="Times New Roman" w:hAnsi="Times New Roman"/>
              </w:rPr>
              <w:t> </w:t>
            </w:r>
          </w:p>
        </w:tc>
        <w:tc>
          <w:tcPr>
            <w:tcW w:w="1788" w:type="dxa"/>
            <w:tcBorders>
              <w:top w:val="single" w:sz="4" w:space="0" w:color="auto"/>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r w:rsidRPr="008E227D">
              <w:rPr>
                <w:rFonts w:ascii="Times New Roman" w:hAnsi="Times New Roman"/>
              </w:rPr>
              <w:t> </w:t>
            </w:r>
          </w:p>
        </w:tc>
        <w:tc>
          <w:tcPr>
            <w:tcW w:w="2418" w:type="dxa"/>
            <w:gridSpan w:val="2"/>
            <w:tcBorders>
              <w:top w:val="single" w:sz="4" w:space="0" w:color="auto"/>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r w:rsidRPr="008E227D">
              <w:rPr>
                <w:rFonts w:ascii="Times New Roman" w:hAnsi="Times New Roman"/>
              </w:rPr>
              <w:t> </w:t>
            </w:r>
          </w:p>
        </w:tc>
        <w:tc>
          <w:tcPr>
            <w:tcW w:w="1722" w:type="dxa"/>
            <w:tcBorders>
              <w:top w:val="single" w:sz="4" w:space="0" w:color="auto"/>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r w:rsidRPr="008E227D">
              <w:rPr>
                <w:rFonts w:ascii="Times New Roman" w:hAnsi="Times New Roman"/>
              </w:rPr>
              <w:t> </w:t>
            </w:r>
          </w:p>
        </w:tc>
        <w:tc>
          <w:tcPr>
            <w:tcW w:w="1620" w:type="dxa"/>
            <w:gridSpan w:val="2"/>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rPr>
            </w:pPr>
            <w:r w:rsidRPr="008E227D">
              <w:rPr>
                <w:rFonts w:ascii="Times New Roman" w:hAnsi="Times New Roman"/>
              </w:rPr>
              <w:t> </w:t>
            </w:r>
          </w:p>
        </w:tc>
      </w:tr>
      <w:tr w:rsidR="003F0AAF" w:rsidRPr="008E227D" w:rsidTr="00117D03">
        <w:trPr>
          <w:trHeight w:val="255"/>
        </w:trPr>
        <w:tc>
          <w:tcPr>
            <w:tcW w:w="6188" w:type="dxa"/>
            <w:tcBorders>
              <w:top w:val="nil"/>
              <w:left w:val="single" w:sz="4" w:space="0" w:color="auto"/>
              <w:bottom w:val="single" w:sz="4" w:space="0" w:color="auto"/>
              <w:right w:val="single" w:sz="4" w:space="0" w:color="auto"/>
            </w:tcBorders>
            <w:shd w:val="clear" w:color="auto" w:fill="BFBFBF"/>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Osobné výdavky celkom (v eurách)</w:t>
            </w:r>
          </w:p>
        </w:tc>
        <w:tc>
          <w:tcPr>
            <w:tcW w:w="1698" w:type="dxa"/>
            <w:tcBorders>
              <w:top w:val="nil"/>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shd w:val="clear" w:color="auto" w:fill="BFBFBF"/>
          </w:tcPr>
          <w:p w:rsidR="003F0AAF" w:rsidRPr="008E227D" w:rsidRDefault="003F0AAF" w:rsidP="00117D03">
            <w:pPr>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shd w:val="clear" w:color="auto" w:fill="BFBFBF"/>
            <w:noWrap/>
            <w:vAlign w:val="bottom"/>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 </w:t>
            </w:r>
          </w:p>
        </w:tc>
      </w:tr>
      <w:tr w:rsidR="003F0AAF" w:rsidRPr="008E227D" w:rsidTr="00117D03">
        <w:trPr>
          <w:trHeight w:val="255"/>
        </w:trPr>
        <w:tc>
          <w:tcPr>
            <w:tcW w:w="6188" w:type="dxa"/>
            <w:tcBorders>
              <w:top w:val="nil"/>
              <w:left w:val="single" w:sz="4" w:space="0" w:color="auto"/>
              <w:bottom w:val="single" w:sz="4" w:space="0" w:color="auto"/>
              <w:right w:val="single" w:sz="4" w:space="0" w:color="auto"/>
            </w:tcBorders>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Mzdy, platy, služobné príjmy a ostatné osobné vyrovnania (610)</w:t>
            </w:r>
          </w:p>
        </w:tc>
        <w:tc>
          <w:tcPr>
            <w:tcW w:w="1698"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 </w:t>
            </w:r>
          </w:p>
        </w:tc>
      </w:tr>
      <w:tr w:rsidR="003F0AAF" w:rsidRPr="008E227D" w:rsidTr="00117D03">
        <w:trPr>
          <w:trHeight w:val="255"/>
        </w:trPr>
        <w:tc>
          <w:tcPr>
            <w:tcW w:w="6188" w:type="dxa"/>
            <w:tcBorders>
              <w:top w:val="nil"/>
              <w:left w:val="single" w:sz="4" w:space="0" w:color="auto"/>
              <w:bottom w:val="single" w:sz="4" w:space="0" w:color="auto"/>
              <w:right w:val="single" w:sz="4" w:space="0" w:color="auto"/>
            </w:tcBorders>
          </w:tcPr>
          <w:p w:rsidR="003F0AAF" w:rsidRPr="008E227D" w:rsidRDefault="003F0AAF" w:rsidP="00117D03">
            <w:pPr>
              <w:spacing w:after="0" w:line="240" w:lineRule="auto"/>
              <w:rPr>
                <w:rFonts w:ascii="Times New Roman" w:hAnsi="Times New Roman"/>
              </w:rPr>
            </w:pPr>
            <w:r w:rsidRPr="008E227D">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788"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2418" w:type="dxa"/>
            <w:gridSpan w:val="2"/>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722"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rPr>
            </w:pPr>
            <w:r w:rsidRPr="008E227D">
              <w:rPr>
                <w:rFonts w:ascii="Times New Roman" w:hAnsi="Times New Roman"/>
              </w:rPr>
              <w:t> </w:t>
            </w:r>
          </w:p>
        </w:tc>
      </w:tr>
      <w:tr w:rsidR="003F0AAF" w:rsidRPr="008E227D" w:rsidTr="00117D03">
        <w:trPr>
          <w:trHeight w:val="255"/>
        </w:trPr>
        <w:tc>
          <w:tcPr>
            <w:tcW w:w="6188" w:type="dxa"/>
            <w:tcBorders>
              <w:top w:val="nil"/>
              <w:left w:val="single" w:sz="4" w:space="0" w:color="auto"/>
              <w:bottom w:val="single" w:sz="4" w:space="0" w:color="auto"/>
              <w:right w:val="single" w:sz="4" w:space="0" w:color="auto"/>
            </w:tcBorders>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 </w:t>
            </w:r>
          </w:p>
        </w:tc>
      </w:tr>
      <w:tr w:rsidR="003F0AAF" w:rsidRPr="008E227D" w:rsidTr="00117D03">
        <w:trPr>
          <w:trHeight w:val="255"/>
        </w:trPr>
        <w:tc>
          <w:tcPr>
            <w:tcW w:w="6188" w:type="dxa"/>
            <w:tcBorders>
              <w:top w:val="nil"/>
              <w:left w:val="single" w:sz="4" w:space="0" w:color="auto"/>
              <w:bottom w:val="single" w:sz="4" w:space="0" w:color="auto"/>
              <w:right w:val="single" w:sz="4" w:space="0" w:color="auto"/>
            </w:tcBorders>
          </w:tcPr>
          <w:p w:rsidR="003F0AAF" w:rsidRPr="008E227D" w:rsidRDefault="003F0AAF" w:rsidP="00117D03">
            <w:pPr>
              <w:spacing w:after="0" w:line="240" w:lineRule="auto"/>
              <w:rPr>
                <w:rFonts w:ascii="Times New Roman" w:hAnsi="Times New Roman"/>
              </w:rPr>
            </w:pPr>
            <w:r w:rsidRPr="008E227D">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788"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2418" w:type="dxa"/>
            <w:gridSpan w:val="2"/>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722" w:type="dxa"/>
            <w:tcBorders>
              <w:top w:val="nil"/>
              <w:left w:val="nil"/>
              <w:bottom w:val="single" w:sz="4" w:space="0" w:color="auto"/>
              <w:right w:val="single" w:sz="4" w:space="0" w:color="auto"/>
            </w:tcBorders>
          </w:tcPr>
          <w:p w:rsidR="003F0AAF" w:rsidRPr="008E227D" w:rsidRDefault="003F0AAF" w:rsidP="00117D03">
            <w:pPr>
              <w:spacing w:after="0" w:line="240" w:lineRule="auto"/>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vAlign w:val="bottom"/>
          </w:tcPr>
          <w:p w:rsidR="003F0AAF" w:rsidRPr="008E227D" w:rsidRDefault="003F0AAF" w:rsidP="00117D03">
            <w:pPr>
              <w:spacing w:after="0" w:line="240" w:lineRule="auto"/>
              <w:rPr>
                <w:rFonts w:ascii="Times New Roman" w:hAnsi="Times New Roman"/>
              </w:rPr>
            </w:pPr>
            <w:r w:rsidRPr="008E227D">
              <w:rPr>
                <w:rFonts w:ascii="Times New Roman" w:hAnsi="Times New Roman"/>
              </w:rPr>
              <w:t> </w:t>
            </w:r>
          </w:p>
        </w:tc>
      </w:tr>
      <w:tr w:rsidR="003F0AAF" w:rsidRPr="008E227D" w:rsidTr="00117D03">
        <w:trPr>
          <w:trHeight w:val="255"/>
        </w:trPr>
        <w:tc>
          <w:tcPr>
            <w:tcW w:w="6188" w:type="dxa"/>
            <w:tcBorders>
              <w:top w:val="nil"/>
              <w:left w:val="nil"/>
              <w:bottom w:val="nil"/>
              <w:right w:val="nil"/>
            </w:tcBorders>
            <w:noWrap/>
            <w:vAlign w:val="bottom"/>
          </w:tcPr>
          <w:p w:rsidR="003F0AAF" w:rsidRPr="008E227D" w:rsidRDefault="003F0AAF" w:rsidP="00117D03">
            <w:pPr>
              <w:spacing w:after="0" w:line="240" w:lineRule="auto"/>
              <w:rPr>
                <w:rFonts w:ascii="Times New Roman" w:hAnsi="Times New Roman"/>
              </w:rPr>
            </w:pPr>
          </w:p>
        </w:tc>
        <w:tc>
          <w:tcPr>
            <w:tcW w:w="1698" w:type="dxa"/>
            <w:tcBorders>
              <w:top w:val="nil"/>
              <w:left w:val="nil"/>
              <w:bottom w:val="nil"/>
              <w:right w:val="nil"/>
            </w:tcBorders>
            <w:noWrap/>
            <w:vAlign w:val="bottom"/>
          </w:tcPr>
          <w:p w:rsidR="003F0AAF" w:rsidRPr="008E227D" w:rsidRDefault="003F0AAF" w:rsidP="00117D03">
            <w:pPr>
              <w:spacing w:after="0" w:line="240" w:lineRule="auto"/>
              <w:rPr>
                <w:rFonts w:ascii="Times New Roman" w:hAnsi="Times New Roman"/>
              </w:rPr>
            </w:pPr>
          </w:p>
        </w:tc>
        <w:tc>
          <w:tcPr>
            <w:tcW w:w="1788" w:type="dxa"/>
            <w:tcBorders>
              <w:top w:val="nil"/>
              <w:left w:val="nil"/>
              <w:bottom w:val="nil"/>
              <w:right w:val="nil"/>
            </w:tcBorders>
            <w:noWrap/>
            <w:vAlign w:val="bottom"/>
          </w:tcPr>
          <w:p w:rsidR="003F0AAF" w:rsidRPr="008E227D" w:rsidRDefault="003F0AAF" w:rsidP="00117D03">
            <w:pPr>
              <w:spacing w:after="0" w:line="240" w:lineRule="auto"/>
              <w:rPr>
                <w:rFonts w:ascii="Times New Roman" w:hAnsi="Times New Roman"/>
              </w:rPr>
            </w:pPr>
          </w:p>
        </w:tc>
        <w:tc>
          <w:tcPr>
            <w:tcW w:w="2418" w:type="dxa"/>
            <w:gridSpan w:val="2"/>
            <w:tcBorders>
              <w:top w:val="nil"/>
              <w:left w:val="nil"/>
              <w:bottom w:val="nil"/>
              <w:right w:val="nil"/>
            </w:tcBorders>
            <w:noWrap/>
            <w:vAlign w:val="bottom"/>
          </w:tcPr>
          <w:p w:rsidR="003F0AAF" w:rsidRPr="008E227D" w:rsidRDefault="003F0AAF" w:rsidP="00117D03">
            <w:pPr>
              <w:spacing w:after="0" w:line="240" w:lineRule="auto"/>
              <w:rPr>
                <w:rFonts w:ascii="Times New Roman" w:hAnsi="Times New Roman"/>
              </w:rPr>
            </w:pPr>
          </w:p>
        </w:tc>
        <w:tc>
          <w:tcPr>
            <w:tcW w:w="1722" w:type="dxa"/>
            <w:tcBorders>
              <w:top w:val="nil"/>
              <w:left w:val="nil"/>
              <w:bottom w:val="nil"/>
              <w:right w:val="nil"/>
            </w:tcBorders>
            <w:noWrap/>
            <w:vAlign w:val="bottom"/>
          </w:tcPr>
          <w:p w:rsidR="003F0AAF" w:rsidRPr="008E227D" w:rsidRDefault="003F0AAF" w:rsidP="00117D03">
            <w:pPr>
              <w:spacing w:after="0" w:line="240" w:lineRule="auto"/>
              <w:rPr>
                <w:rFonts w:ascii="Times New Roman" w:hAnsi="Times New Roman"/>
              </w:rPr>
            </w:pPr>
          </w:p>
        </w:tc>
        <w:tc>
          <w:tcPr>
            <w:tcW w:w="1620" w:type="dxa"/>
            <w:gridSpan w:val="2"/>
            <w:tcBorders>
              <w:top w:val="nil"/>
              <w:left w:val="nil"/>
              <w:bottom w:val="nil"/>
              <w:right w:val="nil"/>
            </w:tcBorders>
            <w:noWrap/>
            <w:vAlign w:val="bottom"/>
          </w:tcPr>
          <w:p w:rsidR="003F0AAF" w:rsidRPr="008E227D" w:rsidRDefault="003F0AAF" w:rsidP="00117D03">
            <w:pPr>
              <w:spacing w:after="0" w:line="240" w:lineRule="auto"/>
              <w:rPr>
                <w:rFonts w:ascii="Times New Roman" w:hAnsi="Times New Roman"/>
              </w:rPr>
            </w:pPr>
          </w:p>
        </w:tc>
      </w:tr>
      <w:tr w:rsidR="003F0AAF" w:rsidRPr="008E227D" w:rsidTr="00117D03">
        <w:trPr>
          <w:trHeight w:val="255"/>
        </w:trPr>
        <w:tc>
          <w:tcPr>
            <w:tcW w:w="6188" w:type="dxa"/>
            <w:tcBorders>
              <w:top w:val="nil"/>
              <w:left w:val="nil"/>
              <w:bottom w:val="nil"/>
              <w:right w:val="nil"/>
            </w:tcBorders>
          </w:tcPr>
          <w:p w:rsidR="003F0AAF" w:rsidRPr="008E227D" w:rsidRDefault="003F0AAF" w:rsidP="00117D03">
            <w:pPr>
              <w:spacing w:after="0" w:line="240" w:lineRule="auto"/>
              <w:rPr>
                <w:rFonts w:ascii="Times New Roman" w:hAnsi="Times New Roman"/>
                <w:b/>
                <w:bCs/>
              </w:rPr>
            </w:pPr>
            <w:r w:rsidRPr="008E227D">
              <w:rPr>
                <w:rFonts w:ascii="Times New Roman" w:hAnsi="Times New Roman"/>
                <w:b/>
                <w:bCs/>
              </w:rPr>
              <w:t>Poznámky:</w:t>
            </w:r>
          </w:p>
        </w:tc>
        <w:tc>
          <w:tcPr>
            <w:tcW w:w="1698" w:type="dxa"/>
            <w:tcBorders>
              <w:top w:val="nil"/>
              <w:left w:val="nil"/>
              <w:bottom w:val="nil"/>
              <w:right w:val="nil"/>
            </w:tcBorders>
            <w:noWrap/>
            <w:vAlign w:val="bottom"/>
          </w:tcPr>
          <w:p w:rsidR="003F0AAF" w:rsidRPr="008E227D" w:rsidRDefault="003F0AAF" w:rsidP="00117D03">
            <w:pPr>
              <w:spacing w:after="0" w:line="240" w:lineRule="auto"/>
              <w:rPr>
                <w:rFonts w:ascii="Times New Roman" w:hAnsi="Times New Roman"/>
              </w:rPr>
            </w:pPr>
          </w:p>
        </w:tc>
        <w:tc>
          <w:tcPr>
            <w:tcW w:w="1788" w:type="dxa"/>
            <w:tcBorders>
              <w:top w:val="nil"/>
              <w:left w:val="nil"/>
              <w:bottom w:val="nil"/>
              <w:right w:val="nil"/>
            </w:tcBorders>
            <w:noWrap/>
            <w:vAlign w:val="bottom"/>
          </w:tcPr>
          <w:p w:rsidR="003F0AAF" w:rsidRPr="008E227D" w:rsidRDefault="003F0AAF" w:rsidP="00117D03">
            <w:pPr>
              <w:spacing w:after="0" w:line="240" w:lineRule="auto"/>
              <w:rPr>
                <w:rFonts w:ascii="Times New Roman" w:hAnsi="Times New Roman"/>
              </w:rPr>
            </w:pPr>
          </w:p>
        </w:tc>
        <w:tc>
          <w:tcPr>
            <w:tcW w:w="2418" w:type="dxa"/>
            <w:gridSpan w:val="2"/>
            <w:tcBorders>
              <w:top w:val="nil"/>
              <w:left w:val="nil"/>
              <w:bottom w:val="nil"/>
              <w:right w:val="nil"/>
            </w:tcBorders>
            <w:noWrap/>
            <w:vAlign w:val="bottom"/>
          </w:tcPr>
          <w:p w:rsidR="003F0AAF" w:rsidRPr="008E227D" w:rsidRDefault="003F0AAF" w:rsidP="00117D03">
            <w:pPr>
              <w:spacing w:after="0" w:line="240" w:lineRule="auto"/>
              <w:rPr>
                <w:rFonts w:ascii="Times New Roman" w:hAnsi="Times New Roman"/>
              </w:rPr>
            </w:pPr>
          </w:p>
        </w:tc>
        <w:tc>
          <w:tcPr>
            <w:tcW w:w="1722" w:type="dxa"/>
            <w:tcBorders>
              <w:top w:val="nil"/>
              <w:left w:val="nil"/>
              <w:bottom w:val="nil"/>
              <w:right w:val="nil"/>
            </w:tcBorders>
            <w:noWrap/>
            <w:vAlign w:val="bottom"/>
          </w:tcPr>
          <w:p w:rsidR="003F0AAF" w:rsidRPr="008E227D" w:rsidRDefault="003F0AAF" w:rsidP="00117D03">
            <w:pPr>
              <w:spacing w:after="0" w:line="240" w:lineRule="auto"/>
              <w:rPr>
                <w:rFonts w:ascii="Times New Roman" w:hAnsi="Times New Roman"/>
              </w:rPr>
            </w:pPr>
          </w:p>
        </w:tc>
        <w:tc>
          <w:tcPr>
            <w:tcW w:w="1620" w:type="dxa"/>
            <w:gridSpan w:val="2"/>
            <w:tcBorders>
              <w:top w:val="nil"/>
              <w:left w:val="nil"/>
              <w:bottom w:val="nil"/>
              <w:right w:val="nil"/>
            </w:tcBorders>
            <w:noWrap/>
            <w:vAlign w:val="bottom"/>
          </w:tcPr>
          <w:p w:rsidR="003F0AAF" w:rsidRPr="008E227D" w:rsidRDefault="003F0AAF" w:rsidP="00117D03">
            <w:pPr>
              <w:spacing w:after="0" w:line="240" w:lineRule="auto"/>
              <w:rPr>
                <w:rFonts w:ascii="Times New Roman" w:hAnsi="Times New Roman"/>
              </w:rPr>
            </w:pPr>
          </w:p>
        </w:tc>
      </w:tr>
      <w:tr w:rsidR="003F0AAF" w:rsidRPr="008E227D" w:rsidTr="00117D03">
        <w:trPr>
          <w:trHeight w:val="255"/>
        </w:trPr>
        <w:tc>
          <w:tcPr>
            <w:tcW w:w="13814" w:type="dxa"/>
            <w:gridSpan w:val="6"/>
            <w:tcBorders>
              <w:top w:val="nil"/>
              <w:left w:val="nil"/>
              <w:bottom w:val="nil"/>
              <w:right w:val="nil"/>
            </w:tcBorders>
            <w:noWrap/>
          </w:tcPr>
          <w:p w:rsidR="003F0AAF" w:rsidRPr="008E227D" w:rsidRDefault="003F0AAF" w:rsidP="00117D03">
            <w:pPr>
              <w:tabs>
                <w:tab w:val="num" w:pos="1080"/>
              </w:tabs>
              <w:spacing w:after="0" w:line="240" w:lineRule="auto"/>
              <w:jc w:val="both"/>
              <w:rPr>
                <w:rFonts w:ascii="Times New Roman" w:hAnsi="Times New Roman"/>
                <w:bCs/>
              </w:rPr>
            </w:pPr>
            <w:r w:rsidRPr="008E227D">
              <w:rPr>
                <w:rFonts w:ascii="Times New Roman" w:hAnsi="Times New Roman"/>
                <w:bCs/>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3F0AAF" w:rsidRPr="008E227D" w:rsidRDefault="003F0AAF" w:rsidP="00117D03">
            <w:pPr>
              <w:spacing w:after="0" w:line="240" w:lineRule="auto"/>
              <w:rPr>
                <w:rFonts w:ascii="Times New Roman" w:hAnsi="Times New Roman"/>
              </w:rPr>
            </w:pPr>
            <w:r w:rsidRPr="008E227D">
              <w:rPr>
                <w:rFonts w:ascii="Times New Roman" w:hAnsi="Times New Roman"/>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3F0AAF" w:rsidRPr="008E227D" w:rsidRDefault="003F0AAF" w:rsidP="00117D03">
            <w:pPr>
              <w:spacing w:after="0" w:line="240" w:lineRule="auto"/>
              <w:rPr>
                <w:rFonts w:ascii="Times New Roman" w:hAnsi="Times New Roman"/>
              </w:rPr>
            </w:pPr>
          </w:p>
        </w:tc>
      </w:tr>
      <w:tr w:rsidR="003F0AAF" w:rsidRPr="008E227D" w:rsidTr="00117D03">
        <w:trPr>
          <w:trHeight w:val="255"/>
        </w:trPr>
        <w:tc>
          <w:tcPr>
            <w:tcW w:w="10394" w:type="dxa"/>
            <w:gridSpan w:val="4"/>
            <w:tcBorders>
              <w:top w:val="nil"/>
              <w:left w:val="nil"/>
              <w:bottom w:val="nil"/>
              <w:right w:val="nil"/>
            </w:tcBorders>
            <w:noWrap/>
            <w:vAlign w:val="bottom"/>
          </w:tcPr>
          <w:p w:rsidR="003F0AAF" w:rsidRPr="008E227D" w:rsidRDefault="003F0AAF" w:rsidP="00117D03">
            <w:pPr>
              <w:spacing w:after="0" w:line="240" w:lineRule="auto"/>
              <w:rPr>
                <w:rFonts w:ascii="Times New Roman" w:hAnsi="Times New Roman"/>
              </w:rPr>
            </w:pPr>
            <w:r w:rsidRPr="008E227D">
              <w:rPr>
                <w:rFonts w:ascii="Times New Roman" w:hAnsi="Times New Roman"/>
              </w:rPr>
              <w:t>Kategórie 610 a 620 sú z tejto prílohy prenášané do príslušných kategórií prílohy „výdavky“.</w:t>
            </w:r>
          </w:p>
        </w:tc>
        <w:tc>
          <w:tcPr>
            <w:tcW w:w="1698" w:type="dxa"/>
            <w:tcBorders>
              <w:top w:val="nil"/>
              <w:left w:val="nil"/>
              <w:bottom w:val="nil"/>
              <w:right w:val="nil"/>
            </w:tcBorders>
            <w:noWrap/>
            <w:vAlign w:val="bottom"/>
          </w:tcPr>
          <w:p w:rsidR="003F0AAF" w:rsidRPr="008E227D" w:rsidRDefault="003F0AAF" w:rsidP="00117D03">
            <w:pPr>
              <w:spacing w:after="0" w:line="240" w:lineRule="auto"/>
              <w:rPr>
                <w:rFonts w:ascii="Times New Roman" w:hAnsi="Times New Roman"/>
              </w:rPr>
            </w:pPr>
          </w:p>
        </w:tc>
        <w:tc>
          <w:tcPr>
            <w:tcW w:w="2352" w:type="dxa"/>
            <w:gridSpan w:val="2"/>
            <w:tcBorders>
              <w:top w:val="nil"/>
              <w:left w:val="nil"/>
              <w:bottom w:val="nil"/>
              <w:right w:val="nil"/>
            </w:tcBorders>
            <w:noWrap/>
            <w:vAlign w:val="bottom"/>
          </w:tcPr>
          <w:p w:rsidR="003F0AAF" w:rsidRPr="008E227D" w:rsidRDefault="003F0AAF" w:rsidP="00117D03">
            <w:pPr>
              <w:spacing w:after="0" w:line="240" w:lineRule="auto"/>
              <w:rPr>
                <w:rFonts w:ascii="Times New Roman" w:hAnsi="Times New Roman"/>
              </w:rPr>
            </w:pPr>
          </w:p>
        </w:tc>
        <w:tc>
          <w:tcPr>
            <w:tcW w:w="990" w:type="dxa"/>
            <w:tcBorders>
              <w:top w:val="nil"/>
              <w:left w:val="nil"/>
              <w:bottom w:val="nil"/>
              <w:right w:val="nil"/>
            </w:tcBorders>
            <w:noWrap/>
            <w:vAlign w:val="bottom"/>
          </w:tcPr>
          <w:p w:rsidR="003F0AAF" w:rsidRPr="008E227D" w:rsidRDefault="003F0AAF" w:rsidP="00117D03">
            <w:pPr>
              <w:spacing w:after="0" w:line="240" w:lineRule="auto"/>
              <w:rPr>
                <w:rFonts w:ascii="Times New Roman" w:hAnsi="Times New Roman"/>
              </w:rPr>
            </w:pPr>
          </w:p>
        </w:tc>
      </w:tr>
    </w:tbl>
    <w:p w:rsidR="003F0AAF" w:rsidRPr="008E227D" w:rsidRDefault="003F0AAF" w:rsidP="003F0AAF">
      <w:pPr>
        <w:spacing w:after="0" w:line="240" w:lineRule="auto"/>
        <w:rPr>
          <w:rFonts w:ascii="Times New Roman" w:hAnsi="Times New Roman"/>
          <w:b/>
          <w:color w:val="000000" w:themeColor="text1"/>
        </w:rPr>
      </w:pPr>
    </w:p>
    <w:p w:rsidR="003F0AAF" w:rsidRPr="008E227D" w:rsidRDefault="003F0AAF" w:rsidP="003F0AAF">
      <w:pPr>
        <w:spacing w:after="0" w:line="240" w:lineRule="auto"/>
        <w:rPr>
          <w:rFonts w:ascii="Times New Roman" w:hAnsi="Times New Roman"/>
          <w:b/>
          <w:color w:val="000000" w:themeColor="text1"/>
        </w:rPr>
      </w:pPr>
    </w:p>
    <w:p w:rsidR="007D44D0" w:rsidRPr="008E227D" w:rsidRDefault="00511C47">
      <w:pPr>
        <w:rPr>
          <w:rFonts w:ascii="Times New Roman" w:hAnsi="Times New Roman"/>
        </w:rPr>
      </w:pPr>
    </w:p>
    <w:sectPr w:rsidR="007D44D0" w:rsidRPr="008E227D" w:rsidSect="00E83F64">
      <w:pgSz w:w="16840" w:h="11907" w:orient="landscape"/>
      <w:pgMar w:top="1418" w:right="2127" w:bottom="1418" w:left="1418"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AF"/>
    <w:rsid w:val="002D0197"/>
    <w:rsid w:val="003F0AAF"/>
    <w:rsid w:val="005035CA"/>
    <w:rsid w:val="00511C47"/>
    <w:rsid w:val="006F1861"/>
    <w:rsid w:val="00743872"/>
    <w:rsid w:val="008E227D"/>
    <w:rsid w:val="009C1C57"/>
    <w:rsid w:val="00AE4B9D"/>
    <w:rsid w:val="00BC0A26"/>
    <w:rsid w:val="00EB0AAC"/>
    <w:rsid w:val="00F136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1A46"/>
  <w15:chartTrackingRefBased/>
  <w15:docId w15:val="{DF0DA889-624D-46FA-8F6B-717C66A1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F0AAF"/>
    <w:pPr>
      <w:spacing w:after="200" w:line="276" w:lineRule="auto"/>
    </w:pPr>
    <w:rPr>
      <w:rFonts w:eastAsiaTheme="minorEastAs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3F0AAF"/>
    <w:pPr>
      <w:spacing w:after="0" w:line="240" w:lineRule="auto"/>
      <w:jc w:val="center"/>
    </w:pPr>
    <w:rPr>
      <w:rFonts w:ascii="Arial" w:eastAsia="Times New Roman" w:hAnsi="Arial"/>
      <w:sz w:val="24"/>
      <w:szCs w:val="20"/>
    </w:rPr>
  </w:style>
  <w:style w:type="character" w:customStyle="1" w:styleId="NzovChar">
    <w:name w:val="Názov Char"/>
    <w:basedOn w:val="Predvolenpsmoodseku"/>
    <w:link w:val="Nzov"/>
    <w:rsid w:val="003F0AAF"/>
    <w:rPr>
      <w:rFonts w:ascii="Arial" w:eastAsia="Times New Roman" w:hAnsi="Arial" w:cs="Times New Roman"/>
      <w:sz w:val="24"/>
      <w:szCs w:val="20"/>
      <w:lang w:eastAsia="sk-SK"/>
    </w:rPr>
  </w:style>
  <w:style w:type="character" w:styleId="Zstupntext">
    <w:name w:val="Placeholder Text"/>
    <w:basedOn w:val="Predvolenpsmoodseku"/>
    <w:uiPriority w:val="99"/>
    <w:qFormat/>
    <w:rsid w:val="003F0AAF"/>
    <w:rPr>
      <w:rFonts w:ascii="Times New Roman" w:hAnsi="Times New Roman" w:cs="Times New Roman"/>
      <w:color w:val="808080"/>
    </w:rPr>
  </w:style>
  <w:style w:type="paragraph" w:styleId="Odsekzoznamu">
    <w:name w:val="List Paragraph"/>
    <w:basedOn w:val="Normlny"/>
    <w:uiPriority w:val="34"/>
    <w:qFormat/>
    <w:rsid w:val="009C1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6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8_Analýza-vplyvov-na-rozpočet-verejnej-správy"/>
    <f:field ref="objsubject" par="" edit="true" text=""/>
    <f:field ref="objcreatedby" par="" text="Bugyiová, Veronika"/>
    <f:field ref="objcreatedat" par="" text="22.12.2020 12:54:54"/>
    <f:field ref="objchangedby" par="" text="Administrator, System"/>
    <f:field ref="objmodifiedat" par="" text="22.12.2020 12:54:5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1792</Words>
  <Characters>10219</Characters>
  <Application>Microsoft Office Word</Application>
  <DocSecurity>0</DocSecurity>
  <Lines>85</Lines>
  <Paragraphs>23</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Földesová Motajová Zuzana</dc:creator>
  <cp:keywords/>
  <dc:description/>
  <cp:lastModifiedBy>Ružovičová Miroslava</cp:lastModifiedBy>
  <cp:revision>6</cp:revision>
  <dcterms:created xsi:type="dcterms:W3CDTF">2021-01-20T06:24:00Z</dcterms:created>
  <dcterms:modified xsi:type="dcterms:W3CDTF">2021-01-22T13:28:00Z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Nariadenie vlády Slovenskej republiky</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Veronika Bugyiová</vt:lpwstr>
  </property>
  <property fmtid="{D5CDD505-2E9C-101B-9397-08002B2CF9AE}" pid="12" name="FSC#SKEDITIONSLOVLEX@103.510:zodppredkladatel">
    <vt:lpwstr>Marek Krajčí</vt:lpwstr>
  </property>
  <property fmtid="{D5CDD505-2E9C-101B-9397-08002B2CF9AE}" pid="13" name="FSC#SKEDITIONSLOVLEX@103.510:dalsipredkladatel">
    <vt:lpwstr/>
  </property>
  <property fmtid="{D5CDD505-2E9C-101B-9397-08002B2CF9AE}" pid="14" name="FSC#SKEDITIONSLOVLEX@103.510:nazovpredpis">
    <vt:lpwstr> z ......2021, ktorým sa mení nariadenie vlády slovenskej republiky č. 115/2018 z. z., ktorým sa ustanovuje výška úhrad zdravotnej poisťovne za poskytovanie zubno-lekárskej pohotovostnej služby a ambulantnej pohotovostnej služby, spôsob výpočtu a pravidlá</vt:lpwstr>
  </property>
  <property fmtid="{D5CDD505-2E9C-101B-9397-08002B2CF9AE}" pid="15" name="FSC#SKEDITIONSLOVLEX@103.510:nazovpredpis1">
    <vt:lpwstr> výpočtu týchto úhrad v znení nariadenia vlády slovenskej republiky č. 58/2019 z. z.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Nariadenie vlády  Slovenskej republiky z ......2021, ktorým sa mení nariadenie vlády slovenskej republiky č. 115/2018 z. z., ktorým sa ustanovuje výška úhrad zdravotnej poisťovne za poskytovanie zubno-lekárskej pohotovostnej služby a ambulantnej pohotovo</vt:lpwstr>
  </property>
  <property fmtid="{D5CDD505-2E9C-101B-9397-08002B2CF9AE}" pid="24" name="FSC#SKEDITIONSLOVLEX@103.510:plnynazovpredpis1">
    <vt:lpwstr>stnej služby, spôsob výpočtu a pravidlá výpočtu týchto úhrad v znení nariadenia vlády slovenskej republiky č. 58/2019 z. z.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S17262-2020-OL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LP/2020/663</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vt:lpwstr>
  </property>
  <property fmtid="{D5CDD505-2E9C-101B-9397-08002B2CF9AE}" pid="142" name="FSC#SKEDITIONSLOVLEX@103.510:funkciaZodpPredAkuzativ">
    <vt:lpwstr>ministra</vt:lpwstr>
  </property>
  <property fmtid="{D5CDD505-2E9C-101B-9397-08002B2CF9AE}" pid="143" name="FSC#SKEDITIONSLOVLEX@103.510:funkciaZodpPredDativ">
    <vt:lpwstr>ministrovi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Marek Krajčí_x000d_
minister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22. 12. 2020</vt:lpwstr>
  </property>
  <property fmtid="{D5CDD505-2E9C-101B-9397-08002B2CF9AE}" pid="151" name="FSC#COOSYSTEM@1.1:Container">
    <vt:lpwstr>COO.2145.1000.3.4177007</vt:lpwstr>
  </property>
  <property fmtid="{D5CDD505-2E9C-101B-9397-08002B2CF9AE}" pid="152" name="FSC#FSCFOLIO@1.1001:docpropproject">
    <vt:lpwstr/>
  </property>
</Properties>
</file>