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62" w:rsidRPr="000660DF" w:rsidRDefault="00F92862" w:rsidP="00F92862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F92862" w:rsidRPr="000660DF" w:rsidRDefault="00F92862" w:rsidP="00F92862">
      <w:pPr>
        <w:spacing w:line="240" w:lineRule="atLeast"/>
        <w:contextualSpacing/>
        <w:jc w:val="center"/>
        <w:rPr>
          <w:b/>
          <w:bCs/>
        </w:rPr>
      </w:pPr>
    </w:p>
    <w:p w:rsidR="00F92862" w:rsidRPr="000660DF" w:rsidRDefault="00F92862" w:rsidP="00F9286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13</w:t>
      </w:r>
      <w:r w:rsidRPr="000660DF">
        <w:rPr>
          <w:b/>
          <w:bCs/>
        </w:rPr>
        <w:t xml:space="preserve">. zasadnutia Legislatívnej rady vlády Slovenskej republiky konaného  </w:t>
      </w:r>
    </w:p>
    <w:p w:rsidR="00F92862" w:rsidRPr="000660DF" w:rsidRDefault="00F92862" w:rsidP="00F9286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16. februára 2021</w:t>
      </w:r>
    </w:p>
    <w:p w:rsidR="00F92862" w:rsidRPr="000660DF" w:rsidRDefault="00F92862" w:rsidP="00F92862">
      <w:pPr>
        <w:spacing w:line="240" w:lineRule="atLeast"/>
        <w:contextualSpacing/>
        <w:rPr>
          <w:b/>
          <w:bCs/>
        </w:rPr>
      </w:pPr>
    </w:p>
    <w:p w:rsidR="00F92862" w:rsidRDefault="00F92862" w:rsidP="00F92862">
      <w:pPr>
        <w:spacing w:line="240" w:lineRule="atLeast"/>
        <w:contextualSpacing/>
        <w:rPr>
          <w:b/>
          <w:bCs/>
        </w:rPr>
      </w:pPr>
    </w:p>
    <w:p w:rsidR="00F92862" w:rsidRPr="000660DF" w:rsidRDefault="00F92862" w:rsidP="00F92862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F92862" w:rsidRPr="000660DF" w:rsidRDefault="00F92862" w:rsidP="00F92862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F92862" w:rsidRPr="000660DF" w:rsidRDefault="00F92862" w:rsidP="00F92862">
      <w:pPr>
        <w:jc w:val="both"/>
        <w:rPr>
          <w:bCs/>
          <w:noProof w:val="0"/>
        </w:rPr>
      </w:pPr>
    </w:p>
    <w:p w:rsidR="00F92862" w:rsidRDefault="00F92862" w:rsidP="00F92862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F92862" w:rsidRDefault="00F92862" w:rsidP="00F92862">
      <w:pPr>
        <w:jc w:val="both"/>
        <w:rPr>
          <w:bCs/>
        </w:rPr>
      </w:pPr>
    </w:p>
    <w:p w:rsidR="00F92862" w:rsidRDefault="00F92862" w:rsidP="00F933AB">
      <w:pPr>
        <w:ind w:left="720"/>
        <w:jc w:val="both"/>
        <w:rPr>
          <w:bCs/>
        </w:rPr>
      </w:pPr>
    </w:p>
    <w:p w:rsidR="00F92862" w:rsidRDefault="00F92862" w:rsidP="00F92862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u w:val="single"/>
        </w:rPr>
        <w:t>Návrh nariadenia vlády Slovenskej republiky, ktorým sa mení a dopĺňa nariadenie vlády č. 395/2006 Z. z. o minimálnych požiadavkách na poskytovanie a používanie osobných ochranných pracovných prostriedkov (č. m. 1375/2021)</w:t>
      </w:r>
    </w:p>
    <w:p w:rsidR="00F92862" w:rsidRDefault="00D204D1" w:rsidP="00F92862">
      <w:pPr>
        <w:ind w:left="720"/>
        <w:jc w:val="both"/>
        <w:rPr>
          <w:bCs/>
        </w:rPr>
      </w:pPr>
      <w:r w:rsidRPr="00D204D1">
        <w:rPr>
          <w:bCs/>
        </w:rPr>
        <w:t xml:space="preserve">Legislatívna rada </w:t>
      </w:r>
      <w:r w:rsidR="00A91A69">
        <w:rPr>
          <w:bCs/>
        </w:rPr>
        <w:t xml:space="preserve">prerušila rokovanie a </w:t>
      </w:r>
      <w:r w:rsidRPr="00D204D1">
        <w:rPr>
          <w:bCs/>
        </w:rPr>
        <w:t>odporučila predkladateľovi návrh nariadenia vlády  dopracovať o jej pripomienky a odporúčania a návrh nariadenia vlády opätovne predložiť na rokovanie legislatívnej rady.</w:t>
      </w:r>
    </w:p>
    <w:p w:rsidR="00D204D1" w:rsidRDefault="00D204D1" w:rsidP="00F92862">
      <w:pPr>
        <w:ind w:left="720"/>
        <w:jc w:val="both"/>
        <w:rPr>
          <w:bCs/>
        </w:rPr>
      </w:pPr>
    </w:p>
    <w:p w:rsidR="00F92862" w:rsidRPr="00F933AB" w:rsidRDefault="00F92862" w:rsidP="00F92862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u w:val="single"/>
        </w:rPr>
        <w:t>Návrh nariadenia vlády Slovenskej republiky, ktorým sa mení nariadenie vlády Slovenskej republiky č. 115/2018 Z. z., ktorým sa ustanovuje výška úhrad zdravotnej poisťovne za poskytovanie zubno-lekárskej pohotovostnej služby a ambulantnej pohotovostnej služby, spôsob výpočtu a pravidlá výpočtu týchto úhrad v znení nariadenia vlády Slovenskej republiky č. 58/2019 (č. m. 2772/2021)</w:t>
      </w:r>
    </w:p>
    <w:p w:rsidR="007D5E8A" w:rsidRDefault="007D5E8A" w:rsidP="007D5E8A">
      <w:pPr>
        <w:pStyle w:val="Odsekzoznamu"/>
        <w:ind w:left="720"/>
        <w:jc w:val="both"/>
      </w:pPr>
      <w:r>
        <w:t xml:space="preserve">Legislatívna rada uplatnila k predloženému návrhu nariadenia vlády pripomienky a odporúčania  a odporučila vláde návrh nariadenia vlády v predloženom znení schváliť.      </w:t>
      </w:r>
    </w:p>
    <w:p w:rsidR="007D5E8A" w:rsidRDefault="007D5E8A" w:rsidP="00F92862">
      <w:pPr>
        <w:tabs>
          <w:tab w:val="left" w:pos="1830"/>
        </w:tabs>
        <w:jc w:val="both"/>
      </w:pPr>
    </w:p>
    <w:p w:rsidR="00F92862" w:rsidRPr="00F933AB" w:rsidRDefault="00F92862" w:rsidP="00F92862">
      <w:pPr>
        <w:numPr>
          <w:ilvl w:val="0"/>
          <w:numId w:val="1"/>
        </w:numPr>
        <w:jc w:val="both"/>
        <w:rPr>
          <w:u w:val="single"/>
        </w:rPr>
      </w:pPr>
      <w:r w:rsidRPr="00F933AB">
        <w:rPr>
          <w:iCs/>
          <w:u w:val="single"/>
        </w:rPr>
        <w:t>Návrh zákona, ktorým sa mení a dopĺňa zákon Národnej rady Slovenskej republiky č. 40/1993 Z. z. o štátnom občianstve Slovenskej republiky v znení neskorších predpisov (č. m. 1834/2021)</w:t>
      </w:r>
    </w:p>
    <w:p w:rsid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937FC9" w:rsidRP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F92862" w:rsidRPr="00460060" w:rsidRDefault="00F92862" w:rsidP="00F92862">
      <w:pPr>
        <w:jc w:val="both"/>
      </w:pPr>
    </w:p>
    <w:p w:rsidR="00F92862" w:rsidRPr="00F933AB" w:rsidRDefault="00F92862" w:rsidP="00F92862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iCs/>
          <w:u w:val="single"/>
        </w:rPr>
        <w:t>Návrh zákona, ktorým sa mení a dopĺňa zákon č. 199/2004 Z. z. Colný zákon a o zmene a doplnení niektorých zákonov v znení neskorších predpisov a ktorým sa menia a dopĺňajú niektoré zákony (č. m. 2143/2021)</w:t>
      </w:r>
    </w:p>
    <w:p w:rsid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bCs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937FC9" w:rsidRP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F92862" w:rsidRPr="00EC3FD9" w:rsidRDefault="00F92862" w:rsidP="00F92862">
      <w:pPr>
        <w:jc w:val="both"/>
        <w:rPr>
          <w:bCs/>
        </w:rPr>
      </w:pPr>
    </w:p>
    <w:p w:rsidR="00F92862" w:rsidRPr="00F933AB" w:rsidRDefault="00F92862" w:rsidP="00F92862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iCs/>
          <w:u w:val="single"/>
        </w:rPr>
        <w:t>Návrh zákona, ktorým sa mení a dopĺňa zákon č. 566/2001 Z. z. o cenných papieroch a investičných službách a o zmene a doplnení niektorých zákonov (zákon o cenných papieroch) v znení neskorších predpisov aktorým sa menia a dopĺňajú niektoré zákony (č. m. 2181/2021)</w:t>
      </w:r>
    </w:p>
    <w:p w:rsid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bCs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  <w:r>
        <w:rPr>
          <w:rFonts w:eastAsia="Calibri"/>
          <w:noProof w:val="0"/>
          <w:lang w:eastAsia="en-US"/>
        </w:rPr>
        <w:t xml:space="preserve">  </w:t>
      </w:r>
    </w:p>
    <w:p w:rsidR="00937FC9" w:rsidRP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F92862" w:rsidRPr="003C34BB" w:rsidRDefault="00F92862" w:rsidP="00F92862">
      <w:pPr>
        <w:jc w:val="both"/>
        <w:rPr>
          <w:bCs/>
        </w:rPr>
      </w:pPr>
    </w:p>
    <w:p w:rsidR="00F92862" w:rsidRPr="00B62169" w:rsidRDefault="00F92862" w:rsidP="00B62169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iCs/>
          <w:u w:val="single"/>
        </w:rPr>
        <w:t>Návrh zákona, ktorým sa mení a dopĺňa zákon č. 203/2011 Z. z. o kolektívnom investovaní v znení neskorších predpisov (č. m. 2182/2021)</w:t>
      </w:r>
    </w:p>
    <w:p w:rsidR="00937FC9" w:rsidRDefault="00937FC9" w:rsidP="00937FC9">
      <w:pPr>
        <w:ind w:left="720"/>
        <w:jc w:val="both"/>
        <w:rPr>
          <w:rFonts w:eastAsia="Calibri"/>
          <w:noProof w:val="0"/>
          <w:lang w:eastAsia="en-US"/>
        </w:rPr>
      </w:pPr>
    </w:p>
    <w:p w:rsid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lastRenderedPageBreak/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937FC9" w:rsidRP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937FC9" w:rsidRPr="00383494" w:rsidRDefault="00937FC9" w:rsidP="00F92862">
      <w:pPr>
        <w:ind w:left="720"/>
        <w:jc w:val="both"/>
        <w:rPr>
          <w:bCs/>
        </w:rPr>
      </w:pPr>
    </w:p>
    <w:p w:rsidR="00F92862" w:rsidRPr="00F933AB" w:rsidRDefault="00F92862" w:rsidP="00F92862">
      <w:pPr>
        <w:numPr>
          <w:ilvl w:val="0"/>
          <w:numId w:val="1"/>
        </w:numPr>
        <w:jc w:val="both"/>
        <w:rPr>
          <w:bCs/>
          <w:u w:val="single"/>
        </w:rPr>
      </w:pPr>
      <w:r w:rsidRPr="00F933AB">
        <w:rPr>
          <w:bCs/>
          <w:u w:val="single"/>
        </w:rPr>
        <w:t>Návrh zákona, ktorým sa mení a dopĺňa zákon č. 307/2016 Z. z. o upomínacom konaní a o doplnení niektorých zákonov a ktorým sa menia a dopĺňajú niektoré zákony (č. m. 2774/2021)</w:t>
      </w:r>
    </w:p>
    <w:p w:rsid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937FC9" w:rsidRPr="00937FC9" w:rsidRDefault="00937FC9" w:rsidP="00937FC9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F933AB" w:rsidRDefault="00F933AB"/>
    <w:p w:rsidR="00F933AB" w:rsidRDefault="00F933AB" w:rsidP="00F933AB"/>
    <w:p w:rsidR="00F933AB" w:rsidRDefault="00F933AB" w:rsidP="00F933AB"/>
    <w:p w:rsidR="00F933AB" w:rsidRDefault="00F933AB" w:rsidP="00F933AB"/>
    <w:p w:rsidR="00F933AB" w:rsidRDefault="00F933AB" w:rsidP="00F933AB"/>
    <w:p w:rsidR="00F933AB" w:rsidRPr="00F70242" w:rsidRDefault="00F933AB" w:rsidP="00F933AB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F70242">
        <w:rPr>
          <w:noProof w:val="0"/>
        </w:rPr>
        <w:t>Štefan Holý v. r.</w:t>
      </w:r>
    </w:p>
    <w:p w:rsidR="00F933AB" w:rsidRPr="00F70242" w:rsidRDefault="00F933AB" w:rsidP="00F933AB">
      <w:r w:rsidRPr="00F70242">
        <w:t xml:space="preserve">                                                                                                   podpredseda vlády    </w:t>
      </w:r>
    </w:p>
    <w:p w:rsidR="00F933AB" w:rsidRDefault="00F933AB" w:rsidP="00F933AB">
      <w:r w:rsidRPr="00F70242">
        <w:t xml:space="preserve">                                                                                  a predseda Legislatívnej rady vlády SR</w:t>
      </w:r>
    </w:p>
    <w:p w:rsidR="00F933AB" w:rsidRDefault="00F933AB" w:rsidP="00F933AB"/>
    <w:p w:rsidR="00000CF0" w:rsidRDefault="00000CF0" w:rsidP="00F933AB"/>
    <w:p w:rsidR="00000CF0" w:rsidRDefault="00000CF0" w:rsidP="00F933AB"/>
    <w:p w:rsidR="00000CF0" w:rsidRDefault="00000CF0" w:rsidP="00F933AB"/>
    <w:p w:rsidR="00665391" w:rsidRDefault="00665391" w:rsidP="00F933AB"/>
    <w:p w:rsidR="00F933AB" w:rsidRPr="00F70242" w:rsidRDefault="00F933AB" w:rsidP="00F933AB"/>
    <w:p w:rsidR="00F933AB" w:rsidRDefault="00F933AB" w:rsidP="00F933AB">
      <w:pPr>
        <w:tabs>
          <w:tab w:val="left" w:pos="6330"/>
        </w:tabs>
      </w:pPr>
    </w:p>
    <w:p w:rsidR="008B616F" w:rsidRPr="00F933AB" w:rsidRDefault="00CA3295" w:rsidP="00F933AB">
      <w:pPr>
        <w:tabs>
          <w:tab w:val="left" w:pos="6735"/>
        </w:tabs>
      </w:pPr>
    </w:p>
    <w:sectPr w:rsidR="008B616F" w:rsidRPr="00F9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2"/>
    <w:rsid w:val="00000CF0"/>
    <w:rsid w:val="00527127"/>
    <w:rsid w:val="00665391"/>
    <w:rsid w:val="00783594"/>
    <w:rsid w:val="007D5E8A"/>
    <w:rsid w:val="00937FC9"/>
    <w:rsid w:val="009F7731"/>
    <w:rsid w:val="00A91A69"/>
    <w:rsid w:val="00B62169"/>
    <w:rsid w:val="00B67AB0"/>
    <w:rsid w:val="00CA3295"/>
    <w:rsid w:val="00D204D1"/>
    <w:rsid w:val="00F92862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5280"/>
  <w15:docId w15:val="{C5B31C3F-B1D3-47D4-BD17-F205F7A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28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E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8640-4D67-41E4-A352-52D2595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16</cp:revision>
  <cp:lastPrinted>2021-02-16T15:52:00Z</cp:lastPrinted>
  <dcterms:created xsi:type="dcterms:W3CDTF">2021-02-11T13:59:00Z</dcterms:created>
  <dcterms:modified xsi:type="dcterms:W3CDTF">2023-01-25T11:16:00Z</dcterms:modified>
</cp:coreProperties>
</file>