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6FC9" w14:textId="51B8F98C" w:rsidR="003501A1" w:rsidRPr="00E26BE7" w:rsidRDefault="00640A73" w:rsidP="003501A1">
      <w:pPr>
        <w:jc w:val="center"/>
        <w:rPr>
          <w:b/>
          <w:bCs/>
          <w:sz w:val="28"/>
          <w:szCs w:val="28"/>
        </w:rPr>
      </w:pPr>
      <w:r w:rsidRPr="00E26BE7">
        <w:rPr>
          <w:b/>
          <w:bCs/>
          <w:sz w:val="28"/>
          <w:szCs w:val="28"/>
        </w:rPr>
        <w:t>D</w:t>
      </w:r>
      <w:r w:rsidR="00D37126">
        <w:rPr>
          <w:b/>
          <w:bCs/>
          <w:sz w:val="28"/>
          <w:szCs w:val="28"/>
        </w:rPr>
        <w:t>oložka vybraných vplyvov</w:t>
      </w:r>
      <w:bookmarkStart w:id="0" w:name="_GoBack"/>
      <w:bookmarkEnd w:id="0"/>
    </w:p>
    <w:p w14:paraId="29D02F50" w14:textId="77777777" w:rsidR="003501A1" w:rsidRPr="00E26BE7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E26BE7" w14:paraId="38B9F044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2B3D9DE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E26BE7" w14:paraId="3E0739B8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04339A4" w14:textId="77777777" w:rsidR="003501A1" w:rsidRPr="00E26BE7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E26BE7" w14:paraId="031AEEC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14:paraId="363E2C53" w14:textId="77777777" w:rsidR="009A6E49" w:rsidRPr="00E26BE7" w:rsidRDefault="005F7FFD" w:rsidP="009A6E49">
            <w:pPr>
              <w:pStyle w:val="Nadpis1"/>
              <w:jc w:val="both"/>
              <w:outlineLvl w:val="0"/>
              <w:rPr>
                <w:rFonts w:ascii="Times New Roman" w:hAnsi="Times New Roman" w:cs="Times New Roman"/>
              </w:rPr>
            </w:pPr>
            <w:r w:rsidRPr="00E26BE7">
              <w:rPr>
                <w:rFonts w:ascii="Times New Roman" w:hAnsi="Times New Roman" w:cs="Times New Roman"/>
              </w:rPr>
              <w:t>Návrh nariadenia vlády Slovenskej republiky o odbornej spôsobilosti a zdravotnej spôsobilosti člena posádky plavidla, odborníka na prepravu cestujúcich a odborníka na skvapalnený zemný plyn</w:t>
            </w:r>
            <w:r w:rsidR="006076A1" w:rsidRPr="00E26BE7">
              <w:rPr>
                <w:rFonts w:ascii="Times New Roman" w:hAnsi="Times New Roman" w:cs="Times New Roman"/>
              </w:rPr>
              <w:t>.</w:t>
            </w:r>
          </w:p>
          <w:p w14:paraId="0A3735E3" w14:textId="77777777" w:rsidR="003F572C" w:rsidRPr="00E26BE7" w:rsidRDefault="003F572C" w:rsidP="003F572C">
            <w:pPr>
              <w:autoSpaceDE w:val="0"/>
              <w:autoSpaceDN w:val="0"/>
              <w:adjustRightInd w:val="0"/>
              <w:jc w:val="both"/>
            </w:pPr>
          </w:p>
        </w:tc>
      </w:tr>
      <w:tr w:rsidR="003501A1" w:rsidRPr="00E26BE7" w14:paraId="0B32ADF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B4618D0" w14:textId="77777777" w:rsidR="003501A1" w:rsidRPr="00E26BE7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E26BE7" w14:paraId="3910D94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248DBBC" w14:textId="77777777" w:rsidR="00745545" w:rsidRPr="00E26BE7" w:rsidRDefault="00745545" w:rsidP="00745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26BE7">
              <w:rPr>
                <w:lang w:eastAsia="en-US"/>
              </w:rPr>
              <w:t>Ministerstvo dopravy</w:t>
            </w:r>
            <w:r w:rsidR="008D6F88" w:rsidRPr="00E26BE7">
              <w:rPr>
                <w:lang w:eastAsia="en-US"/>
              </w:rPr>
              <w:t xml:space="preserve"> a</w:t>
            </w:r>
            <w:r w:rsidRPr="00E26BE7">
              <w:rPr>
                <w:lang w:eastAsia="en-US"/>
              </w:rPr>
              <w:t xml:space="preserve"> výstavby Slovenskej republiky</w:t>
            </w:r>
          </w:p>
          <w:p w14:paraId="30229091" w14:textId="77777777" w:rsidR="003501A1" w:rsidRPr="00E26BE7" w:rsidRDefault="003501A1" w:rsidP="008D6F88">
            <w:pPr>
              <w:autoSpaceDE w:val="0"/>
              <w:autoSpaceDN w:val="0"/>
              <w:adjustRightInd w:val="0"/>
            </w:pPr>
          </w:p>
        </w:tc>
      </w:tr>
      <w:tr w:rsidR="003501A1" w:rsidRPr="00E26BE7" w14:paraId="5351C91D" w14:textId="77777777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66C4106" w14:textId="77777777" w:rsidR="003501A1" w:rsidRPr="00E26BE7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20760EB" w14:textId="77777777" w:rsidR="003501A1" w:rsidRPr="00E26BE7" w:rsidRDefault="003501A1" w:rsidP="007B71A4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401DD3C3" w14:textId="77777777" w:rsidR="003501A1" w:rsidRPr="00E26BE7" w:rsidRDefault="003501A1" w:rsidP="007B71A4">
            <w:r w:rsidRPr="00E26BE7">
              <w:t>Materiál nelegislatívnej povahy</w:t>
            </w:r>
          </w:p>
        </w:tc>
      </w:tr>
      <w:tr w:rsidR="003501A1" w:rsidRPr="00E26BE7" w14:paraId="39EF35C4" w14:textId="77777777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14:paraId="039D3F3F" w14:textId="77777777" w:rsidR="003501A1" w:rsidRPr="00E26BE7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29001F8" w14:textId="77777777" w:rsidR="003501A1" w:rsidRPr="00E26BE7" w:rsidRDefault="00745545" w:rsidP="007B71A4">
            <w:pPr>
              <w:jc w:val="center"/>
            </w:pPr>
            <w:r w:rsidRPr="00E26BE7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29A855C5" w14:textId="77777777" w:rsidR="003501A1" w:rsidRPr="00E26BE7" w:rsidRDefault="003501A1" w:rsidP="007B71A4">
            <w:pPr>
              <w:ind w:left="175" w:hanging="175"/>
            </w:pPr>
            <w:r w:rsidRPr="00E26BE7">
              <w:t>Materiál legislatívnej povahy</w:t>
            </w:r>
          </w:p>
        </w:tc>
      </w:tr>
      <w:tr w:rsidR="003501A1" w:rsidRPr="00E26BE7" w14:paraId="035A4536" w14:textId="77777777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28EE79D2" w14:textId="77777777" w:rsidR="003501A1" w:rsidRPr="00E26BE7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FC42A0E" w14:textId="77777777" w:rsidR="003501A1" w:rsidRPr="00E26BE7" w:rsidRDefault="00745545" w:rsidP="007B71A4">
            <w:pPr>
              <w:jc w:val="center"/>
            </w:pPr>
            <w:r w:rsidRPr="00E26BE7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038E40D8" w14:textId="77777777" w:rsidR="003501A1" w:rsidRPr="00E26BE7" w:rsidRDefault="003501A1" w:rsidP="007B71A4">
            <w:r w:rsidRPr="00E26BE7">
              <w:t>Transpozícia práva EÚ</w:t>
            </w:r>
          </w:p>
        </w:tc>
      </w:tr>
      <w:tr w:rsidR="003501A1" w:rsidRPr="00E26BE7" w14:paraId="28BEA2DC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91DD892" w14:textId="77777777" w:rsidR="008D6F88" w:rsidRPr="00E26BE7" w:rsidRDefault="005F7FFD" w:rsidP="005F7FFD">
            <w:pPr>
              <w:jc w:val="both"/>
            </w:pPr>
            <w:r w:rsidRPr="00E26BE7">
              <w:t>Delegovaná smernica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</w:t>
            </w:r>
            <w:r w:rsidR="00EC5D3D">
              <w:t xml:space="preserve"> </w:t>
            </w:r>
            <w:r w:rsidR="00EC5D3D" w:rsidRPr="00EC5D3D">
              <w:t>(</w:t>
            </w:r>
            <w:r w:rsidR="00EC5D3D" w:rsidRPr="00EC5D3D">
              <w:rPr>
                <w:iCs/>
                <w:shd w:val="clear" w:color="auto" w:fill="FFFFFF"/>
              </w:rPr>
              <w:t>Ú. v. EÚ L 6, 10.1.2020)</w:t>
            </w:r>
            <w:r w:rsidRPr="00E26BE7">
              <w:t>.</w:t>
            </w:r>
          </w:p>
          <w:p w14:paraId="490A3C78" w14:textId="77777777" w:rsidR="00AA179B" w:rsidRPr="00E26BE7" w:rsidRDefault="00424932" w:rsidP="005F7FFD">
            <w:pPr>
              <w:jc w:val="both"/>
            </w:pPr>
            <w:r w:rsidRPr="00E26BE7">
              <w:t>Smernica Európskeho parlamentu a Rady (EÚ) 2017/2397 z 12. decembra 2017 o uznávaní odborných kvalifikácií v oblasti vnútrozemskej plavby a o zrušení smerníc Rady 91/672/EHS a 96/50/ES</w:t>
            </w:r>
            <w:r w:rsidR="00EC5D3D">
              <w:t xml:space="preserve"> </w:t>
            </w:r>
            <w:r w:rsidR="00EC5D3D" w:rsidRPr="00EC5D3D">
              <w:t>(Ú. v. EÚ L 345, 27.12.2017) v platnom znení</w:t>
            </w:r>
            <w:r w:rsidRPr="00E26BE7">
              <w:t>.</w:t>
            </w:r>
          </w:p>
        </w:tc>
      </w:tr>
      <w:tr w:rsidR="00FE1124" w:rsidRPr="00E26BE7" w14:paraId="112C0EA0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14:paraId="347A8E8A" w14:textId="77777777" w:rsidR="00FE1124" w:rsidRPr="00E26BE7" w:rsidRDefault="00FE1124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14:paraId="5CBB1BF3" w14:textId="77777777" w:rsidR="00FE1124" w:rsidRPr="00E26BE7" w:rsidRDefault="00FE1124" w:rsidP="003B6DA5"/>
        </w:tc>
      </w:tr>
      <w:tr w:rsidR="00FE1124" w:rsidRPr="00E26BE7" w14:paraId="7ED03F04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6239BF54" w14:textId="77777777" w:rsidR="00FE1124" w:rsidRPr="00E26BE7" w:rsidRDefault="00FE1124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14:paraId="5C6DE3FD" w14:textId="77777777" w:rsidR="00FE1124" w:rsidRPr="00E26BE7" w:rsidRDefault="00FE1124" w:rsidP="003B6DA5">
            <w:r w:rsidRPr="00E26BE7">
              <w:t>január 2021</w:t>
            </w:r>
          </w:p>
        </w:tc>
      </w:tr>
      <w:tr w:rsidR="00FE1124" w:rsidRPr="00E26BE7" w14:paraId="26651CC8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160E820E" w14:textId="77777777" w:rsidR="00FE1124" w:rsidRPr="00E26BE7" w:rsidRDefault="00FE1124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14:paraId="45A00177" w14:textId="77777777" w:rsidR="00FE1124" w:rsidRPr="00E26BE7" w:rsidRDefault="00FE1124" w:rsidP="003B6DA5">
            <w:r w:rsidRPr="00E26BE7">
              <w:t>apríl 2021</w:t>
            </w:r>
          </w:p>
        </w:tc>
      </w:tr>
      <w:tr w:rsidR="003501A1" w:rsidRPr="00E26BE7" w14:paraId="31E4652B" w14:textId="77777777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100DE360" w14:textId="77777777" w:rsidR="003F572C" w:rsidRPr="00E26BE7" w:rsidRDefault="003F572C" w:rsidP="007B71A4"/>
          <w:p w14:paraId="7FD88E9F" w14:textId="77777777" w:rsidR="00FE1124" w:rsidRPr="00E26BE7" w:rsidRDefault="00FE1124" w:rsidP="007B71A4"/>
        </w:tc>
      </w:tr>
      <w:tr w:rsidR="003501A1" w:rsidRPr="00E26BE7" w14:paraId="751881AC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220A02C2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Defin</w:t>
            </w:r>
            <w:r w:rsidR="00AC2477" w:rsidRPr="00E26BE7">
              <w:rPr>
                <w:rFonts w:ascii="Times New Roman" w:hAnsi="Times New Roman"/>
                <w:b/>
              </w:rPr>
              <w:t>ovanie</w:t>
            </w:r>
            <w:r w:rsidRPr="00E26BE7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E26BE7" w14:paraId="75986FE6" w14:textId="77777777" w:rsidTr="00C71C15">
        <w:trPr>
          <w:trHeight w:val="718"/>
        </w:trPr>
        <w:tc>
          <w:tcPr>
            <w:tcW w:w="9180" w:type="dxa"/>
            <w:gridSpan w:val="10"/>
            <w:shd w:val="clear" w:color="auto" w:fill="FFFFFF" w:themeFill="background1"/>
          </w:tcPr>
          <w:p w14:paraId="4833A256" w14:textId="77777777" w:rsidR="006076A1" w:rsidRPr="00E26BE7" w:rsidRDefault="00F92414" w:rsidP="00F92414">
            <w:pPr>
              <w:jc w:val="both"/>
            </w:pPr>
            <w:r w:rsidRPr="00E26BE7">
              <w:t>Predkladaný návrh nariadenia vlády má za cieľ transpozíciu delegovanej smernice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</w:t>
            </w:r>
            <w:r w:rsidR="00EC5D3D">
              <w:t xml:space="preserve"> </w:t>
            </w:r>
            <w:r w:rsidR="00EC5D3D" w:rsidRPr="00EC5D3D">
              <w:t>(</w:t>
            </w:r>
            <w:r w:rsidR="00EC5D3D" w:rsidRPr="00EC5D3D">
              <w:rPr>
                <w:iCs/>
                <w:shd w:val="clear" w:color="auto" w:fill="FFFFFF"/>
              </w:rPr>
              <w:t>Ú. v. EÚ L 6, 10.1.2020)</w:t>
            </w:r>
            <w:r w:rsidRPr="00EC5D3D">
              <w:t>,</w:t>
            </w:r>
            <w:r w:rsidRPr="00E26BE7">
              <w:t xml:space="preserve"> okrem problematiky schvaľovania simulátorov používaných pri praktickej skúške na posudzovanie odbornej spôsobilosti.</w:t>
            </w:r>
          </w:p>
          <w:p w14:paraId="7FE7AB02" w14:textId="77777777" w:rsidR="008D6F88" w:rsidRPr="00E26BE7" w:rsidRDefault="008D6F88" w:rsidP="009A6E49">
            <w:pPr>
              <w:jc w:val="both"/>
              <w:rPr>
                <w:i/>
              </w:rPr>
            </w:pPr>
          </w:p>
        </w:tc>
      </w:tr>
      <w:tr w:rsidR="003501A1" w:rsidRPr="00E26BE7" w14:paraId="3355ED06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7409B447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E26BE7" w14:paraId="3F45F93D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0272C1F2" w14:textId="77777777" w:rsidR="008F4AA9" w:rsidRPr="00E26BE7" w:rsidRDefault="008F4AA9" w:rsidP="008F4AA9">
            <w:pPr>
              <w:jc w:val="both"/>
              <w:rPr>
                <w:rFonts w:eastAsiaTheme="minorHAnsi"/>
                <w:lang w:eastAsia="en-US"/>
              </w:rPr>
            </w:pPr>
            <w:r w:rsidRPr="00E26BE7">
              <w:t xml:space="preserve">V návrhu nariadenia vlády sa </w:t>
            </w:r>
            <w:r w:rsidR="0070524D" w:rsidRPr="00E26BE7">
              <w:t>u</w:t>
            </w:r>
            <w:r w:rsidRPr="00E26BE7">
              <w:rPr>
                <w:lang w:eastAsia="cs-CZ"/>
              </w:rPr>
              <w:t xml:space="preserve">stanovujú minimálne harmonizované normy pre osvedčovanie odborných kvalifikácií členov posádky </w:t>
            </w:r>
            <w:r w:rsidRPr="00E26BE7">
              <w:t>plavidiel prevádzkovaných na vnútrozemských vodných cestách</w:t>
            </w:r>
            <w:r w:rsidRPr="00E26BE7">
              <w:rPr>
                <w:lang w:eastAsia="cs-CZ"/>
              </w:rPr>
              <w:t>, ktoré sú</w:t>
            </w:r>
            <w:r w:rsidRPr="00E26BE7">
              <w:t xml:space="preserve"> prepojené so splavnou sieťou iného členského štátu</w:t>
            </w:r>
            <w:r w:rsidRPr="00E26BE7">
              <w:rPr>
                <w:lang w:eastAsia="cs-CZ"/>
              </w:rPr>
              <w:t xml:space="preserve"> EÚ</w:t>
            </w:r>
            <w:r w:rsidRPr="00E26BE7">
              <w:t xml:space="preserve">. </w:t>
            </w:r>
            <w:r w:rsidRPr="00E26BE7">
              <w:rPr>
                <w:rFonts w:eastAsiaTheme="minorHAnsi"/>
                <w:lang w:eastAsia="en-US"/>
              </w:rPr>
              <w:t xml:space="preserve">V normách odbornej spôsobilosti sa </w:t>
            </w:r>
            <w:r w:rsidR="0070524D" w:rsidRPr="00E26BE7">
              <w:rPr>
                <w:rFonts w:eastAsiaTheme="minorHAnsi"/>
                <w:lang w:eastAsia="en-US"/>
              </w:rPr>
              <w:t>u</w:t>
            </w:r>
            <w:r w:rsidRPr="00E26BE7">
              <w:rPr>
                <w:rFonts w:eastAsiaTheme="minorHAnsi"/>
                <w:lang w:eastAsia="en-US"/>
              </w:rPr>
              <w:t xml:space="preserve">stanovujú minimálne požiadavky na získanie odborných spôsobilostí požadované na bezpečnú prevádzku plavidla, t.j. pre členov posádok plavidiel na prevádzkovej a riadiacej úrovni, pre lodných kapitánov s povolením plaviť sa pomocou radaru a lodných kapitánov s povolením plaviť sa na vodných cestách námorného charakteru, pre odborníkov na prepravu cestujúcich a pre odborníkov na skvapalnený zemný plyn (LNG). Každá požadovaná odborná spôsobilosť je vymedzená spolu so zodpovedajúcimi požadovanými vedomosťami a zručnosťami. </w:t>
            </w:r>
          </w:p>
          <w:p w14:paraId="07870E53" w14:textId="77777777" w:rsidR="008F4AA9" w:rsidRPr="00E26BE7" w:rsidRDefault="008F4AA9" w:rsidP="008F4AA9">
            <w:pPr>
              <w:jc w:val="both"/>
              <w:rPr>
                <w:rFonts w:eastAsiaTheme="minorHAnsi"/>
                <w:lang w:eastAsia="en-US"/>
              </w:rPr>
            </w:pPr>
            <w:r w:rsidRPr="00E26BE7">
              <w:rPr>
                <w:rFonts w:eastAsiaTheme="minorHAnsi"/>
                <w:lang w:eastAsia="en-US"/>
              </w:rPr>
              <w:t xml:space="preserve">S cieľom umožniť vykonávať praktické skúšky obdobným spôsobom vo všetkých členských štátoch EÚ sa </w:t>
            </w:r>
            <w:r w:rsidR="0070524D" w:rsidRPr="00E26BE7">
              <w:rPr>
                <w:rFonts w:eastAsiaTheme="minorHAnsi"/>
                <w:lang w:eastAsia="en-US"/>
              </w:rPr>
              <w:t>u</w:t>
            </w:r>
            <w:r w:rsidRPr="00E26BE7">
              <w:rPr>
                <w:rFonts w:eastAsiaTheme="minorHAnsi"/>
                <w:lang w:eastAsia="en-US"/>
              </w:rPr>
              <w:t xml:space="preserve">stanovili normy pre praktické skúšky. Praktické skúšky sú povinné len pre niektoré odborné spôsobilosti a vykonávajú sa na plavidlách, simulátoroch alebo pobrežných zariadeniach, ktoré musia spĺňať </w:t>
            </w:r>
            <w:r w:rsidR="0070524D" w:rsidRPr="00E26BE7">
              <w:rPr>
                <w:rFonts w:eastAsiaTheme="minorHAnsi"/>
                <w:lang w:eastAsia="en-US"/>
              </w:rPr>
              <w:t>u</w:t>
            </w:r>
            <w:r w:rsidRPr="00E26BE7">
              <w:rPr>
                <w:rFonts w:eastAsiaTheme="minorHAnsi"/>
                <w:lang w:eastAsia="en-US"/>
              </w:rPr>
              <w:t xml:space="preserve">stanovené technické požiadavky. Pre uchádzačov o kvalifikáciu lodného kapitána, ktorí ešte neabsolvovali posúdenie na prevádzkovej úrovni, je </w:t>
            </w:r>
            <w:r w:rsidR="0070524D" w:rsidRPr="00E26BE7">
              <w:rPr>
                <w:rFonts w:eastAsiaTheme="minorHAnsi"/>
                <w:lang w:eastAsia="en-US"/>
              </w:rPr>
              <w:t>u</w:t>
            </w:r>
            <w:r w:rsidRPr="00E26BE7">
              <w:rPr>
                <w:rFonts w:eastAsiaTheme="minorHAnsi"/>
                <w:lang w:eastAsia="en-US"/>
              </w:rPr>
              <w:t>stanovený dodatočný modul praktickej skúšky, aby sa mohla overiť aj ich schopnosť vykonávať súvisiace úlohy dohľadu.</w:t>
            </w:r>
          </w:p>
          <w:p w14:paraId="633D3C7A" w14:textId="77777777" w:rsidR="00AA179B" w:rsidRPr="00E26BE7" w:rsidRDefault="0070524D" w:rsidP="00E26BE7">
            <w:pPr>
              <w:autoSpaceDE w:val="0"/>
              <w:autoSpaceDN w:val="0"/>
              <w:adjustRightInd w:val="0"/>
              <w:jc w:val="both"/>
            </w:pPr>
            <w:r w:rsidRPr="00E26BE7">
              <w:rPr>
                <w:rFonts w:eastAsiaTheme="minorHAnsi"/>
                <w:lang w:eastAsia="en-US"/>
              </w:rPr>
              <w:t>Zmiernením</w:t>
            </w:r>
            <w:r w:rsidR="008F4AA9" w:rsidRPr="00E26BE7">
              <w:rPr>
                <w:rFonts w:eastAsiaTheme="minorHAnsi"/>
                <w:lang w:eastAsia="en-US"/>
              </w:rPr>
              <w:t xml:space="preserve"> rozdielov medzi členskými štátmi EÚ v oblasti požiadaviek </w:t>
            </w:r>
            <w:r w:rsidRPr="00E26BE7">
              <w:rPr>
                <w:rFonts w:eastAsiaTheme="minorHAnsi"/>
                <w:lang w:eastAsia="en-US"/>
              </w:rPr>
              <w:t xml:space="preserve">na zdravotnú spôsobilosť </w:t>
            </w:r>
            <w:r w:rsidR="008F4AA9" w:rsidRPr="00E26BE7">
              <w:rPr>
                <w:rFonts w:eastAsiaTheme="minorHAnsi"/>
                <w:lang w:eastAsia="en-US"/>
              </w:rPr>
              <w:t xml:space="preserve">a postupov vyšetrení sa zabezpečí, aby boli lekárske posudky vydávané členom posádok plavidiel vnútrozemskej plavby platným ukazovateľom ich zdravotnej spôsobilosti na prácu, ktorú budú vykonávať. </w:t>
            </w:r>
            <w:r w:rsidRPr="00E26BE7">
              <w:rPr>
                <w:rFonts w:eastAsiaTheme="minorHAnsi"/>
                <w:lang w:eastAsia="en-US"/>
              </w:rPr>
              <w:t>Normy pre zdravotnú spôsobilosť ustanovujú testy, ktoré musia poverení lekári vykonávať, a kritériá, ktoré majú uplatňovať poverení lekári pri určovaní spôsobilosti členov posádok plavidiel na prácu.</w:t>
            </w:r>
            <w:r w:rsidR="008F4AA9" w:rsidRPr="00E26BE7">
              <w:rPr>
                <w:rFonts w:eastAsiaTheme="minorHAnsi"/>
                <w:lang w:eastAsia="en-US"/>
              </w:rPr>
              <w:t xml:space="preserve"> Normy sa týkajú zraku, sluchu, fyzických a </w:t>
            </w:r>
            <w:r w:rsidR="008F4AA9" w:rsidRPr="00E26BE7">
              <w:rPr>
                <w:rFonts w:eastAsiaTheme="minorHAnsi"/>
                <w:lang w:eastAsia="en-US"/>
              </w:rPr>
              <w:lastRenderedPageBreak/>
              <w:t>psychických stavov, ktoré môžu viesť k dočasnej alebo trvalej nespôsobilosti na prácu a  zmierňujúcich opatrení a obmedzení.</w:t>
            </w:r>
          </w:p>
        </w:tc>
      </w:tr>
      <w:tr w:rsidR="003501A1" w:rsidRPr="00E26BE7" w14:paraId="551326B2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7A777D69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3501A1" w:rsidRPr="00E26BE7" w14:paraId="1FCCE6A8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5AC056C0" w14:textId="77777777" w:rsidR="004A4B74" w:rsidRPr="00E26BE7" w:rsidRDefault="009A6E49" w:rsidP="008B692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6BE7">
              <w:rPr>
                <w:lang w:eastAsia="en-US"/>
              </w:rPr>
              <w:t xml:space="preserve">Priamo sa </w:t>
            </w:r>
            <w:r w:rsidR="005F7FFD" w:rsidRPr="00E26BE7">
              <w:rPr>
                <w:lang w:eastAsia="en-US"/>
              </w:rPr>
              <w:t xml:space="preserve">zmeny </w:t>
            </w:r>
            <w:r w:rsidRPr="00E26BE7">
              <w:rPr>
                <w:lang w:eastAsia="en-US"/>
              </w:rPr>
              <w:t xml:space="preserve">dotknú </w:t>
            </w:r>
            <w:r w:rsidR="005F7FFD" w:rsidRPr="00E26BE7">
              <w:rPr>
                <w:lang w:eastAsia="en-US"/>
              </w:rPr>
              <w:t xml:space="preserve">členov posádok plavidiel </w:t>
            </w:r>
            <w:r w:rsidR="006076A1" w:rsidRPr="00E26BE7">
              <w:rPr>
                <w:lang w:eastAsia="en-US"/>
              </w:rPr>
              <w:t>vnútrozemskej plavby a divízie vnútrozemskej plavby Dopravného úradu.</w:t>
            </w:r>
          </w:p>
        </w:tc>
      </w:tr>
      <w:tr w:rsidR="003501A1" w:rsidRPr="00E26BE7" w14:paraId="73381033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12B98BE2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E26BE7" w14:paraId="4C22C3B3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48D27015" w14:textId="77777777" w:rsidR="00745545" w:rsidRPr="00E26BE7" w:rsidRDefault="00FE1124" w:rsidP="00FE1124">
            <w:pPr>
              <w:autoSpaceDE w:val="0"/>
              <w:autoSpaceDN w:val="0"/>
              <w:adjustRightInd w:val="0"/>
              <w:jc w:val="both"/>
            </w:pPr>
            <w:r w:rsidRPr="00E26BE7">
              <w:t>Alternatívnym riešením je nulový variant. Uplatnenie nulového variantu by v praxi znamenalo netransponovanie delegovanej smernice (EÚ) 2020/12</w:t>
            </w:r>
            <w:r w:rsidR="0070524D" w:rsidRPr="00E26BE7">
              <w:t>,</w:t>
            </w:r>
            <w:r w:rsidRPr="00E26BE7">
              <w:t xml:space="preserve"> z čoho by plynuli sankcie zo strany EÚ.</w:t>
            </w:r>
          </w:p>
        </w:tc>
      </w:tr>
      <w:tr w:rsidR="003501A1" w:rsidRPr="00E26BE7" w14:paraId="4967989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CBA7D58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E26BE7" w14:paraId="664EA4DE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654FFC5" w14:textId="77777777" w:rsidR="003501A1" w:rsidRPr="00E26BE7" w:rsidRDefault="003501A1" w:rsidP="007B71A4">
            <w:pPr>
              <w:rPr>
                <w:i/>
              </w:rPr>
            </w:pPr>
            <w:r w:rsidRPr="00E26BE7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4DD2B" w14:textId="7922C2C7" w:rsidR="003501A1" w:rsidRPr="00E26BE7" w:rsidRDefault="003D68A8" w:rsidP="00FE1124">
            <w:pPr>
              <w:jc w:val="center"/>
            </w:pPr>
            <w:r w:rsidRPr="00E26BE7">
              <w:rPr>
                <w:rFonts w:ascii="MS Gothic" w:eastAsia="MS Gothic" w:hAnsi="MS Gothic" w:hint="eastAsia"/>
              </w:rPr>
              <w:t>☐</w:t>
            </w:r>
            <w:r w:rsidR="00FE1124" w:rsidRPr="00E26BE7">
              <w:rPr>
                <w:rFonts w:ascii="MS Gothic" w:eastAsia="MS Gothic" w:hAnsi="MS Gothic"/>
                <w:b/>
              </w:rPr>
              <w:t xml:space="preserve"> </w:t>
            </w:r>
            <w:r w:rsidR="003501A1" w:rsidRPr="00E26BE7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580581BA" w14:textId="7CE30BD9" w:rsidR="003501A1" w:rsidRPr="00E26BE7" w:rsidRDefault="00954E7D" w:rsidP="005F7FFD">
            <w:pPr>
              <w:jc w:val="center"/>
            </w:pPr>
            <w:r w:rsidRPr="00E26BE7">
              <w:rPr>
                <w:rFonts w:ascii="MS Gothic" w:eastAsia="MS Gothic" w:hAnsi="MS Gothic" w:hint="eastAsia"/>
              </w:rPr>
              <w:t>☒</w:t>
            </w:r>
            <w:r w:rsidR="005F7FFD" w:rsidRPr="00E26BE7">
              <w:t xml:space="preserve"> </w:t>
            </w:r>
            <w:r w:rsidR="003501A1" w:rsidRPr="00E26BE7">
              <w:t>Nie</w:t>
            </w:r>
          </w:p>
        </w:tc>
      </w:tr>
      <w:tr w:rsidR="003501A1" w:rsidRPr="00E26BE7" w14:paraId="1C4BAAF0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1700FF37" w14:textId="459736EA" w:rsidR="00424932" w:rsidRPr="00CF5E78" w:rsidRDefault="00424932" w:rsidP="00CF5E78">
            <w:pPr>
              <w:tabs>
                <w:tab w:val="left" w:pos="1394"/>
              </w:tabs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3501A1" w:rsidRPr="00E26BE7" w14:paraId="209594F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DE97761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FE1124" w:rsidRPr="00E26BE7" w14:paraId="285FF7EB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257F86B8" w14:textId="77777777" w:rsidR="00FE1124" w:rsidRPr="00E26BE7" w:rsidRDefault="00FE1124" w:rsidP="00FE1124">
            <w:r w:rsidRPr="00E26BE7">
              <w:t>V žiadnom ustanovení návrhu nariadenia nejde národná právna úprava nad stanovený rámec požiadaviek EÚ.</w:t>
            </w:r>
          </w:p>
        </w:tc>
      </w:tr>
      <w:tr w:rsidR="00FE1124" w:rsidRPr="00E26BE7" w14:paraId="70EDC601" w14:textId="77777777" w:rsidTr="00481123">
        <w:trPr>
          <w:trHeight w:val="74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B6B942" w14:textId="77777777" w:rsidR="00FE1124" w:rsidRPr="00E26BE7" w:rsidRDefault="00FE1124" w:rsidP="007B71A4">
            <w:pPr>
              <w:jc w:val="center"/>
            </w:pPr>
          </w:p>
        </w:tc>
      </w:tr>
      <w:tr w:rsidR="00FE1124" w:rsidRPr="00E26BE7" w14:paraId="5360255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CD21AEF" w14:textId="77777777" w:rsidR="00FE1124" w:rsidRPr="00E26BE7" w:rsidRDefault="00FE1124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FE1124" w:rsidRPr="00E26BE7" w14:paraId="6E356B8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A85E881" w14:textId="77777777" w:rsidR="00FE1124" w:rsidRPr="00E26BE7" w:rsidRDefault="00FE1124" w:rsidP="00745545">
            <w:pPr>
              <w:rPr>
                <w:i/>
              </w:rPr>
            </w:pPr>
          </w:p>
        </w:tc>
      </w:tr>
      <w:tr w:rsidR="00FE1124" w:rsidRPr="00E26BE7" w14:paraId="3FE5B390" w14:textId="77777777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6B5C56" w14:textId="77777777" w:rsidR="00FE1124" w:rsidRPr="00E26BE7" w:rsidRDefault="00FE1124" w:rsidP="004C60B8">
            <w:pPr>
              <w:ind w:left="142" w:hanging="142"/>
            </w:pPr>
          </w:p>
          <w:p w14:paraId="3BC20292" w14:textId="77777777" w:rsidR="00FE1124" w:rsidRPr="00E26BE7" w:rsidRDefault="00FE1124" w:rsidP="004C60B8">
            <w:pPr>
              <w:ind w:left="142" w:hanging="142"/>
            </w:pPr>
            <w:r w:rsidRPr="00E26BE7"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CE95EC7" w14:textId="77777777" w:rsidR="00FE1124" w:rsidRPr="00E26BE7" w:rsidRDefault="00FE1124" w:rsidP="00F22831">
            <w:r w:rsidRPr="00E26BE7">
              <w:t>** nepovinné</w:t>
            </w:r>
          </w:p>
        </w:tc>
      </w:tr>
      <w:tr w:rsidR="00FE1124" w:rsidRPr="00E26BE7" w14:paraId="5E8EE02D" w14:textId="77777777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A2668C9" w14:textId="77777777" w:rsidR="00FE1124" w:rsidRPr="00E26BE7" w:rsidRDefault="00FE1124" w:rsidP="003501A1">
            <w:pPr>
              <w:rPr>
                <w:b/>
                <w:sz w:val="16"/>
                <w:szCs w:val="16"/>
              </w:rPr>
            </w:pPr>
          </w:p>
        </w:tc>
      </w:tr>
      <w:tr w:rsidR="00FE1124" w:rsidRPr="00E26BE7" w14:paraId="37694BE8" w14:textId="77777777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A3B138A" w14:textId="77777777" w:rsidR="00FE1124" w:rsidRPr="00E26BE7" w:rsidRDefault="00FE112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FE1124" w:rsidRPr="00E26BE7" w14:paraId="6EB88DA3" w14:textId="77777777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5D91D4A7" w14:textId="77777777" w:rsidR="00FE1124" w:rsidRPr="00E26BE7" w:rsidRDefault="00FE1124" w:rsidP="007B71A4">
            <w:pPr>
              <w:rPr>
                <w:b/>
              </w:rPr>
            </w:pPr>
            <w:r w:rsidRPr="00E26BE7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3E97EE8C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65A74F91" w14:textId="77777777" w:rsidR="00FE1124" w:rsidRPr="00E26BE7" w:rsidRDefault="00FE1124" w:rsidP="007B71A4">
            <w:pPr>
              <w:rPr>
                <w:b/>
              </w:rPr>
            </w:pPr>
            <w:r w:rsidRPr="00E26BE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5EA45E4B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2C23D4F" w14:textId="77777777" w:rsidR="00FE1124" w:rsidRPr="00E26BE7" w:rsidRDefault="00FE1124" w:rsidP="007B71A4">
            <w:pPr>
              <w:rPr>
                <w:b/>
              </w:rPr>
            </w:pPr>
            <w:r w:rsidRPr="00E26BE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50B6E646" w14:textId="77777777" w:rsidR="00FE1124" w:rsidRPr="00E26BE7" w:rsidRDefault="00FE1124" w:rsidP="007B71A4">
            <w:pPr>
              <w:ind w:left="-107" w:right="-108"/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3ACFED3" w14:textId="77777777" w:rsidR="00FE1124" w:rsidRPr="00E26BE7" w:rsidRDefault="00FE1124" w:rsidP="007B71A4">
            <w:pPr>
              <w:ind w:left="34"/>
              <w:rPr>
                <w:b/>
              </w:rPr>
            </w:pPr>
            <w:r w:rsidRPr="00E26BE7">
              <w:rPr>
                <w:b/>
              </w:rPr>
              <w:t>Negatívne</w:t>
            </w:r>
          </w:p>
        </w:tc>
      </w:tr>
      <w:tr w:rsidR="00FE1124" w:rsidRPr="00E26BE7" w14:paraId="56531DCA" w14:textId="77777777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14:paraId="391E8DC4" w14:textId="77777777" w:rsidR="00FE1124" w:rsidRPr="00E26BE7" w:rsidRDefault="00FE1124" w:rsidP="007B71A4">
            <w:r w:rsidRPr="00E26BE7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6431733D" w14:textId="77777777" w:rsidR="00FE1124" w:rsidRPr="00E26BE7" w:rsidRDefault="00FE1124" w:rsidP="007B71A4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81EDF99" w14:textId="77777777" w:rsidR="00FE1124" w:rsidRPr="00E26BE7" w:rsidRDefault="00FE1124" w:rsidP="007B71A4">
            <w:r w:rsidRPr="00E26BE7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374D4C3" w14:textId="77777777" w:rsidR="00FE1124" w:rsidRPr="00E26BE7" w:rsidRDefault="00FE1124" w:rsidP="007B71A4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4131110" w14:textId="77777777" w:rsidR="00FE1124" w:rsidRPr="00E26BE7" w:rsidRDefault="00FE1124" w:rsidP="007B71A4">
            <w:r w:rsidRPr="00E26BE7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0A824C96" w14:textId="77777777" w:rsidR="00FE1124" w:rsidRPr="00E26BE7" w:rsidRDefault="00FE1124" w:rsidP="007B71A4">
            <w:pPr>
              <w:ind w:left="-107" w:right="-108"/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3C0CBB1" w14:textId="77777777" w:rsidR="00FE1124" w:rsidRPr="00E26BE7" w:rsidRDefault="00FE1124" w:rsidP="007B71A4">
            <w:pPr>
              <w:ind w:left="34"/>
            </w:pPr>
            <w:r w:rsidRPr="00E26BE7">
              <w:t>Čiastočne</w:t>
            </w:r>
          </w:p>
        </w:tc>
      </w:tr>
      <w:tr w:rsidR="00FE1124" w:rsidRPr="00E26BE7" w14:paraId="539391B4" w14:textId="77777777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14:paraId="4DAABC14" w14:textId="77777777" w:rsidR="00FE1124" w:rsidRPr="00E26BE7" w:rsidRDefault="00FE1124" w:rsidP="004C794A">
            <w:pPr>
              <w:rPr>
                <w:b/>
              </w:rPr>
            </w:pPr>
            <w:r w:rsidRPr="00E26BE7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29FE221C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56F53A8" w14:textId="77777777" w:rsidR="00FE1124" w:rsidRPr="00E26BE7" w:rsidRDefault="00FE1124" w:rsidP="007B71A4">
            <w:pPr>
              <w:ind w:right="-108"/>
              <w:rPr>
                <w:b/>
              </w:rPr>
            </w:pPr>
            <w:r w:rsidRPr="00E26BE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AE91272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A758505" w14:textId="77777777" w:rsidR="00FE1124" w:rsidRPr="00E26BE7" w:rsidRDefault="00FE1124" w:rsidP="007B71A4">
            <w:pPr>
              <w:rPr>
                <w:b/>
              </w:rPr>
            </w:pPr>
            <w:r w:rsidRPr="00E26BE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597CCFFB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2443AEBF" w14:textId="77777777" w:rsidR="00FE1124" w:rsidRPr="00E26BE7" w:rsidRDefault="00FE1124" w:rsidP="007B71A4">
            <w:pPr>
              <w:ind w:left="54"/>
              <w:rPr>
                <w:b/>
              </w:rPr>
            </w:pPr>
            <w:r w:rsidRPr="00E26BE7">
              <w:rPr>
                <w:b/>
              </w:rPr>
              <w:t>Negatívne</w:t>
            </w:r>
          </w:p>
        </w:tc>
      </w:tr>
      <w:tr w:rsidR="00FE1124" w:rsidRPr="00E26BE7" w14:paraId="0BF53B8F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F4988B2" w14:textId="77777777" w:rsidR="00FE1124" w:rsidRPr="00E26BE7" w:rsidRDefault="00FE1124" w:rsidP="007B71A4">
            <w:r w:rsidRPr="00E26BE7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230DFA7E" w14:textId="77777777" w:rsidR="00FE1124" w:rsidRPr="00E26BE7" w:rsidRDefault="00FE1124" w:rsidP="007B71A4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6A4F87D7" w14:textId="77777777" w:rsidR="00FE1124" w:rsidRPr="00E26BE7" w:rsidRDefault="00FE1124" w:rsidP="007B71A4">
            <w:pPr>
              <w:ind w:right="-108"/>
            </w:pPr>
            <w:r w:rsidRPr="00E26BE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81B3BAB" w14:textId="77777777" w:rsidR="00FE1124" w:rsidRPr="00E26BE7" w:rsidRDefault="00FE1124" w:rsidP="007B71A4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7CCCC91" w14:textId="77777777" w:rsidR="00FE1124" w:rsidRPr="00E26BE7" w:rsidRDefault="00FE1124" w:rsidP="007B71A4">
            <w:r w:rsidRPr="00E26BE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26D0880E" w14:textId="77777777" w:rsidR="00FE1124" w:rsidRPr="00E26BE7" w:rsidRDefault="00FE1124" w:rsidP="007B71A4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29004F76" w14:textId="77777777" w:rsidR="00FE1124" w:rsidRPr="00E26BE7" w:rsidRDefault="00FE1124" w:rsidP="007B71A4">
            <w:pPr>
              <w:ind w:left="54"/>
            </w:pPr>
            <w:r w:rsidRPr="00E26BE7">
              <w:t>Negatívne</w:t>
            </w:r>
          </w:p>
        </w:tc>
      </w:tr>
      <w:tr w:rsidR="00FE1124" w:rsidRPr="00E26BE7" w14:paraId="671AF7DC" w14:textId="77777777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14:paraId="59FAA0AF" w14:textId="77777777" w:rsidR="00FE1124" w:rsidRPr="00E26BE7" w:rsidRDefault="00FE1124" w:rsidP="004C794A">
            <w:pPr>
              <w:rPr>
                <w:b/>
              </w:rPr>
            </w:pPr>
            <w:r w:rsidRPr="00E26BE7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7EF33B34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4332DBB" w14:textId="77777777" w:rsidR="00FE1124" w:rsidRPr="00E26BE7" w:rsidRDefault="00FE1124" w:rsidP="007B71A4">
            <w:pPr>
              <w:ind w:right="-108"/>
              <w:rPr>
                <w:b/>
              </w:rPr>
            </w:pPr>
            <w:r w:rsidRPr="00E26BE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4A6E31E1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07C6181" w14:textId="77777777" w:rsidR="00FE1124" w:rsidRPr="00E26BE7" w:rsidRDefault="00FE1124" w:rsidP="007B71A4">
            <w:pPr>
              <w:rPr>
                <w:b/>
              </w:rPr>
            </w:pPr>
            <w:r w:rsidRPr="00E26BE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EB54065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A7434D0" w14:textId="77777777" w:rsidR="00FE1124" w:rsidRPr="00E26BE7" w:rsidRDefault="00FE1124" w:rsidP="007B71A4">
            <w:pPr>
              <w:ind w:left="54"/>
              <w:rPr>
                <w:b/>
              </w:rPr>
            </w:pPr>
            <w:r w:rsidRPr="00E26BE7">
              <w:rPr>
                <w:b/>
              </w:rPr>
              <w:t>Negatívne</w:t>
            </w:r>
          </w:p>
        </w:tc>
      </w:tr>
      <w:tr w:rsidR="00FE1124" w:rsidRPr="00E26BE7" w14:paraId="7D626C6B" w14:textId="77777777" w:rsidTr="004F6F1F">
        <w:tc>
          <w:tcPr>
            <w:tcW w:w="3812" w:type="dxa"/>
            <w:shd w:val="clear" w:color="auto" w:fill="E2E2E2"/>
          </w:tcPr>
          <w:p w14:paraId="10A3AD22" w14:textId="77777777" w:rsidR="00FE1124" w:rsidRPr="00E26BE7" w:rsidRDefault="00FE1124" w:rsidP="004C794A">
            <w:pPr>
              <w:rPr>
                <w:b/>
              </w:rPr>
            </w:pPr>
            <w:r w:rsidRPr="00E26BE7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7235AEA4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079B9C0" w14:textId="77777777" w:rsidR="00FE1124" w:rsidRPr="00E26BE7" w:rsidRDefault="00FE1124" w:rsidP="007B71A4">
            <w:pPr>
              <w:ind w:right="-108"/>
              <w:rPr>
                <w:b/>
              </w:rPr>
            </w:pPr>
            <w:r w:rsidRPr="00E26BE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28D7AB15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4CAFE2C" w14:textId="77777777" w:rsidR="00FE1124" w:rsidRPr="00E26BE7" w:rsidRDefault="00FE1124" w:rsidP="007B71A4">
            <w:pPr>
              <w:rPr>
                <w:b/>
              </w:rPr>
            </w:pPr>
            <w:r w:rsidRPr="00E26BE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2A85CB02" w14:textId="77777777" w:rsidR="00FE1124" w:rsidRPr="00E26BE7" w:rsidRDefault="00FE1124" w:rsidP="007B71A4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69C9CA4A" w14:textId="77777777" w:rsidR="00FE1124" w:rsidRPr="00E26BE7" w:rsidRDefault="00FE1124" w:rsidP="007B71A4">
            <w:pPr>
              <w:ind w:left="54"/>
              <w:rPr>
                <w:b/>
              </w:rPr>
            </w:pPr>
            <w:r w:rsidRPr="00E26BE7">
              <w:rPr>
                <w:b/>
              </w:rPr>
              <w:t>Negatívne</w:t>
            </w:r>
          </w:p>
        </w:tc>
      </w:tr>
      <w:tr w:rsidR="00FE1124" w:rsidRPr="00E26BE7" w14:paraId="078A8796" w14:textId="77777777" w:rsidTr="00FE1124">
        <w:tc>
          <w:tcPr>
            <w:tcW w:w="3812" w:type="dxa"/>
          </w:tcPr>
          <w:p w14:paraId="43E64885" w14:textId="77777777" w:rsidR="00FE1124" w:rsidRPr="00E26BE7" w:rsidRDefault="00FE1124" w:rsidP="003B6DA5">
            <w:pPr>
              <w:rPr>
                <w:b/>
              </w:rPr>
            </w:pPr>
            <w:r w:rsidRPr="00E26BE7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</w:tcPr>
          <w:p w14:paraId="7478F5B2" w14:textId="77777777" w:rsidR="00FE1124" w:rsidRPr="00E26BE7" w:rsidRDefault="00FE1124" w:rsidP="003B6DA5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</w:tcPr>
          <w:p w14:paraId="5F76B6A2" w14:textId="77777777" w:rsidR="00FE1124" w:rsidRPr="00E26BE7" w:rsidRDefault="00FE1124" w:rsidP="003B6DA5">
            <w:pPr>
              <w:ind w:right="-108"/>
              <w:rPr>
                <w:b/>
              </w:rPr>
            </w:pPr>
            <w:r w:rsidRPr="00E26BE7">
              <w:rPr>
                <w:b/>
              </w:rPr>
              <w:t>Pozitívne</w:t>
            </w:r>
          </w:p>
        </w:tc>
        <w:tc>
          <w:tcPr>
            <w:tcW w:w="569" w:type="dxa"/>
          </w:tcPr>
          <w:p w14:paraId="68494030" w14:textId="77777777" w:rsidR="00FE1124" w:rsidRPr="00E26BE7" w:rsidRDefault="00FE1124" w:rsidP="003B6DA5">
            <w:pPr>
              <w:jc w:val="center"/>
              <w:rPr>
                <w:b/>
              </w:rPr>
            </w:pPr>
            <w:r w:rsidRPr="00E26BE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</w:tcPr>
          <w:p w14:paraId="5D305B62" w14:textId="77777777" w:rsidR="00FE1124" w:rsidRPr="00E26BE7" w:rsidRDefault="00FE1124" w:rsidP="003B6DA5">
            <w:pPr>
              <w:rPr>
                <w:b/>
              </w:rPr>
            </w:pPr>
            <w:r w:rsidRPr="00E26BE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</w:tcPr>
          <w:p w14:paraId="232EB8A9" w14:textId="77777777" w:rsidR="00FE1124" w:rsidRPr="00E26BE7" w:rsidRDefault="00FE1124" w:rsidP="003B6DA5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</w:tcPr>
          <w:p w14:paraId="526F011D" w14:textId="77777777" w:rsidR="00FE1124" w:rsidRPr="00E26BE7" w:rsidRDefault="00FE1124" w:rsidP="003B6DA5">
            <w:pPr>
              <w:ind w:left="54"/>
              <w:rPr>
                <w:b/>
              </w:rPr>
            </w:pPr>
            <w:r w:rsidRPr="00E26BE7">
              <w:rPr>
                <w:b/>
              </w:rPr>
              <w:t>Negatívne</w:t>
            </w:r>
          </w:p>
        </w:tc>
      </w:tr>
      <w:tr w:rsidR="00FE1124" w:rsidRPr="00E26BE7" w14:paraId="045768C3" w14:textId="77777777" w:rsidTr="00FE1124">
        <w:tc>
          <w:tcPr>
            <w:tcW w:w="3812" w:type="dxa"/>
          </w:tcPr>
          <w:p w14:paraId="688034FF" w14:textId="77777777" w:rsidR="00FE1124" w:rsidRPr="00E26BE7" w:rsidRDefault="00FE1124" w:rsidP="003B6DA5">
            <w:pPr>
              <w:rPr>
                <w:b/>
              </w:rPr>
            </w:pPr>
            <w:r w:rsidRPr="00E26BE7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</w:tcPr>
          <w:p w14:paraId="197DFA9F" w14:textId="77777777" w:rsidR="00FE1124" w:rsidRPr="00E26BE7" w:rsidRDefault="00FE1124" w:rsidP="003B6DA5"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</w:tcPr>
          <w:p w14:paraId="11047364" w14:textId="77777777" w:rsidR="00FE1124" w:rsidRPr="00E26BE7" w:rsidRDefault="00FE1124" w:rsidP="003B6DA5">
            <w:pPr>
              <w:ind w:right="-108"/>
              <w:rPr>
                <w:b/>
              </w:rPr>
            </w:pPr>
          </w:p>
        </w:tc>
        <w:tc>
          <w:tcPr>
            <w:tcW w:w="569" w:type="dxa"/>
          </w:tcPr>
          <w:p w14:paraId="72CB7DB2" w14:textId="77777777" w:rsidR="00FE1124" w:rsidRPr="00E26BE7" w:rsidRDefault="00FE1124" w:rsidP="003B6DA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03A2029D" w14:textId="77777777" w:rsidR="00FE1124" w:rsidRPr="00E26BE7" w:rsidRDefault="00FE1124" w:rsidP="003B6DA5">
            <w:pPr>
              <w:rPr>
                <w:b/>
              </w:rPr>
            </w:pPr>
          </w:p>
        </w:tc>
        <w:tc>
          <w:tcPr>
            <w:tcW w:w="547" w:type="dxa"/>
            <w:gridSpan w:val="2"/>
          </w:tcPr>
          <w:p w14:paraId="794AF8B4" w14:textId="77777777" w:rsidR="00FE1124" w:rsidRPr="00E26BE7" w:rsidRDefault="00FE1124" w:rsidP="003B6DA5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14:paraId="4C341005" w14:textId="77777777" w:rsidR="00FE1124" w:rsidRPr="00E26BE7" w:rsidRDefault="00FE1124" w:rsidP="003B6DA5">
            <w:pPr>
              <w:ind w:left="54"/>
              <w:rPr>
                <w:b/>
              </w:rPr>
            </w:pPr>
          </w:p>
        </w:tc>
      </w:tr>
      <w:tr w:rsidR="00FE1124" w:rsidRPr="00E26BE7" w14:paraId="59373181" w14:textId="77777777" w:rsidTr="00FE1124">
        <w:tc>
          <w:tcPr>
            <w:tcW w:w="3812" w:type="dxa"/>
          </w:tcPr>
          <w:p w14:paraId="285AA542" w14:textId="77777777" w:rsidR="00FE1124" w:rsidRPr="00E26BE7" w:rsidRDefault="00FE1124" w:rsidP="003B6DA5">
            <w:pPr>
              <w:ind w:left="142"/>
              <w:rPr>
                <w:b/>
              </w:rPr>
            </w:pPr>
            <w:r w:rsidRPr="00E26BE7">
              <w:rPr>
                <w:rFonts w:eastAsia="Calibri"/>
                <w:lang w:eastAsia="en-US"/>
              </w:rPr>
              <w:t>vplyvy služieb verejnej správy na občana</w:t>
            </w:r>
          </w:p>
        </w:tc>
        <w:tc>
          <w:tcPr>
            <w:tcW w:w="541" w:type="dxa"/>
            <w:gridSpan w:val="2"/>
          </w:tcPr>
          <w:p w14:paraId="38829318" w14:textId="77777777" w:rsidR="00FE1124" w:rsidRPr="00E26BE7" w:rsidRDefault="00FE1124" w:rsidP="003B6DA5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</w:tcPr>
          <w:p w14:paraId="0451C974" w14:textId="77777777" w:rsidR="00FE1124" w:rsidRPr="00E26BE7" w:rsidRDefault="00FE1124" w:rsidP="003B6DA5">
            <w:pPr>
              <w:ind w:right="-108"/>
            </w:pPr>
            <w:r w:rsidRPr="00E26BE7">
              <w:t>Pozitívne</w:t>
            </w:r>
          </w:p>
        </w:tc>
        <w:tc>
          <w:tcPr>
            <w:tcW w:w="569" w:type="dxa"/>
          </w:tcPr>
          <w:p w14:paraId="50AA106D" w14:textId="77777777" w:rsidR="00FE1124" w:rsidRPr="00E26BE7" w:rsidRDefault="00FE1124" w:rsidP="003B6DA5">
            <w:pPr>
              <w:jc w:val="center"/>
            </w:pPr>
            <w:r w:rsidRPr="00E26BE7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</w:tcPr>
          <w:p w14:paraId="274502A9" w14:textId="77777777" w:rsidR="00FE1124" w:rsidRPr="00E26BE7" w:rsidRDefault="00FE1124" w:rsidP="003B6DA5">
            <w:r w:rsidRPr="00E26BE7">
              <w:t>Žiadne</w:t>
            </w:r>
          </w:p>
        </w:tc>
        <w:tc>
          <w:tcPr>
            <w:tcW w:w="547" w:type="dxa"/>
            <w:gridSpan w:val="2"/>
          </w:tcPr>
          <w:p w14:paraId="1D83D7CD" w14:textId="77777777" w:rsidR="00FE1124" w:rsidRPr="00E26BE7" w:rsidRDefault="00FE1124" w:rsidP="003B6DA5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</w:tcPr>
          <w:p w14:paraId="65FA951C" w14:textId="77777777" w:rsidR="00FE1124" w:rsidRPr="00E26BE7" w:rsidRDefault="00FE1124" w:rsidP="003B6DA5">
            <w:pPr>
              <w:ind w:left="54"/>
            </w:pPr>
            <w:r w:rsidRPr="00E26BE7">
              <w:t>Negatívne</w:t>
            </w:r>
          </w:p>
        </w:tc>
      </w:tr>
      <w:tr w:rsidR="00FE1124" w:rsidRPr="00E26BE7" w14:paraId="5089772E" w14:textId="77777777" w:rsidTr="00FE1124">
        <w:tc>
          <w:tcPr>
            <w:tcW w:w="3812" w:type="dxa"/>
          </w:tcPr>
          <w:p w14:paraId="35731601" w14:textId="77777777" w:rsidR="00FE1124" w:rsidRPr="00E26BE7" w:rsidRDefault="00FE1124" w:rsidP="003B6DA5">
            <w:pPr>
              <w:ind w:left="142"/>
              <w:rPr>
                <w:b/>
              </w:rPr>
            </w:pPr>
            <w:r w:rsidRPr="00E26BE7">
              <w:rPr>
                <w:rFonts w:eastAsia="Calibri"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gridSpan w:val="2"/>
          </w:tcPr>
          <w:p w14:paraId="1B1FECAC" w14:textId="77777777" w:rsidR="00FE1124" w:rsidRPr="00E26BE7" w:rsidRDefault="00FE1124" w:rsidP="003B6DA5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</w:tcPr>
          <w:p w14:paraId="32C740D3" w14:textId="77777777" w:rsidR="00FE1124" w:rsidRPr="00E26BE7" w:rsidRDefault="00FE1124" w:rsidP="003B6DA5">
            <w:pPr>
              <w:ind w:right="-108"/>
            </w:pPr>
            <w:r w:rsidRPr="00E26BE7">
              <w:t>Pozitívne</w:t>
            </w:r>
          </w:p>
        </w:tc>
        <w:tc>
          <w:tcPr>
            <w:tcW w:w="569" w:type="dxa"/>
          </w:tcPr>
          <w:p w14:paraId="210EBD4A" w14:textId="77777777" w:rsidR="00FE1124" w:rsidRPr="00E26BE7" w:rsidRDefault="00FE1124" w:rsidP="003B6DA5">
            <w:pPr>
              <w:jc w:val="center"/>
            </w:pPr>
            <w:r w:rsidRPr="00E26BE7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</w:tcPr>
          <w:p w14:paraId="4D80832B" w14:textId="77777777" w:rsidR="00FE1124" w:rsidRPr="00E26BE7" w:rsidRDefault="00FE1124" w:rsidP="003B6DA5">
            <w:r w:rsidRPr="00E26BE7">
              <w:t>Žiadne</w:t>
            </w:r>
          </w:p>
        </w:tc>
        <w:tc>
          <w:tcPr>
            <w:tcW w:w="547" w:type="dxa"/>
            <w:gridSpan w:val="2"/>
          </w:tcPr>
          <w:p w14:paraId="5634E6CE" w14:textId="77777777" w:rsidR="00FE1124" w:rsidRPr="00E26BE7" w:rsidRDefault="00FE1124" w:rsidP="003B6DA5">
            <w:pPr>
              <w:jc w:val="center"/>
            </w:pPr>
            <w:r w:rsidRPr="00E26BE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</w:tcPr>
          <w:p w14:paraId="4687530A" w14:textId="77777777" w:rsidR="00FE1124" w:rsidRPr="00E26BE7" w:rsidRDefault="00FE1124" w:rsidP="003B6DA5">
            <w:pPr>
              <w:ind w:left="54"/>
            </w:pPr>
            <w:r w:rsidRPr="00E26BE7">
              <w:t>Negatívne</w:t>
            </w:r>
          </w:p>
        </w:tc>
      </w:tr>
      <w:tr w:rsidR="00FE1124" w:rsidRPr="00E26BE7" w14:paraId="1CFC5998" w14:textId="77777777" w:rsidTr="00FE1124">
        <w:tc>
          <w:tcPr>
            <w:tcW w:w="3812" w:type="dxa"/>
          </w:tcPr>
          <w:p w14:paraId="44AE03AA" w14:textId="77777777" w:rsidR="00FE1124" w:rsidRPr="00E26BE7" w:rsidRDefault="00FE1124" w:rsidP="003B6DA5">
            <w:pPr>
              <w:ind w:left="142"/>
              <w:rPr>
                <w:rFonts w:eastAsia="Calibri"/>
                <w:lang w:eastAsia="en-US"/>
              </w:rPr>
            </w:pPr>
            <w:r w:rsidRPr="00E26BE7"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gridSpan w:val="2"/>
          </w:tcPr>
          <w:p w14:paraId="62CF766F" w14:textId="77777777" w:rsidR="00FE1124" w:rsidRPr="00E26BE7" w:rsidRDefault="00FE1124" w:rsidP="003B6DA5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</w:tcPr>
          <w:p w14:paraId="4BFF6CD2" w14:textId="77777777" w:rsidR="00FE1124" w:rsidRPr="00E26BE7" w:rsidRDefault="00FE1124" w:rsidP="003B6DA5">
            <w:pPr>
              <w:ind w:right="-108"/>
              <w:rPr>
                <w:b/>
              </w:rPr>
            </w:pPr>
            <w:r w:rsidRPr="00E26BE7">
              <w:rPr>
                <w:b/>
              </w:rPr>
              <w:t>Pozitívne</w:t>
            </w:r>
          </w:p>
        </w:tc>
        <w:tc>
          <w:tcPr>
            <w:tcW w:w="569" w:type="dxa"/>
          </w:tcPr>
          <w:p w14:paraId="20FE8EBB" w14:textId="77777777" w:rsidR="00FE1124" w:rsidRPr="00E26BE7" w:rsidRDefault="00FE1124" w:rsidP="003B6DA5">
            <w:pPr>
              <w:jc w:val="center"/>
              <w:rPr>
                <w:b/>
              </w:rPr>
            </w:pPr>
            <w:r w:rsidRPr="00E26BE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</w:tcPr>
          <w:p w14:paraId="60B658A0" w14:textId="77777777" w:rsidR="00FE1124" w:rsidRPr="00E26BE7" w:rsidRDefault="00FE1124" w:rsidP="003B6DA5">
            <w:pPr>
              <w:rPr>
                <w:b/>
              </w:rPr>
            </w:pPr>
            <w:r w:rsidRPr="00E26BE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</w:tcPr>
          <w:p w14:paraId="4E72D0E9" w14:textId="77777777" w:rsidR="00FE1124" w:rsidRPr="00E26BE7" w:rsidRDefault="00FE1124" w:rsidP="003B6DA5">
            <w:pPr>
              <w:jc w:val="center"/>
              <w:rPr>
                <w:b/>
              </w:rPr>
            </w:pPr>
            <w:r w:rsidRPr="00E26B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</w:tcPr>
          <w:p w14:paraId="25C54BDE" w14:textId="77777777" w:rsidR="00FE1124" w:rsidRPr="00E26BE7" w:rsidRDefault="00FE1124" w:rsidP="003B6DA5">
            <w:pPr>
              <w:ind w:left="54"/>
              <w:rPr>
                <w:b/>
              </w:rPr>
            </w:pPr>
            <w:r w:rsidRPr="00E26BE7">
              <w:rPr>
                <w:b/>
              </w:rPr>
              <w:t>Negatívne</w:t>
            </w:r>
          </w:p>
        </w:tc>
      </w:tr>
    </w:tbl>
    <w:p w14:paraId="1805DCCF" w14:textId="77777777" w:rsidR="003501A1" w:rsidRPr="00E26BE7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E26BE7" w14:paraId="4EAB6C7F" w14:textId="77777777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33F4BAB4" w14:textId="77777777" w:rsidR="004F6F1F" w:rsidRPr="00E26BE7" w:rsidRDefault="004F6F1F" w:rsidP="00FE1124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E26BE7" w14:paraId="3A27B16C" w14:textId="77777777" w:rsidTr="00FE1124">
        <w:trPr>
          <w:trHeight w:val="502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14:paraId="216E2D90" w14:textId="77777777" w:rsidR="004F6F1F" w:rsidRPr="00E26BE7" w:rsidRDefault="004F6F1F" w:rsidP="00351B17">
            <w:pPr>
              <w:rPr>
                <w:i/>
              </w:rPr>
            </w:pPr>
            <w:r w:rsidRPr="00E26BE7">
              <w:rPr>
                <w:i/>
              </w:rPr>
              <w:t>V prípade potreby uveďte doplňujúce informácie k návrhu.</w:t>
            </w:r>
          </w:p>
          <w:p w14:paraId="1AD6B698" w14:textId="77777777" w:rsidR="00351B17" w:rsidRPr="00E26BE7" w:rsidRDefault="00351B17" w:rsidP="008D6F88">
            <w:pPr>
              <w:jc w:val="both"/>
            </w:pPr>
          </w:p>
        </w:tc>
      </w:tr>
      <w:tr w:rsidR="003501A1" w:rsidRPr="00E26BE7" w14:paraId="48395A8D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1FCE4BA9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FE1124" w:rsidRPr="00E26BE7" w14:paraId="33AD35CA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B53A9FD" w14:textId="77777777" w:rsidR="00FE1124" w:rsidRPr="00E26BE7" w:rsidRDefault="00FE1124" w:rsidP="003B6DA5">
            <w:pPr>
              <w:jc w:val="both"/>
            </w:pPr>
            <w:r w:rsidRPr="00E26BE7">
              <w:t xml:space="preserve">Ing. Silvia Csöböková, sekcia vodnej dopravy, Ministerstvo dopravy a výstavby Slovenskej republiky, </w:t>
            </w:r>
            <w:hyperlink r:id="rId9" w:history="1">
              <w:r w:rsidRPr="00E26BE7">
                <w:rPr>
                  <w:rStyle w:val="Hypertextovprepojenie"/>
                  <w:rFonts w:ascii="Times" w:hAnsi="Times" w:cs="Times"/>
                  <w:color w:val="0000FF"/>
                </w:rPr>
                <w:t>silvia.csobokova@mindop.sk</w:t>
              </w:r>
            </w:hyperlink>
            <w:r w:rsidRPr="00E26BE7">
              <w:rPr>
                <w:rStyle w:val="Hypertextovprepojenie"/>
                <w:rFonts w:ascii="Times" w:hAnsi="Times" w:cs="Times"/>
                <w:color w:val="0000FF"/>
              </w:rPr>
              <w:t>,</w:t>
            </w:r>
            <w:r w:rsidRPr="00E26BE7">
              <w:t xml:space="preserve">  T: 02/594 94 509.</w:t>
            </w:r>
          </w:p>
        </w:tc>
      </w:tr>
      <w:tr w:rsidR="003501A1" w:rsidRPr="00E26BE7" w14:paraId="5AFB4499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16F548EC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E26BE7" w14:paraId="0699288E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4838AA1" w14:textId="77777777" w:rsidR="006E69F5" w:rsidRPr="00E26BE7" w:rsidRDefault="006E69F5" w:rsidP="006E69F5">
            <w:r w:rsidRPr="00E26BE7">
              <w:t>Konzultácie s pracovníkmi divízie vnútrozemskej plavby Dopravného úradu.</w:t>
            </w:r>
          </w:p>
          <w:p w14:paraId="756A35A6" w14:textId="77777777" w:rsidR="003501A1" w:rsidRPr="00E26BE7" w:rsidRDefault="003501A1" w:rsidP="007B71A4">
            <w:pPr>
              <w:rPr>
                <w:b/>
              </w:rPr>
            </w:pPr>
          </w:p>
        </w:tc>
      </w:tr>
      <w:tr w:rsidR="003501A1" w:rsidRPr="00E26BE7" w14:paraId="19A8978A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3CB57DD1" w14:textId="77777777" w:rsidR="003501A1" w:rsidRPr="00E26BE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26BE7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501A1" w:rsidRPr="00A179AE" w14:paraId="336F5CB8" w14:textId="77777777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3CA5016" w14:textId="77777777" w:rsidR="006E69F5" w:rsidRPr="006E69F5" w:rsidRDefault="003501A1" w:rsidP="00424932">
            <w:pPr>
              <w:rPr>
                <w:b/>
              </w:rPr>
            </w:pPr>
            <w:r w:rsidRPr="00E26BE7">
              <w:rPr>
                <w:i/>
              </w:rPr>
              <w:t>Uveďte stanovisko Komisie pre posudzovanie vybraných vplyvov, ktoré Vám bolo zaslané v rámci predbežného pripomienkového konania</w:t>
            </w:r>
            <w:r w:rsidR="006076A1" w:rsidRPr="00E26BE7">
              <w:rPr>
                <w:i/>
              </w:rPr>
              <w:t>.</w:t>
            </w:r>
          </w:p>
        </w:tc>
      </w:tr>
    </w:tbl>
    <w:p w14:paraId="5244DB14" w14:textId="77777777" w:rsidR="003501A1" w:rsidRDefault="003501A1" w:rsidP="00424932">
      <w:pPr>
        <w:rPr>
          <w:b/>
        </w:rPr>
      </w:pPr>
    </w:p>
    <w:sectPr w:rsidR="003501A1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328A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719B" w14:textId="77777777" w:rsidR="007E3527" w:rsidRDefault="007E3527" w:rsidP="003501A1">
      <w:r>
        <w:separator/>
      </w:r>
    </w:p>
  </w:endnote>
  <w:endnote w:type="continuationSeparator" w:id="0">
    <w:p w14:paraId="7C6FDDE4" w14:textId="77777777" w:rsidR="007E3527" w:rsidRDefault="007E352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8A66" w14:textId="50D50F19" w:rsidR="007F0E7C" w:rsidRDefault="00B7692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37126">
      <w:rPr>
        <w:noProof/>
      </w:rPr>
      <w:t>1</w:t>
    </w:r>
    <w:r>
      <w:rPr>
        <w:noProof/>
      </w:rPr>
      <w:fldChar w:fldCharType="end"/>
    </w:r>
  </w:p>
  <w:p w14:paraId="6F906230" w14:textId="77777777" w:rsidR="007F0E7C" w:rsidRDefault="007F0E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D85BD" w14:textId="77777777" w:rsidR="007E3527" w:rsidRDefault="007E3527" w:rsidP="003501A1">
      <w:r>
        <w:separator/>
      </w:r>
    </w:p>
  </w:footnote>
  <w:footnote w:type="continuationSeparator" w:id="0">
    <w:p w14:paraId="48FA3EC1" w14:textId="77777777" w:rsidR="007E3527" w:rsidRDefault="007E3527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prianová, Valeria">
    <w15:presenceInfo w15:providerId="AD" w15:userId="S-1-5-21-770342266-1452753317-1341851483-1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23AD5"/>
    <w:rsid w:val="00036A60"/>
    <w:rsid w:val="00045E9C"/>
    <w:rsid w:val="00052BE4"/>
    <w:rsid w:val="000A15AE"/>
    <w:rsid w:val="000A26A4"/>
    <w:rsid w:val="000B4DE8"/>
    <w:rsid w:val="000B583A"/>
    <w:rsid w:val="000D538C"/>
    <w:rsid w:val="00127DAC"/>
    <w:rsid w:val="00140326"/>
    <w:rsid w:val="00175FD8"/>
    <w:rsid w:val="001766F3"/>
    <w:rsid w:val="001836AA"/>
    <w:rsid w:val="001D6CF9"/>
    <w:rsid w:val="00231DF8"/>
    <w:rsid w:val="00255E2D"/>
    <w:rsid w:val="00276CFB"/>
    <w:rsid w:val="00291E69"/>
    <w:rsid w:val="002C428A"/>
    <w:rsid w:val="002D6C87"/>
    <w:rsid w:val="00322ABB"/>
    <w:rsid w:val="003501A1"/>
    <w:rsid w:val="00351B17"/>
    <w:rsid w:val="0035724A"/>
    <w:rsid w:val="0039244F"/>
    <w:rsid w:val="00395098"/>
    <w:rsid w:val="003D4086"/>
    <w:rsid w:val="003D68A8"/>
    <w:rsid w:val="003E5813"/>
    <w:rsid w:val="003F572C"/>
    <w:rsid w:val="004141C2"/>
    <w:rsid w:val="00424932"/>
    <w:rsid w:val="0045465B"/>
    <w:rsid w:val="00481123"/>
    <w:rsid w:val="004A4B74"/>
    <w:rsid w:val="004C60B8"/>
    <w:rsid w:val="004C794A"/>
    <w:rsid w:val="004E0B3F"/>
    <w:rsid w:val="004F6F1F"/>
    <w:rsid w:val="004F7D6F"/>
    <w:rsid w:val="00521C8F"/>
    <w:rsid w:val="00550C62"/>
    <w:rsid w:val="00570B48"/>
    <w:rsid w:val="00581DCB"/>
    <w:rsid w:val="0059199F"/>
    <w:rsid w:val="00595B2D"/>
    <w:rsid w:val="005B7A8D"/>
    <w:rsid w:val="005E5957"/>
    <w:rsid w:val="005F7FFD"/>
    <w:rsid w:val="006076A1"/>
    <w:rsid w:val="00624469"/>
    <w:rsid w:val="00640A73"/>
    <w:rsid w:val="00653ADA"/>
    <w:rsid w:val="00653B17"/>
    <w:rsid w:val="0065679B"/>
    <w:rsid w:val="00672DB1"/>
    <w:rsid w:val="0068419C"/>
    <w:rsid w:val="006901BB"/>
    <w:rsid w:val="00693A93"/>
    <w:rsid w:val="006959FC"/>
    <w:rsid w:val="006A35A3"/>
    <w:rsid w:val="006C3B7D"/>
    <w:rsid w:val="006E69F5"/>
    <w:rsid w:val="0070524D"/>
    <w:rsid w:val="007361FE"/>
    <w:rsid w:val="00737C85"/>
    <w:rsid w:val="0074037A"/>
    <w:rsid w:val="00745545"/>
    <w:rsid w:val="00747B4C"/>
    <w:rsid w:val="007728E7"/>
    <w:rsid w:val="007B71A4"/>
    <w:rsid w:val="007E3527"/>
    <w:rsid w:val="007F0E7C"/>
    <w:rsid w:val="008242F6"/>
    <w:rsid w:val="008B6928"/>
    <w:rsid w:val="008D6F88"/>
    <w:rsid w:val="008D7594"/>
    <w:rsid w:val="008F4AA9"/>
    <w:rsid w:val="00951F41"/>
    <w:rsid w:val="00954E7D"/>
    <w:rsid w:val="00961325"/>
    <w:rsid w:val="009634B3"/>
    <w:rsid w:val="00977310"/>
    <w:rsid w:val="00984206"/>
    <w:rsid w:val="009A6E49"/>
    <w:rsid w:val="009D5B79"/>
    <w:rsid w:val="00A179AE"/>
    <w:rsid w:val="00A41B36"/>
    <w:rsid w:val="00A7167A"/>
    <w:rsid w:val="00A964BB"/>
    <w:rsid w:val="00AA179B"/>
    <w:rsid w:val="00AB2FA3"/>
    <w:rsid w:val="00AC2477"/>
    <w:rsid w:val="00AC5458"/>
    <w:rsid w:val="00AD76DC"/>
    <w:rsid w:val="00B049B2"/>
    <w:rsid w:val="00B076A4"/>
    <w:rsid w:val="00B65A86"/>
    <w:rsid w:val="00B71DFB"/>
    <w:rsid w:val="00B7692F"/>
    <w:rsid w:val="00B83402"/>
    <w:rsid w:val="00BB42DD"/>
    <w:rsid w:val="00BF3078"/>
    <w:rsid w:val="00C02381"/>
    <w:rsid w:val="00C121F7"/>
    <w:rsid w:val="00C503A2"/>
    <w:rsid w:val="00C62B2B"/>
    <w:rsid w:val="00C71C15"/>
    <w:rsid w:val="00CA7E8A"/>
    <w:rsid w:val="00CB21D6"/>
    <w:rsid w:val="00CB3623"/>
    <w:rsid w:val="00CC33B3"/>
    <w:rsid w:val="00CD4C7B"/>
    <w:rsid w:val="00CF5E78"/>
    <w:rsid w:val="00D06EC8"/>
    <w:rsid w:val="00D13B6F"/>
    <w:rsid w:val="00D161CA"/>
    <w:rsid w:val="00D37126"/>
    <w:rsid w:val="00D669C3"/>
    <w:rsid w:val="00D75D35"/>
    <w:rsid w:val="00D8132B"/>
    <w:rsid w:val="00DE0626"/>
    <w:rsid w:val="00DE2A12"/>
    <w:rsid w:val="00DF5E85"/>
    <w:rsid w:val="00E26BE7"/>
    <w:rsid w:val="00E40C22"/>
    <w:rsid w:val="00E71711"/>
    <w:rsid w:val="00E9293A"/>
    <w:rsid w:val="00EB3B26"/>
    <w:rsid w:val="00EB59E3"/>
    <w:rsid w:val="00EC5D3D"/>
    <w:rsid w:val="00ED4B37"/>
    <w:rsid w:val="00EF68C2"/>
    <w:rsid w:val="00F22831"/>
    <w:rsid w:val="00F401EE"/>
    <w:rsid w:val="00F619AF"/>
    <w:rsid w:val="00F62771"/>
    <w:rsid w:val="00F92414"/>
    <w:rsid w:val="00F93671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A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9A6E49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A6E49"/>
    <w:rPr>
      <w:rFonts w:ascii="Arial" w:hAnsi="Arial" w:cs="Arial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653B17"/>
    <w:rPr>
      <w:rFonts w:cs="Times New Roman"/>
      <w:color w:val="0000FF" w:themeColor="hyperlink"/>
      <w:u w:val="single"/>
    </w:rPr>
  </w:style>
  <w:style w:type="paragraph" w:customStyle="1" w:styleId="CM4">
    <w:name w:val="CM4"/>
    <w:basedOn w:val="Normlny"/>
    <w:next w:val="Normlny"/>
    <w:uiPriority w:val="99"/>
    <w:rsid w:val="008D6F8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9A6E49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A6E49"/>
    <w:rPr>
      <w:rFonts w:ascii="Arial" w:hAnsi="Arial" w:cs="Arial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653B17"/>
    <w:rPr>
      <w:rFonts w:cs="Times New Roman"/>
      <w:color w:val="0000FF" w:themeColor="hyperlink"/>
      <w:u w:val="single"/>
    </w:rPr>
  </w:style>
  <w:style w:type="paragraph" w:customStyle="1" w:styleId="CM4">
    <w:name w:val="CM4"/>
    <w:basedOn w:val="Normlny"/>
    <w:next w:val="Normlny"/>
    <w:uiPriority w:val="99"/>
    <w:rsid w:val="008D6F8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lvia.csobokova@mindop.s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64F4-A2D6-4C1A-AC6F-E3E085A5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Csöböková, Silvia</cp:lastModifiedBy>
  <cp:revision>5</cp:revision>
  <cp:lastPrinted>2021-02-25T15:04:00Z</cp:lastPrinted>
  <dcterms:created xsi:type="dcterms:W3CDTF">2021-02-23T17:06:00Z</dcterms:created>
  <dcterms:modified xsi:type="dcterms:W3CDTF">2021-02-25T16:44:00Z</dcterms:modified>
</cp:coreProperties>
</file>