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266" w:rsidRDefault="00C12266" w:rsidP="00DD778F">
      <w:pPr>
        <w:pStyle w:val="Normlnywebov"/>
        <w:widowControl w:val="0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PREDKLADACIA SPRÁVA</w:t>
      </w:r>
    </w:p>
    <w:p w:rsidR="00C12266" w:rsidRPr="0090200B" w:rsidRDefault="00C12266" w:rsidP="00DD778F">
      <w:pPr>
        <w:pStyle w:val="Normlnywebov"/>
        <w:widowControl w:val="0"/>
        <w:spacing w:before="0" w:beforeAutospacing="0" w:after="0" w:afterAutospacing="0"/>
        <w:ind w:firstLine="567"/>
        <w:jc w:val="both"/>
        <w:rPr>
          <w:b/>
        </w:rPr>
      </w:pPr>
    </w:p>
    <w:p w:rsidR="00C12266" w:rsidRPr="00FE0115" w:rsidRDefault="00C12266" w:rsidP="00DD778F">
      <w:pPr>
        <w:pStyle w:val="Nadpis1"/>
        <w:keepNext w:val="0"/>
        <w:keepLines w:val="0"/>
        <w:widowControl w:val="0"/>
        <w:shd w:val="clear" w:color="auto" w:fill="FFFFFF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 w:rsidRPr="00FE0115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Podľa § 70 ods. 2 zákona Národnej rady Slovenskej republiky č. 350/1996 Z. z. o rokovacom poriadku Národnej rady Slovenskej republiky v znení neskorších predpisov</w:t>
      </w:r>
      <w:r w:rsidR="00DE6C95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</w:t>
      </w:r>
      <w:r w:rsidRPr="00FE0115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Ministerstvo pôdohospodárstva a rozvoja vidieka Slovenskej republiky (ďalej len „predkladateľ“) predkladá návrh </w:t>
      </w:r>
      <w:hyperlink r:id="rId7" w:history="1">
        <w:r w:rsidR="00DE6C95"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sk-SK"/>
          </w:rPr>
          <w:t xml:space="preserve"> </w:t>
        </w:r>
        <w:r w:rsidRPr="00C12266"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sk-SK"/>
          </w:rPr>
          <w:t>skupiny poslancov Národn</w:t>
        </w:r>
        <w:r w:rsidR="00F13826"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sk-SK"/>
          </w:rPr>
          <w:t>ej rady Slovenskej republiky na </w:t>
        </w:r>
        <w:r w:rsidRPr="00C12266"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sk-SK"/>
          </w:rPr>
          <w:t>vydanie zákona, ktorým sa mení zákon č. 504/2003 Z. z. o nájme poľnohospodárskych pozemkov, poľnohospodárskeho podniku a lesných pozemkov a o zmene niektorých zákonov v znení neskorších predpisov</w:t>
        </w:r>
        <w:r w:rsidRPr="00FE0115"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sk-SK"/>
          </w:rPr>
          <w:t xml:space="preserve"> (tlač </w:t>
        </w:r>
        <w:r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sk-SK"/>
          </w:rPr>
          <w:t>393</w:t>
        </w:r>
        <w:r w:rsidRPr="00FE0115"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sk-SK"/>
          </w:rPr>
          <w:t>)</w:t>
        </w:r>
      </w:hyperlink>
      <w:r w:rsidRPr="00FE0115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.</w:t>
      </w:r>
    </w:p>
    <w:p w:rsidR="00C12266" w:rsidRDefault="00C12266" w:rsidP="00DD778F">
      <w:pPr>
        <w:pStyle w:val="Nadpis1"/>
        <w:keepNext w:val="0"/>
        <w:keepLines w:val="0"/>
        <w:widowControl w:val="0"/>
        <w:shd w:val="clear" w:color="auto" w:fill="FFFFFF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</w:p>
    <w:p w:rsidR="00EE24A8" w:rsidRPr="00EE24A8" w:rsidRDefault="00EE24A8" w:rsidP="00DD778F">
      <w:pPr>
        <w:pStyle w:val="Nadpis1"/>
        <w:keepNext w:val="0"/>
        <w:keepLines w:val="0"/>
        <w:widowControl w:val="0"/>
        <w:shd w:val="clear" w:color="auto" w:fill="FFFFFF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sk-SK"/>
        </w:rPr>
      </w:pPr>
      <w:r w:rsidRPr="00EE24A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sk-SK"/>
        </w:rPr>
        <w:t>Stanovisko predkladateľa</w:t>
      </w:r>
    </w:p>
    <w:p w:rsidR="00C12266" w:rsidRPr="00EE24A8" w:rsidRDefault="00C12266" w:rsidP="00DD778F">
      <w:pPr>
        <w:pStyle w:val="Nadpis1"/>
        <w:keepNext w:val="0"/>
        <w:keepLines w:val="0"/>
        <w:widowControl w:val="0"/>
        <w:shd w:val="clear" w:color="auto" w:fill="FFFFFF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</w:p>
    <w:p w:rsidR="003F550F" w:rsidRPr="003F550F" w:rsidRDefault="003F550F" w:rsidP="00DD778F">
      <w:pPr>
        <w:pStyle w:val="Nadpis1"/>
        <w:keepNext w:val="0"/>
        <w:keepLines w:val="0"/>
        <w:widowControl w:val="0"/>
        <w:shd w:val="clear" w:color="auto" w:fill="FFFFFF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sk-SK"/>
        </w:rPr>
      </w:pPr>
      <w:r w:rsidRPr="003F550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sk-SK"/>
        </w:rPr>
        <w:t>Všeobecne</w:t>
      </w:r>
    </w:p>
    <w:p w:rsidR="00C12266" w:rsidRPr="00EE24A8" w:rsidRDefault="00C12266" w:rsidP="00DD778F">
      <w:pPr>
        <w:pStyle w:val="Nadpis1"/>
        <w:keepNext w:val="0"/>
        <w:keepLines w:val="0"/>
        <w:widowControl w:val="0"/>
        <w:shd w:val="clear" w:color="auto" w:fill="FFFFFF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 w:rsidRPr="00EE24A8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Cieľom predloženého návrhu zákona je odstránenie súčasného nevyváženého právneho postavenia medzi prenajímateľom poľnohospodárskeho pozemku a jeho nájomcom. </w:t>
      </w:r>
      <w:r w:rsidR="00DD778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Ide </w:t>
      </w:r>
      <w:r w:rsidRPr="00EE24A8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o problém, ktorý je dôsledkom dlhodobo neriešenej rozdrobenosti vlastnícky a užívacích vzťahov k poľnohospodárskym pozemkom, ktoré vyžadujú osobitnú úpravu voči všeobecnej úprave v Občianskom zákonníku. </w:t>
      </w:r>
    </w:p>
    <w:p w:rsidR="00C12266" w:rsidRPr="00EE24A8" w:rsidRDefault="00C12266" w:rsidP="00DD778F">
      <w:pPr>
        <w:pStyle w:val="Nadpis1"/>
        <w:keepNext w:val="0"/>
        <w:keepLines w:val="0"/>
        <w:widowControl w:val="0"/>
        <w:shd w:val="clear" w:color="auto" w:fill="FFFFFF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 w:rsidRPr="00EE24A8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Zákonodarca vniesol do tohto komplexu vzťahov osobitné inštitúty, ktorými prehĺbil nevyváženosť právnych vzťahov pri užívaní poľnohospodárskych pozemkov a to v neprospech vlastníka pozemku ako prenajímateľa vo vzťahu k nájomcovi pozemku. Poslanecký návrh zákona vychádza z predpokladu, že tieto prvky osobitnej právnej úpravy sú alebo môžu byť v rozpore s ochranou vlastníckeho práva garantovaným Ústavou Slovenskej republiky. </w:t>
      </w:r>
    </w:p>
    <w:p w:rsidR="00C12266" w:rsidRPr="00EE24A8" w:rsidRDefault="00C12266" w:rsidP="00DD778F">
      <w:pPr>
        <w:pStyle w:val="Nadpis1"/>
        <w:keepNext w:val="0"/>
        <w:keepLines w:val="0"/>
        <w:widowControl w:val="0"/>
        <w:shd w:val="clear" w:color="auto" w:fill="FFFFFF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 w:rsidRPr="00EE24A8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Navrhovatelia deklarujú snahu o také nastavenie zákonnej úpravy zmluvných vzťahov, ktoré bude v rovnováhe medzi oprávnenými záujmami na zachovan</w:t>
      </w:r>
      <w:r w:rsidR="00EE24A8" w:rsidRPr="00EE24A8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í</w:t>
      </w:r>
      <w:r w:rsidRPr="00EE24A8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modernej a udržateľnej poľnohospodárskej veľkovýroby</w:t>
      </w:r>
      <w:r w:rsidR="00EE24A8" w:rsidRPr="00EE24A8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na jednej strane</w:t>
      </w:r>
      <w:r w:rsidRPr="00EE24A8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a oprávnenými záujmami vlastníkov poľnohospodárskej pôdy</w:t>
      </w:r>
      <w:r w:rsidR="00EE24A8" w:rsidRPr="00EE24A8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. Zároveň uvádzajú, že táto právna úprava bude mať zrejme dočasný charakter, keďže sa očakáva prijatie novej zákonnej úpravy smerujúcej proti</w:t>
      </w:r>
      <w:r w:rsidRPr="00EE24A8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rozdrobenos</w:t>
      </w:r>
      <w:r w:rsidR="00EE24A8" w:rsidRPr="00EE24A8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ti vlastníctva</w:t>
      </w:r>
      <w:r w:rsidR="00DE6C95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</w:t>
      </w:r>
      <w:r w:rsidR="00EE24A8" w:rsidRPr="00EE24A8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a užívania</w:t>
      </w:r>
      <w:r w:rsidRPr="00EE24A8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pozemkov. Navrhnutá úprava preto </w:t>
      </w:r>
      <w:r w:rsidR="00EE24A8" w:rsidRPr="00EE24A8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vyvažuje</w:t>
      </w:r>
      <w:r w:rsidRPr="00EE24A8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potrebu nevyhnutnej miery administratívnej flexibility, avšak </w:t>
      </w:r>
      <w:r w:rsidR="00EE24A8" w:rsidRPr="00EE24A8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snaží sa o</w:t>
      </w:r>
      <w:r w:rsidRPr="00EE24A8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posun k zvýšenej ochrane </w:t>
      </w:r>
      <w:r w:rsidR="00EE24A8" w:rsidRPr="00EE24A8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vlastníckych práv a</w:t>
      </w:r>
      <w:r w:rsidR="00DD778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 to </w:t>
      </w:r>
      <w:r w:rsidR="00EE24A8" w:rsidRPr="00EE24A8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tak, aby vlastník mohol voľnejšie a účinnejšie realizovať svoje dispozičné oprávnenie s právom držby a užívacími oprávneniami k predmetu vlastníctva, najmä s ohľadom na právo pozemok na základe vlastnej slobodnej vôle prenajať alebo neprenajať</w:t>
      </w:r>
      <w:r w:rsidRPr="00EE24A8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. </w:t>
      </w:r>
    </w:p>
    <w:p w:rsidR="00C12266" w:rsidRPr="003F550F" w:rsidRDefault="00C12266" w:rsidP="00DD778F">
      <w:pPr>
        <w:pStyle w:val="Nadpis1"/>
        <w:keepNext w:val="0"/>
        <w:keepLines w:val="0"/>
        <w:widowControl w:val="0"/>
        <w:shd w:val="clear" w:color="auto" w:fill="FFFFFF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</w:p>
    <w:p w:rsidR="00EE24A8" w:rsidRPr="003F550F" w:rsidRDefault="00EE24A8" w:rsidP="00DD778F">
      <w:pPr>
        <w:pStyle w:val="Nadpis1"/>
        <w:keepNext w:val="0"/>
        <w:keepLines w:val="0"/>
        <w:widowControl w:val="0"/>
        <w:shd w:val="clear" w:color="auto" w:fill="FFFFFF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sk-SK"/>
        </w:rPr>
      </w:pPr>
      <w:r w:rsidRPr="003F550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sk-SK"/>
        </w:rPr>
        <w:t>K čl. I</w:t>
      </w:r>
      <w:r w:rsidR="00DE6C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sk-SK"/>
        </w:rPr>
        <w:t> </w:t>
      </w:r>
      <w:r w:rsidRPr="003F550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sk-SK"/>
        </w:rPr>
        <w:t>bodu</w:t>
      </w:r>
      <w:r w:rsidR="00DE6C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sk-SK"/>
        </w:rPr>
        <w:t xml:space="preserve"> 1</w:t>
      </w:r>
    </w:p>
    <w:p w:rsidR="003C12B8" w:rsidRPr="003F550F" w:rsidRDefault="00EE24A8" w:rsidP="00DD778F">
      <w:pPr>
        <w:pStyle w:val="Nadpis1"/>
        <w:keepNext w:val="0"/>
        <w:keepLines w:val="0"/>
        <w:widowControl w:val="0"/>
        <w:shd w:val="clear" w:color="auto" w:fill="FFFFFF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 w:rsidRPr="003F550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Návrh zákona zasahuje do § 12 ods. 4, ktorý ustanovuje fikciu vzniku nájomnej zmluvy za podmienok obsiahnutých v návrhu nájomnej zmluvy zo strany záujemcu o nájom na základe konkludentného súhlasu osloveného vlastníka, ktorý na návrh nereagoval, resp. na návrh reagoval po uplynutí ustanovenej lehoty. </w:t>
      </w:r>
      <w:r w:rsidR="003C12B8" w:rsidRPr="003F550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Návrh zákona neodstraň</w:t>
      </w:r>
      <w:r w:rsidR="00DD778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uje tento inštitút úplne ale ho </w:t>
      </w:r>
      <w:r w:rsidR="003C12B8" w:rsidRPr="003F550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modifikuje. Modifikácia spočíva:</w:t>
      </w:r>
    </w:p>
    <w:p w:rsidR="003C12B8" w:rsidRPr="003F550F" w:rsidRDefault="003C12B8" w:rsidP="00DD778F">
      <w:pPr>
        <w:pStyle w:val="Nadpis1"/>
        <w:keepNext w:val="0"/>
        <w:keepLines w:val="0"/>
        <w:widowControl w:val="0"/>
        <w:numPr>
          <w:ilvl w:val="0"/>
          <w:numId w:val="2"/>
        </w:numPr>
        <w:shd w:val="clear" w:color="auto" w:fill="FFFFFF"/>
        <w:spacing w:before="0" w:line="240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 w:rsidRPr="003F550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V explicitnom ustanovení, akému doterajšiemu užívateľovi vzniká uvedeným spôsobom nájomný vzťah – navrhuje sa u</w:t>
      </w:r>
      <w:r w:rsidR="00EE24A8" w:rsidRPr="003F550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stanov</w:t>
      </w:r>
      <w:r w:rsidRPr="003F550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iť,</w:t>
      </w:r>
      <w:r w:rsidR="00EE24A8" w:rsidRPr="003F550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že </w:t>
      </w:r>
      <w:r w:rsidRPr="003F550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má ísť len o</w:t>
      </w:r>
      <w:r w:rsidR="00EE24A8" w:rsidRPr="003F550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užívateľa</w:t>
      </w:r>
      <w:r w:rsidR="00DD778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pozemku, ktorý je </w:t>
      </w:r>
      <w:r w:rsidR="00EE24A8" w:rsidRPr="003F550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oprávnený</w:t>
      </w:r>
      <w:r w:rsidRPr="003F550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m</w:t>
      </w:r>
      <w:r w:rsidR="00EE24A8" w:rsidRPr="003F550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, to zn. </w:t>
      </w:r>
      <w:r w:rsidRPr="003F550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má k dispozícii nejaký užívací titul, ktorým však nie je žiadna písomne uzatvorená nájomná ani obdobná zmluva ani rozhodnutie orgánu štátnej správy alebo súdu. Pôjde teda najmä o takého užívateľa, ktorý má oprávnenie z titulu zákonného nájomného vzťahu vzniknutého podľa § 22 ods. 2 zákona č. 229/1991 Zb. Ide teda o logické a explicitné objasnenie, že doterajším užívateľom v žiadnom prípade nemôže byť osoba, ktorá nemá k dispozícii žiadny preukázateľný titul pozemok užívať. Taká osoba</w:t>
      </w:r>
      <w:r w:rsidR="00DD778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by </w:t>
      </w:r>
      <w:r w:rsidRPr="003F550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logicky bola neoprávneným užívateľom, ktorého by zákon nemohol (či už v doterajšom alebo v novelizovanom znení) označiť za užívateľa, pretože by tým implicitne legalizoval </w:t>
      </w:r>
      <w:r w:rsidRPr="003F550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lastRenderedPageBreak/>
        <w:t>jeho neoprávnenú držbu ako oprávnené užívanie.</w:t>
      </w:r>
      <w:r w:rsidR="00EE24A8" w:rsidRPr="003F550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</w:t>
      </w:r>
      <w:r w:rsidRPr="003F550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Zákon nemôže slúžiť na legalizáciu neoprávnenej držby a užívania poľnohospodárskeho pozemku.</w:t>
      </w:r>
    </w:p>
    <w:p w:rsidR="003C12B8" w:rsidRPr="003F550F" w:rsidRDefault="003C12B8" w:rsidP="00DD778F">
      <w:pPr>
        <w:pStyle w:val="Nadpis1"/>
        <w:keepNext w:val="0"/>
        <w:keepLines w:val="0"/>
        <w:widowControl w:val="0"/>
        <w:numPr>
          <w:ilvl w:val="0"/>
          <w:numId w:val="2"/>
        </w:numPr>
        <w:shd w:val="clear" w:color="auto" w:fill="FFFFFF"/>
        <w:spacing w:before="0" w:line="240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 w:rsidRPr="003F550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V explicitnom ustanovení, že</w:t>
      </w:r>
      <w:r w:rsidR="00EE24A8" w:rsidRPr="003F550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návrh na uzatvorenie nájomnej zmluvy</w:t>
      </w:r>
      <w:r w:rsidRPr="003F550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zo strany doterajšieho oprávneného užívateľa</w:t>
      </w:r>
      <w:r w:rsidR="00EE24A8" w:rsidRPr="003F550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musí mať písomnú formu. </w:t>
      </w:r>
    </w:p>
    <w:p w:rsidR="003F550F" w:rsidRPr="003F550F" w:rsidRDefault="003C12B8" w:rsidP="00DD778F">
      <w:pPr>
        <w:pStyle w:val="Nadpis1"/>
        <w:keepNext w:val="0"/>
        <w:keepLines w:val="0"/>
        <w:widowControl w:val="0"/>
        <w:numPr>
          <w:ilvl w:val="0"/>
          <w:numId w:val="2"/>
        </w:numPr>
        <w:shd w:val="clear" w:color="auto" w:fill="FFFFFF"/>
        <w:spacing w:before="0" w:line="240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 w:rsidRPr="003F550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V ustanovení </w:t>
      </w:r>
      <w:proofErr w:type="spellStart"/>
      <w:r w:rsidRPr="003F550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novokoncipovanej</w:t>
      </w:r>
      <w:proofErr w:type="spellEnd"/>
      <w:r w:rsidRPr="003F550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výnimky z konkludentného vzniku nájomnej zmluvy</w:t>
      </w:r>
      <w:r w:rsidR="003F550F" w:rsidRPr="003F550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, ktorá spočíva v tom,</w:t>
      </w:r>
      <w:r w:rsidR="00EE24A8" w:rsidRPr="003F550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vlastník</w:t>
      </w:r>
      <w:r w:rsidR="00DE6C95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</w:t>
      </w:r>
      <w:r w:rsidR="00EE24A8" w:rsidRPr="003F550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uzatvoril nájomnú zmluvu s inou osobou </w:t>
      </w:r>
      <w:r w:rsidR="003F550F" w:rsidRPr="003F550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kedykoľvek</w:t>
      </w:r>
      <w:r w:rsidR="00EE24A8" w:rsidRPr="003F550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pred uplynutím času na odmietnutie návrhu na uzatvorenie nájomnej zmluvy. Podľa </w:t>
      </w:r>
      <w:r w:rsidR="003F550F" w:rsidRPr="003F550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platnej</w:t>
      </w:r>
      <w:r w:rsidR="00EE24A8" w:rsidRPr="003F550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</w:t>
      </w:r>
      <w:r w:rsidR="003F550F" w:rsidRPr="003F550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právnej </w:t>
      </w:r>
      <w:r w:rsidR="00EE24A8" w:rsidRPr="003F550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úpravy </w:t>
      </w:r>
      <w:r w:rsidR="003F550F" w:rsidRPr="003F550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nájomný vzťah</w:t>
      </w:r>
      <w:r w:rsidR="00EE24A8" w:rsidRPr="003F550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ne</w:t>
      </w:r>
      <w:r w:rsidR="003F550F" w:rsidRPr="003F550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vznikne</w:t>
      </w:r>
      <w:r w:rsidR="00EE24A8" w:rsidRPr="003F550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, ak </w:t>
      </w:r>
      <w:r w:rsidR="003F550F" w:rsidRPr="003F550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oslovený </w:t>
      </w:r>
      <w:r w:rsidR="00EE24A8" w:rsidRPr="003F550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vlastník uzatvoril nájomnú zmluvu s inou osobou ešte pred doručením návrhu na uzatvorenie nájomnej zmluvy od užívateľa. </w:t>
      </w:r>
      <w:r w:rsidR="003F550F" w:rsidRPr="003F550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To však obmedzuje zmluvnú slobodu vlastníka pozemku. Ten </w:t>
      </w:r>
      <w:r w:rsidR="004D0438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má ma</w:t>
      </w:r>
      <w:r w:rsidR="003F550F" w:rsidRPr="003F550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ť predsa možnosť uzatvoriť nájomnú zmluvu kedykoľvek a nemôže mu v tom brániť jednostranný záujem niektorého zo záujemcov o nájom pozemku.</w:t>
      </w:r>
    </w:p>
    <w:p w:rsidR="00EE24A8" w:rsidRPr="003F550F" w:rsidRDefault="003F550F" w:rsidP="00DD778F">
      <w:pPr>
        <w:pStyle w:val="Nadpis1"/>
        <w:keepNext w:val="0"/>
        <w:keepLines w:val="0"/>
        <w:widowControl w:val="0"/>
        <w:numPr>
          <w:ilvl w:val="0"/>
          <w:numId w:val="2"/>
        </w:numPr>
        <w:shd w:val="clear" w:color="auto" w:fill="FFFFFF"/>
        <w:spacing w:before="0" w:line="240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 w:rsidRPr="003F550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V </w:t>
      </w:r>
      <w:r w:rsidR="00EE24A8" w:rsidRPr="003F550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ustanove</w:t>
      </w:r>
      <w:r w:rsidRPr="003F550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ní povinnosti doterajšieho</w:t>
      </w:r>
      <w:r w:rsidR="00EE24A8" w:rsidRPr="003F550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užívateľ</w:t>
      </w:r>
      <w:r w:rsidRPr="003F550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a</w:t>
      </w:r>
      <w:r w:rsidR="00EE24A8" w:rsidRPr="003F550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</w:t>
      </w:r>
      <w:r w:rsidRPr="003F550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poučiť</w:t>
      </w:r>
      <w:r w:rsidR="00EE24A8" w:rsidRPr="003F550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</w:t>
      </w:r>
      <w:r w:rsidRPr="003F550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osloveného </w:t>
      </w:r>
      <w:r w:rsidR="00EE24A8" w:rsidRPr="003F550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vlastník</w:t>
      </w:r>
      <w:r w:rsidRPr="003F550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a</w:t>
      </w:r>
      <w:r w:rsidR="00EE24A8" w:rsidRPr="003F550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pozemku spolu s návrhom nájomnej zmluvy o možnosti odmietnuť </w:t>
      </w:r>
      <w:r w:rsidRPr="003F550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doručený </w:t>
      </w:r>
      <w:r w:rsidR="00EE24A8" w:rsidRPr="003F550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návrh nájomnej zmluvy a o forme a</w:t>
      </w:r>
      <w:r w:rsidRPr="003F550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 </w:t>
      </w:r>
      <w:r w:rsidR="00EE24A8" w:rsidRPr="003F550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spôsobe</w:t>
      </w:r>
      <w:r w:rsidRPr="003F550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tohto odmietnutie</w:t>
      </w:r>
      <w:r w:rsidR="00EE24A8" w:rsidRPr="003F550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.</w:t>
      </w:r>
      <w:r w:rsidRPr="003F550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Formu a spôsob odmietnutia návrhu ustanovuje posledná veta: musí byť rovnako písomné a musí z neho byť zrejmé, či sa návrh odmieta v celosti alebo len sčasti, pretože návrh sa môže týkať väčšieho množstva pozemkov patriacich oslovenému vlastníkovi, no ten môže mať záujem len o prenájom ich časti, kým pri zvyšku nemá o prenájom záujem.</w:t>
      </w:r>
    </w:p>
    <w:p w:rsidR="00EE24A8" w:rsidRPr="00265C57" w:rsidRDefault="00EE24A8" w:rsidP="00DD778F">
      <w:pPr>
        <w:pStyle w:val="Nadpis1"/>
        <w:keepNext w:val="0"/>
        <w:keepLines w:val="0"/>
        <w:widowControl w:val="0"/>
        <w:shd w:val="clear" w:color="auto" w:fill="FFFFFF"/>
        <w:spacing w:before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sk-SK"/>
        </w:rPr>
      </w:pPr>
    </w:p>
    <w:p w:rsidR="00EE24A8" w:rsidRPr="00265C57" w:rsidRDefault="003F550F" w:rsidP="00DD778F">
      <w:pPr>
        <w:pStyle w:val="Nadpis1"/>
        <w:keepNext w:val="0"/>
        <w:keepLines w:val="0"/>
        <w:widowControl w:val="0"/>
        <w:shd w:val="clear" w:color="auto" w:fill="FFFFFF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sk-SK"/>
        </w:rPr>
      </w:pPr>
      <w:r w:rsidRPr="00265C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sk-SK"/>
        </w:rPr>
        <w:t>K čl. I</w:t>
      </w:r>
      <w:r w:rsidR="00DE6C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sk-SK"/>
        </w:rPr>
        <w:t> bodom 2 až 6</w:t>
      </w:r>
    </w:p>
    <w:p w:rsidR="004D0438" w:rsidRPr="00265C57" w:rsidRDefault="003F550F" w:rsidP="00DD778F">
      <w:pPr>
        <w:pStyle w:val="Nadpis1"/>
        <w:keepNext w:val="0"/>
        <w:keepLines w:val="0"/>
        <w:widowControl w:val="0"/>
        <w:shd w:val="clear" w:color="auto" w:fill="FFFFFF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 w:rsidRPr="00265C57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V</w:t>
      </w:r>
      <w:r w:rsidR="00082458" w:rsidRPr="00265C57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 druhom bode sa v</w:t>
      </w:r>
      <w:r w:rsidRPr="00265C57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ypúšťajú kontroverzné ustanovenia, ktoré doterajšiemu nájomcovi dávajú tzv. prednostné právo na uzatvorenie nájomnej zmluvy</w:t>
      </w:r>
      <w:r w:rsidR="004D0438" w:rsidRPr="00265C57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pod podmienkou, že plnil riadne a včas povinnosti vyplývajúce z doterajšej nájomnej zmluvy, a zároveň ustanovujú fikciu vzniku nájomného vzťahu za podmienok obsiahnutých v návrhu nájomnej zmluvy</w:t>
      </w:r>
      <w:r w:rsidR="00DD778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za </w:t>
      </w:r>
      <w:r w:rsidR="004D0438" w:rsidRPr="00265C57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predpokladu, že prenajímateľ tento návrh neodmietne. </w:t>
      </w:r>
    </w:p>
    <w:p w:rsidR="003F550F" w:rsidRPr="00265C57" w:rsidRDefault="004D0438" w:rsidP="00DD778F">
      <w:pPr>
        <w:pStyle w:val="Nadpis1"/>
        <w:keepNext w:val="0"/>
        <w:keepLines w:val="0"/>
        <w:widowControl w:val="0"/>
        <w:shd w:val="clear" w:color="auto" w:fill="FFFFFF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 w:rsidRPr="00265C57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Ustanovenie § 13 ods. 2 v platnom znení obmedzuje dispozičné právo prenajímateľa pozemku len na explicitne uvedené prípady. Sankciou poruše</w:t>
      </w:r>
      <w:r w:rsidR="00DD778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nia tohto prednostného práva je </w:t>
      </w:r>
      <w:r w:rsidRPr="00265C57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absolútna neplatnosť nájomnej zmluvy uzavretej s iným nájomcom. Ustanovenie vo svojom platnom znení síce hovorí o prednostnom práve doterajšieho nájomcu, avšak tým, že explicitne ustanovilo sankciu neplatnosti inej nájomnej zmluvy, a zároveň tým, že ustanovilo, že týmto porušením je práve uzatvorenie nájomnej zmluvy s inou osobou, má toto prednostné právo v podstate charakter nároku. T</w:t>
      </w:r>
      <w:r w:rsidR="00827C5C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ým je však neprimerane obmedzené</w:t>
      </w:r>
      <w:r w:rsidRPr="00265C57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dispozičné oprávnenie vlastníka pozemku rozhodnúť sa slobodne o naložení s užívacím oprávnením k svojmu pozemku. Navyše, podľa platného § 13 ods. 3 sa už i tak neproporcionálne posilnené postavenie doterajšieho užívateľa opatruje aj fikciou vzniku nového nájomného vzťahu, ak prenajímateľ neodmietne doručený návrh nájomnej zmluvy doterajšieho nájomcu v ustanovených dobách.</w:t>
      </w:r>
    </w:p>
    <w:p w:rsidR="00082458" w:rsidRPr="00265C57" w:rsidRDefault="00082458" w:rsidP="00DD778F">
      <w:pPr>
        <w:pStyle w:val="Nadpis1"/>
        <w:keepNext w:val="0"/>
        <w:keepLines w:val="0"/>
        <w:widowControl w:val="0"/>
        <w:shd w:val="clear" w:color="auto" w:fill="FFFFFF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 w:rsidRPr="00265C57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V treťom až šiestom bode sa vykonávajú legislatívno-technické úpravy vyvolané vypustením odsekov 2 a 3. V týchto bodoch je však potrebné vykonať opravy legisl</w:t>
      </w:r>
      <w:r w:rsidR="00265C57" w:rsidRPr="00265C57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a</w:t>
      </w:r>
      <w:r w:rsidRPr="00265C57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tívno-technických chýb:</w:t>
      </w:r>
    </w:p>
    <w:p w:rsidR="00DD778F" w:rsidRPr="00DD778F" w:rsidRDefault="00082458" w:rsidP="00DD778F">
      <w:pPr>
        <w:pStyle w:val="Nadpis1"/>
        <w:keepNext w:val="0"/>
        <w:keepLines w:val="0"/>
        <w:widowControl w:val="0"/>
        <w:numPr>
          <w:ilvl w:val="0"/>
          <w:numId w:val="2"/>
        </w:numPr>
        <w:shd w:val="clear" w:color="auto" w:fill="FFFFFF"/>
        <w:spacing w:before="0" w:line="240" w:lineRule="auto"/>
        <w:ind w:left="426"/>
        <w:jc w:val="both"/>
        <w:rPr>
          <w:rFonts w:eastAsia="Times New Roman"/>
          <w:color w:val="000000"/>
          <w:lang w:eastAsia="sk-SK"/>
        </w:rPr>
      </w:pPr>
      <w:r w:rsidRPr="00265C57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v bode </w:t>
      </w:r>
      <w:r w:rsidR="00DE6C95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2 </w:t>
      </w:r>
      <w:r w:rsidRPr="00265C57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je potrebné vetu „Doterajšie odseky 4 až 10 sa označujú ako odseky 2</w:t>
      </w:r>
      <w:r w:rsidR="00DD778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až </w:t>
      </w:r>
      <w:r w:rsidRPr="00265C57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8“ nahradiť vetou „Doterajšie odseky 4 až 9 sa označujú ako odseky 2 až 7“</w:t>
      </w:r>
      <w:r w:rsidR="00DD778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, pretože § 13 má </w:t>
      </w:r>
      <w:r w:rsidRPr="00265C57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v platnom znení len deväť odsekov,</w:t>
      </w:r>
      <w:r w:rsidR="00DD778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</w:t>
      </w:r>
    </w:p>
    <w:p w:rsidR="00082458" w:rsidRPr="00082458" w:rsidRDefault="00265C57" w:rsidP="00DD778F">
      <w:pPr>
        <w:pStyle w:val="Nadpis1"/>
        <w:keepNext w:val="0"/>
        <w:keepLines w:val="0"/>
        <w:widowControl w:val="0"/>
        <w:numPr>
          <w:ilvl w:val="0"/>
          <w:numId w:val="2"/>
        </w:numPr>
        <w:shd w:val="clear" w:color="auto" w:fill="FFFFFF"/>
        <w:spacing w:before="0" w:line="240" w:lineRule="auto"/>
        <w:ind w:left="426"/>
        <w:jc w:val="both"/>
        <w:rPr>
          <w:rFonts w:eastAsia="Times New Roman"/>
          <w:color w:val="000000"/>
          <w:lang w:eastAsia="sk-SK"/>
        </w:rPr>
      </w:pPr>
      <w:r w:rsidRPr="00265C57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bod </w:t>
      </w:r>
      <w:r w:rsidR="00DE6C95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6 vykonávajúci úpravu v odseku 8 </w:t>
      </w:r>
      <w:r w:rsidRPr="00265C57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je potreb</w:t>
      </w:r>
      <w:r w:rsidR="00DD778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né vypustiť, keďže po vypustení </w:t>
      </w:r>
      <w:r w:rsidRPr="00265C57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odsekov 2 a 3 už § 13 bude mať le</w:t>
      </w:r>
      <w:r w:rsidR="00DD778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n </w:t>
      </w:r>
      <w:r w:rsidRPr="00265C57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sedem odsekov; úprava sa týka neexistujúceho ustanovenia</w:t>
      </w:r>
      <w:r>
        <w:rPr>
          <w:rFonts w:eastAsia="Times New Roman"/>
          <w:color w:val="000000"/>
          <w:lang w:eastAsia="sk-SK"/>
        </w:rPr>
        <w:t>.</w:t>
      </w:r>
    </w:p>
    <w:p w:rsidR="00082458" w:rsidRDefault="00082458" w:rsidP="00DD778F">
      <w:pPr>
        <w:widowControl w:val="0"/>
        <w:spacing w:after="0" w:line="240" w:lineRule="auto"/>
        <w:jc w:val="both"/>
        <w:rPr>
          <w:rFonts w:eastAsia="Times New Roman"/>
          <w:color w:val="000000"/>
          <w:lang w:eastAsia="sk-SK"/>
        </w:rPr>
      </w:pPr>
    </w:p>
    <w:p w:rsidR="00397F93" w:rsidRPr="00397F93" w:rsidRDefault="00397F93" w:rsidP="00397F93">
      <w:pPr>
        <w:pStyle w:val="Nadpis1"/>
        <w:keepNext w:val="0"/>
        <w:keepLines w:val="0"/>
        <w:widowControl w:val="0"/>
        <w:shd w:val="clear" w:color="auto" w:fill="FFFFFF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sk-SK"/>
        </w:rPr>
      </w:pPr>
      <w:r w:rsidRPr="00397F9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sk-SK"/>
        </w:rPr>
        <w:t>K pripomienkam vzneseným v pripomienkovom konaní</w:t>
      </w:r>
    </w:p>
    <w:p w:rsidR="005B2442" w:rsidRDefault="005B2442" w:rsidP="008E5D31">
      <w:pPr>
        <w:pStyle w:val="Nadpis1"/>
        <w:keepNext w:val="0"/>
        <w:keepLines w:val="0"/>
        <w:widowControl w:val="0"/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sk-SK"/>
        </w:rPr>
        <w:t>K čl. I bodu 1 - §</w:t>
      </w:r>
      <w:r w:rsidR="00D16BD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sk-SK"/>
        </w:rPr>
        <w:t>12 ods. 4</w:t>
      </w:r>
      <w:r w:rsidR="00D16BD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sk-SK"/>
        </w:rPr>
        <w:t xml:space="preserve"> – vypustiť slovo „oprávnený“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sk-SK"/>
        </w:rPr>
        <w:t>:</w:t>
      </w:r>
    </w:p>
    <w:p w:rsidR="005B2442" w:rsidRDefault="00833266" w:rsidP="005B2442">
      <w:pPr>
        <w:pStyle w:val="Nadpis1"/>
        <w:keepNext w:val="0"/>
        <w:keepLines w:val="0"/>
        <w:widowControl w:val="0"/>
        <w:shd w:val="clear" w:color="auto" w:fill="FFFFFF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Pripomienky</w:t>
      </w:r>
      <w:r w:rsidR="005B2442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vychádza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jú</w:t>
      </w:r>
      <w:r w:rsidR="005B2442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z nepochopenia obsahu a účelu § 12 ods. 4. Pripomienk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y</w:t>
      </w:r>
      <w:r w:rsidR="005B2442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</w:t>
      </w:r>
      <w:r w:rsidR="005B2442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lastRenderedPageBreak/>
        <w:t>sa</w:t>
      </w:r>
      <w:r w:rsidR="00F13826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 </w:t>
      </w:r>
      <w:r w:rsidR="005B2442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zaklad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ajú</w:t>
      </w:r>
      <w:r w:rsidR="005B2442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na tvrdeniach, že</w:t>
      </w:r>
    </w:p>
    <w:p w:rsidR="005B2442" w:rsidRDefault="005B2442" w:rsidP="005B2442">
      <w:pPr>
        <w:pStyle w:val="Nadpis1"/>
        <w:keepNext w:val="0"/>
        <w:keepLines w:val="0"/>
        <w:widowControl w:val="0"/>
        <w:shd w:val="clear" w:color="auto" w:fill="FFFFFF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 w:rsidRPr="005B2442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oprávnenému</w:t>
      </w:r>
      <w:r w:rsidRPr="005B2442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užívateľ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ovi (t. j.</w:t>
      </w:r>
      <w:r w:rsidRPr="005B2442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osobe, ktorá ma právo užívať)</w:t>
      </w:r>
      <w:r w:rsidRPr="005B2442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nemôže vzniknúť ďalšie právo užívať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– k tomu </w:t>
      </w:r>
      <w:r w:rsidR="0055314A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predkladateľ uvádza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toto: </w:t>
      </w:r>
      <w:r w:rsidRPr="002A028A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Ak užívateľ užíva pozemok na základe jedného titulu, no snaží sa o zmenu užívacieho titulu na iný, ide o legitímnu snahu. Okrem iného</w:t>
      </w:r>
      <w:r w:rsidR="002A028A" w:rsidRPr="002A028A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je práve toto cieľom</w:t>
      </w:r>
      <w:r w:rsidRPr="002A028A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§ 12 ods. 4</w:t>
      </w:r>
      <w:r w:rsidR="002A028A" w:rsidRPr="002A028A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, a to najmä v  prípade</w:t>
      </w:r>
      <w:r w:rsidRPr="002A028A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užívateľa, ktorý má užívací titul</w:t>
      </w:r>
      <w:r w:rsidR="002A028A" w:rsidRPr="002A028A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v podobe zákonného náj</w:t>
      </w:r>
      <w:r w:rsidRPr="002A028A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m</w:t>
      </w:r>
      <w:r w:rsidR="002A028A" w:rsidRPr="002A028A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u</w:t>
      </w:r>
      <w:r w:rsidRPr="002A028A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vzniknut</w:t>
      </w:r>
      <w:r w:rsidR="002A028A" w:rsidRPr="002A028A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ého</w:t>
      </w:r>
      <w:r w:rsidRPr="002A028A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na zákl</w:t>
      </w:r>
      <w:r w:rsidR="002A028A" w:rsidRPr="002A028A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ade</w:t>
      </w:r>
      <w:r w:rsidRPr="002A028A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§ 22 z.</w:t>
      </w:r>
      <w:r w:rsidR="002A028A" w:rsidRPr="002A028A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</w:t>
      </w:r>
      <w:r w:rsidRPr="002A028A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č. 229/1991 Zb.</w:t>
      </w:r>
      <w:r w:rsidR="002A028A" w:rsidRPr="002A028A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, ktorý</w:t>
      </w:r>
      <w:r w:rsidR="00F13826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vznikol priamo na </w:t>
      </w:r>
      <w:r w:rsidRPr="002A028A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základe zákona, no nemá písomné vyjadrenie. S odstupom času a v dôsledku </w:t>
      </w:r>
      <w:r w:rsidR="002A028A" w:rsidRPr="002A028A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viacerých </w:t>
      </w:r>
      <w:r w:rsidRPr="002A028A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prechodov a prevodov práv a povinností na strane vlastníka (prenajímateľa) </w:t>
      </w:r>
      <w:r w:rsidR="002A028A" w:rsidRPr="002A028A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či</w:t>
      </w:r>
      <w:r w:rsidRPr="002A028A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na strane užívateľa (nájomcu) je žiaduce, aby bol tento užívací titul nahradený riadnym písomným dvojstranným </w:t>
      </w:r>
      <w:r w:rsidR="002A028A" w:rsidRPr="002A028A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právnym úkonom</w:t>
      </w:r>
      <w:r w:rsidRPr="002A028A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. Užívateľ oprávnený z "fiktívneho" zákonného nájmu sa teda podľa § 12 ods. 4 má snažiť o uzatv</w:t>
      </w:r>
      <w:r w:rsidR="002A028A" w:rsidRPr="002A028A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orenie písomnej nájomnej zmluvy</w:t>
      </w:r>
      <w:r w:rsidRPr="002A028A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.</w:t>
      </w:r>
    </w:p>
    <w:p w:rsidR="002A028A" w:rsidRDefault="002A028A" w:rsidP="002A028A">
      <w:pPr>
        <w:pStyle w:val="Nadpis1"/>
        <w:keepNext w:val="0"/>
        <w:keepLines w:val="0"/>
        <w:widowControl w:val="0"/>
        <w:shd w:val="clear" w:color="auto" w:fill="FFFFFF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 w:rsidRPr="00D16BD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- účelom § 12 ods. 4 bola možnosť získať právo užívať pozemok pasívneho vlastníka (vlastníka, ktorý sa o svoje vlastníctvo nestará) v prospe</w:t>
      </w:r>
      <w:r w:rsidR="00F13826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ch súčasného užívateľa (ktorý k </w:t>
      </w:r>
      <w:r w:rsidRPr="00D16BD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pozemku nemá užívací právny titul) – k tomu </w:t>
      </w:r>
      <w:r w:rsidR="0055314A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predkladateľ uvádza </w:t>
      </w:r>
      <w:r w:rsidRPr="00D16BD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toto:  </w:t>
      </w:r>
      <w:r w:rsidR="00D16BDF" w:rsidRPr="00D16BD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Ne</w:t>
      </w:r>
      <w:r w:rsidR="00F13826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môže ísť o </w:t>
      </w:r>
      <w:r w:rsidRPr="00D16BD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"užív</w:t>
      </w:r>
      <w:r w:rsidR="00D16BDF" w:rsidRPr="00D16BD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ateľa", ak nemá "užívací titul".</w:t>
      </w:r>
      <w:r w:rsidRPr="00D16BD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Právne postavenie užívateľa je </w:t>
      </w:r>
      <w:r w:rsidR="00D16BDF" w:rsidRPr="00D16BD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založené</w:t>
      </w:r>
      <w:r w:rsidR="00F13826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len na tom, že </w:t>
      </w:r>
      <w:r w:rsidRPr="00D16BD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užívací titul má. Ako ho nemá, nie je užívateľom, to zn. nie je osobou oprávnenou užívať pozemok. </w:t>
      </w:r>
      <w:r w:rsidR="00D16BDF" w:rsidRPr="00D16BD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Návrh zákona</w:t>
      </w:r>
      <w:r w:rsidRPr="00D16BD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má za cieľ explicitne vyjadriť túto okolnosť.</w:t>
      </w:r>
      <w:r w:rsidR="00D16BDF" w:rsidRPr="00D16BD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Zákon pojmom "užívateľ" môže označiť len osobu, ktorá užívacie oprávnenie má (t. j. je osobou oprávnenou užívať pozemok). Zákon nemôže v žiadnom prípade označiť ako „užívateľa“ osobu, ktorá užívacie právo nemá (t. j. nie je osobou oprávnenou užívať pozemok), pretože v takom prípade by nešlo o užívateľa. Ak by zákon za "užívateľa" označil kohokoľvek, kto bez akéhokoľvek právneho dôvodu pozemok zaujme a privlastní si oprávnenie ho užívať, tak by zlegalizoval akékoľvek svojvoľné zaberanie cudzieho nehnuteľného majetku a dával by takému neoprávnenému držiteľovi postavenie oprávneného užívateľa.</w:t>
      </w:r>
    </w:p>
    <w:p w:rsidR="00BD5781" w:rsidRPr="00BD5781" w:rsidRDefault="00BD5781" w:rsidP="00BD5781">
      <w:pPr>
        <w:pStyle w:val="Nadpis1"/>
        <w:keepNext w:val="0"/>
        <w:keepLines w:val="0"/>
        <w:widowControl w:val="0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eastAsia="sk-SK"/>
        </w:rPr>
      </w:pPr>
      <w:r w:rsidRPr="00BD5781">
        <w:rPr>
          <w:rFonts w:ascii="Times New Roman" w:hAnsi="Times New Roman" w:cs="Times New Roman"/>
          <w:color w:val="auto"/>
          <w:sz w:val="24"/>
          <w:szCs w:val="24"/>
          <w:lang w:eastAsia="sk-SK"/>
        </w:rPr>
        <w:t xml:space="preserve">Použitie slov „oprávnený užívateľ“ nie je zavedením nového pojmu, ale ide o bližšie charakterizovanie užívateľa tak, aby bolo adresátom ustanovenia jasné, že musí ísť o osobu, ktorá má užívacie oprávnenie. Tento cieľ je však možné dosiahnuť aj inou slovnou </w:t>
      </w:r>
      <w:r w:rsidR="007B27C6">
        <w:rPr>
          <w:rFonts w:ascii="Times New Roman" w:hAnsi="Times New Roman" w:cs="Times New Roman"/>
          <w:color w:val="auto"/>
          <w:sz w:val="24"/>
          <w:szCs w:val="24"/>
          <w:lang w:eastAsia="sk-SK"/>
        </w:rPr>
        <w:t>formuláciou</w:t>
      </w:r>
      <w:r w:rsidRPr="00BD5781">
        <w:rPr>
          <w:rFonts w:ascii="Times New Roman" w:hAnsi="Times New Roman" w:cs="Times New Roman"/>
          <w:color w:val="auto"/>
          <w:sz w:val="24"/>
          <w:szCs w:val="24"/>
          <w:lang w:eastAsia="sk-SK"/>
        </w:rPr>
        <w:t xml:space="preserve"> s odkazom na osobitný právny predpis, ktorý prichádza do úvahy, napríklad slovami „</w:t>
      </w:r>
      <w:r w:rsidRPr="00BD5781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ktorý pozemok užíva bez písomne uzatvorenej nájomnej zmluvy podľa osobitného predpisu</w:t>
      </w:r>
      <w:r w:rsidRPr="00BD578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sk-SK"/>
        </w:rPr>
        <w:t>12aa</w:t>
      </w:r>
      <w:r w:rsidRPr="00BD5781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)</w:t>
      </w:r>
      <w:r w:rsidRPr="00BD5781">
        <w:rPr>
          <w:rFonts w:ascii="Times New Roman" w:hAnsi="Times New Roman" w:cs="Times New Roman"/>
          <w:color w:val="auto"/>
          <w:sz w:val="24"/>
          <w:szCs w:val="24"/>
          <w:lang w:eastAsia="sk-SK"/>
        </w:rPr>
        <w:t>“, pričom v poznámke pod čiarou k odkazu 12aa by znel „</w:t>
      </w:r>
      <w:r w:rsidRPr="00BD5781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§ 22 ods. 2 zákona č. 229/1991 Zb. o úprav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e vlastníckych vzťahov k pôde a </w:t>
      </w:r>
      <w:r w:rsidRPr="00BD5781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inému poľnohospodárskemu majetku v znení neskorších predpisov.</w:t>
      </w:r>
      <w:r w:rsidRPr="00BD5781">
        <w:rPr>
          <w:rFonts w:ascii="Times New Roman" w:hAnsi="Times New Roman" w:cs="Times New Roman"/>
          <w:color w:val="auto"/>
          <w:sz w:val="24"/>
          <w:szCs w:val="24"/>
          <w:lang w:eastAsia="sk-SK"/>
        </w:rPr>
        <w:t>“.</w:t>
      </w:r>
    </w:p>
    <w:p w:rsidR="00833266" w:rsidRPr="00833266" w:rsidRDefault="00833266" w:rsidP="00460034">
      <w:pPr>
        <w:pStyle w:val="Nadpis1"/>
        <w:keepNext w:val="0"/>
        <w:keepLines w:val="0"/>
        <w:widowControl w:val="0"/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sk-SK"/>
        </w:rPr>
      </w:pPr>
      <w:r w:rsidRPr="00833266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sk-SK"/>
        </w:rPr>
        <w:t xml:space="preserve">K čl. I bodu 1 § 12 ods. 4 – vypustiť odkaz na § 130 ods. 1 </w:t>
      </w:r>
      <w:r w:rsidR="00F13826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sk-SK"/>
        </w:rPr>
        <w:t>Občianskeho zákonníka, t. j. na </w:t>
      </w:r>
      <w:r w:rsidRPr="00833266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sk-SK"/>
        </w:rPr>
        <w:t>ustanovenie o oprávnenej držbe.</w:t>
      </w:r>
    </w:p>
    <w:p w:rsidR="00833266" w:rsidRDefault="00833266" w:rsidP="00833266">
      <w:pPr>
        <w:pStyle w:val="Nadpis1"/>
        <w:keepNext w:val="0"/>
        <w:keepLines w:val="0"/>
        <w:widowControl w:val="0"/>
        <w:shd w:val="clear" w:color="auto" w:fill="FFFFFF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Podľa pripomienky je o</w:t>
      </w:r>
      <w:r w:rsidRPr="002A028A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dkaz na ustanovenie Občianskeho zákonníka o oprávnenej držbe nenáležitý, pretože znakom držby je okrem faktického ovládania veci aj úmysel považovať vec za vlastnú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.</w:t>
      </w:r>
      <w:r w:rsidRPr="002A028A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K</w:t>
      </w:r>
      <w:r w:rsidRPr="002A028A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 tomu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predkladateľ uvádza, že n</w:t>
      </w:r>
      <w:r w:rsidRPr="002A028A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a ustanovenie Občianskeho zákonníka o oprávnenej držbe sa tu neodkazuje v zmysle držby pozemku ale v zmysle držby práva pozemok užívať. Z § 129 ods. 1 a 2 a § 130 ods. 1 Ob</w:t>
      </w:r>
      <w:r w:rsidR="00F13826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čianskeho zákonníka vyplýva, že </w:t>
      </w:r>
      <w:r w:rsidRPr="002A028A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predmetom držby môže byť aj právo. V tomto prípade ide o právo užívať pozemok.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A</w:t>
      </w:r>
      <w:r w:rsidR="00064EF9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k však tento odkaz má spôsobovať nesprávny výklad, je vhodné ho vypustiť.</w:t>
      </w:r>
    </w:p>
    <w:p w:rsidR="00833266" w:rsidRDefault="00833266" w:rsidP="00460034">
      <w:pPr>
        <w:pStyle w:val="Nadpis1"/>
        <w:keepNext w:val="0"/>
        <w:keepLines w:val="0"/>
        <w:widowControl w:val="0"/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sk-SK"/>
        </w:rPr>
        <w:t>K čl. I bodu 1 § 12 ods. 4 – ustanoviť, komu sa navrhnutie nájomnej zmluvy preukazuje.</w:t>
      </w:r>
    </w:p>
    <w:p w:rsidR="00833266" w:rsidRPr="00833266" w:rsidRDefault="00833266" w:rsidP="00833266">
      <w:pPr>
        <w:pStyle w:val="Nadpis1"/>
        <w:keepNext w:val="0"/>
        <w:keepLines w:val="0"/>
        <w:widowControl w:val="0"/>
        <w:shd w:val="clear" w:color="auto" w:fill="FFFFFF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 w:rsidRPr="00833266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Predkladateľ má za to, že preukazovanie sa tu používa v takom istom všeobecnom význame ako je to v Občianskom zákonníku. Nejde teda o preukazovanie v osobitnom konaní, ale o preukázanie v prípade, že dôjde k sporu. Napokon, žiadny</w:t>
      </w:r>
      <w:r w:rsidR="00F13826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zákon neustanovuje, že by </w:t>
      </w:r>
      <w:r w:rsidRPr="00833266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o vzniku nájomného vzťahu zmluvou rozhodoval nejaký orgán.</w:t>
      </w:r>
    </w:p>
    <w:p w:rsidR="00064EF9" w:rsidRDefault="00064EF9" w:rsidP="00460034">
      <w:pPr>
        <w:pStyle w:val="Nadpis1"/>
        <w:keepNext w:val="0"/>
        <w:keepLines w:val="0"/>
        <w:widowControl w:val="0"/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sk-SK"/>
        </w:rPr>
        <w:t>K čl. I bodu 1 § 12 ods. 4 – zjednotiť používanie pojmu „užívateľ“ a „oprávnený užívateľ“ v ostatnom texte zákona</w:t>
      </w:r>
      <w:r w:rsidR="00CA0F70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sk-SK"/>
        </w:rPr>
        <w:t>, pretože by mohlo dôjsť k výkladu, že sa počíta v neoprávneným užívateľom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sk-SK"/>
        </w:rPr>
        <w:t>.</w:t>
      </w:r>
    </w:p>
    <w:p w:rsidR="00064EF9" w:rsidRDefault="00064EF9" w:rsidP="00CA0F70">
      <w:pPr>
        <w:pStyle w:val="Nadpis1"/>
        <w:keepNext w:val="0"/>
        <w:keepLines w:val="0"/>
        <w:widowControl w:val="0"/>
        <w:shd w:val="clear" w:color="auto" w:fill="FFFFFF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 w:rsidRPr="00CA0F70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lastRenderedPageBreak/>
        <w:t>Podľa predkladateľa sa pojem „užívateľ“ používa výlučne v § 12 ods. 3 až 5, pričom zmena znenia odseku 4 je predmetom novely. Jedine od</w:t>
      </w:r>
      <w:r w:rsidR="00CA0F70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sek 4 dáva tomuto subjektu právo, ktoré v praxi spôsobuje problematickú aplikáciu</w:t>
      </w:r>
      <w:r w:rsidRPr="00CA0F70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. Odsek 5 je pritom závislý od aplikácie odsekov 3 a 4.</w:t>
      </w:r>
      <w:r w:rsidR="00CA0F70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Užívateľom je v zákone vždy mienený ten, kto má právo pozemok užívať.</w:t>
      </w:r>
    </w:p>
    <w:p w:rsidR="00E5098F" w:rsidRPr="00E5098F" w:rsidRDefault="00E5098F" w:rsidP="00460034">
      <w:pPr>
        <w:pStyle w:val="Nadpis1"/>
        <w:keepNext w:val="0"/>
        <w:keepLines w:val="0"/>
        <w:widowControl w:val="0"/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sk-SK"/>
        </w:rPr>
      </w:pPr>
      <w:r w:rsidRPr="00E5098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sk-SK"/>
        </w:rPr>
        <w:t>K čl. I § 12 ods. 4 – doplnenie informačnej povinnosti nájomcu vlastníkovi o tom, že postupom podľa § 12 ods. 4 vznikol k pozemku nájomný vzťah.</w:t>
      </w:r>
    </w:p>
    <w:p w:rsidR="00E5098F" w:rsidRDefault="00E5098F" w:rsidP="00E5098F">
      <w:pPr>
        <w:pStyle w:val="Nadpis1"/>
        <w:keepNext w:val="0"/>
        <w:keepLines w:val="0"/>
        <w:widowControl w:val="0"/>
        <w:shd w:val="clear" w:color="auto" w:fill="FFFFFF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 w:rsidRPr="00E5098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Predkladateľ považuje túto pripomienku za prospešnú s cieľom zvýšenia transparentnosti nájomných vzťahov.</w:t>
      </w:r>
    </w:p>
    <w:p w:rsidR="003D4372" w:rsidRPr="003D4372" w:rsidRDefault="003D4372" w:rsidP="00460034">
      <w:pPr>
        <w:pStyle w:val="Nadpis1"/>
        <w:keepNext w:val="0"/>
        <w:keepLines w:val="0"/>
        <w:widowControl w:val="0"/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sk-SK"/>
        </w:rPr>
      </w:pPr>
      <w:r w:rsidRPr="003D4372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sk-SK"/>
        </w:rPr>
        <w:t>K čl. I § 12 ods. 4 – doplnenie úpravy doručovania zásielok medzi prenajímateľom a nájomcom.</w:t>
      </w:r>
    </w:p>
    <w:p w:rsidR="003D4372" w:rsidRPr="003D4372" w:rsidRDefault="003D4372" w:rsidP="003D4372">
      <w:pPr>
        <w:pStyle w:val="Nadpis1"/>
        <w:keepNext w:val="0"/>
        <w:keepLines w:val="0"/>
        <w:widowControl w:val="0"/>
        <w:shd w:val="clear" w:color="auto" w:fill="FFFFFF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 w:rsidRPr="003D4372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Predkladateľ považuje za najvhodnejšie, aby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si spôsob doručenia (napríklad do vlastných rúk) mohol slobodne zvoliť navrhovateľ nájomnej zmluvy. Ustanoviť fikciu doručenia v súkromnoprávnej komunikácii nepovažujeme za vhodné. Korešpondenciu s vlastníkom pozemku</w:t>
      </w:r>
      <w:r w:rsidRPr="003D4372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by podľa názoru predkladateľa mal </w:t>
      </w:r>
      <w:r w:rsidRPr="003D4372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zabezpečova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ť</w:t>
      </w:r>
      <w:r w:rsidRPr="003D4372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navrhovateľ nájomnej zmluvy napríklad zaslaním návratovej obálky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vlastníkovi pozemku </w:t>
      </w:r>
      <w:r w:rsidRPr="003D4372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spolu s návrhom na uzatvorenie nájomnej zmluvy a aby náklad na túto komunikáciu znášal navrhovateľ.</w:t>
      </w:r>
    </w:p>
    <w:p w:rsidR="00397F93" w:rsidRPr="005B2442" w:rsidRDefault="00397F93" w:rsidP="00460034">
      <w:pPr>
        <w:pStyle w:val="Nadpis1"/>
        <w:keepNext w:val="0"/>
        <w:keepLines w:val="0"/>
        <w:widowControl w:val="0"/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sk-SK"/>
        </w:rPr>
      </w:pPr>
      <w:r w:rsidRPr="005B2442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sk-SK"/>
        </w:rPr>
        <w:t>K čl. I bodu 2 – pripomienka k novej úprave znenia § 13 ods. 3</w:t>
      </w:r>
      <w:r w:rsidR="005B2442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sk-SK"/>
        </w:rPr>
        <w:t>:</w:t>
      </w:r>
    </w:p>
    <w:p w:rsidR="00397F93" w:rsidRPr="00397F93" w:rsidRDefault="00397F93" w:rsidP="005B2442">
      <w:pPr>
        <w:pStyle w:val="Nadpis1"/>
        <w:keepNext w:val="0"/>
        <w:keepLines w:val="0"/>
        <w:widowControl w:val="0"/>
        <w:shd w:val="clear" w:color="auto" w:fill="FFFFFF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 w:rsidRPr="005B2442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S návrhom na úpravu znenia</w:t>
      </w:r>
      <w:r w:rsidRPr="00397F93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§ 13 ods. 3</w:t>
      </w:r>
      <w:r w:rsidRPr="005B2442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možno </w:t>
      </w:r>
      <w:r w:rsidR="0055314A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podľa predkladateľa </w:t>
      </w:r>
      <w:r w:rsidRPr="005B2442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po určitých úpravách súhlasiť. Zmyslom úpravy je legitímny cieľ - zachovanie</w:t>
      </w:r>
      <w:r w:rsidRPr="00397F93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</w:t>
      </w:r>
      <w:r w:rsidRPr="005B2442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kontinuity v prospech doterajšieho nájomcu v prípade</w:t>
      </w:r>
      <w:r w:rsidRPr="00397F93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, že </w:t>
      </w:r>
      <w:r w:rsidRPr="005B2442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prenajímateľ je nedostupný.</w:t>
      </w:r>
    </w:p>
    <w:p w:rsidR="0055314A" w:rsidRDefault="00397F93" w:rsidP="005B2442">
      <w:pPr>
        <w:pStyle w:val="Nadpis1"/>
        <w:keepNext w:val="0"/>
        <w:keepLines w:val="0"/>
        <w:widowControl w:val="0"/>
        <w:shd w:val="clear" w:color="auto" w:fill="FFFFFF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 w:rsidRPr="005B2442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Postavenie vlastníka sa posilní tým, že doterajší nájomc</w:t>
      </w:r>
      <w:r w:rsidR="00F13826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a bude mať analogicky ako pri § </w:t>
      </w:r>
      <w:r w:rsidRPr="005B2442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12 ods. 4 </w:t>
      </w:r>
      <w:r w:rsidR="00713B6A" w:rsidRPr="005B2442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povinnosť inštruovať osloveného prenajímateľ</w:t>
      </w:r>
      <w:r w:rsidR="00F13826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a o možnosti odmietnuť návrh na </w:t>
      </w:r>
      <w:r w:rsidR="00713B6A" w:rsidRPr="005B2442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uzatvorenie novej nájomnej zmluvy a odstráni sa previazanie na neprimerané obmedzenie voľnosti prenajímateľa v § 13 ods. 2.</w:t>
      </w:r>
      <w:r w:rsidR="0055314A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</w:t>
      </w:r>
    </w:p>
    <w:p w:rsidR="005B2442" w:rsidRPr="005B2442" w:rsidRDefault="00713B6A" w:rsidP="005B2442">
      <w:pPr>
        <w:pStyle w:val="Nadpis1"/>
        <w:keepNext w:val="0"/>
        <w:keepLines w:val="0"/>
        <w:widowControl w:val="0"/>
        <w:shd w:val="clear" w:color="auto" w:fill="FFFFFF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 w:rsidRPr="005B2442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Za potrebné však považujeme, aby doručenie návrhu nájomnej zmluvy bolo tak ako doteraz vykonané „preukázateľným spôsobom“.</w:t>
      </w:r>
      <w:r w:rsidR="0055314A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</w:t>
      </w:r>
      <w:r w:rsidRPr="005B2442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Treba ďalej upozorniť, že výsledkom fikcie vzniku nájomnej zmluvy nemá byť nájomná zmluva </w:t>
      </w:r>
      <w:r w:rsidR="005B2442" w:rsidRPr="005B2442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p</w:t>
      </w:r>
      <w:r w:rsidRPr="005B2442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odľa § 6 ale nájomná zmluva na účely prevádzkovania poľnohospodárskeho podniku. Naopak, je primerané, aby táto nájomná zmluva mohla byť vypovedaná v</w:t>
      </w:r>
      <w:r w:rsidR="00BD5781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 čo najprístupnejšej výpovednej lehote, napríklad do konca hospodárskeho roka, t. j. k 1. novembru daného roka</w:t>
      </w:r>
      <w:r w:rsidRPr="005B2442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. </w:t>
      </w:r>
      <w:r w:rsidR="005B2442" w:rsidRPr="005B2442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Zárov</w:t>
      </w:r>
      <w:r w:rsidR="00F13826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eň považujeme za vhodné, aby sa </w:t>
      </w:r>
      <w:r w:rsidR="005B2442" w:rsidRPr="005B2442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primerane aj v tomto prípade aplikovalo navrhnuté znenie § 12 ods. 4 druhej vety, t. j. základné náležitosti a možnosti odmietnutia návrhu.</w:t>
      </w:r>
    </w:p>
    <w:p w:rsidR="00397F93" w:rsidRDefault="005B2442" w:rsidP="005B2442">
      <w:pPr>
        <w:pStyle w:val="Nadpis1"/>
        <w:keepNext w:val="0"/>
        <w:keepLines w:val="0"/>
        <w:widowControl w:val="0"/>
        <w:shd w:val="clear" w:color="auto" w:fill="FFFFFF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 w:rsidRPr="005B2442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§ 13 ods. 3 by v prípade akceptovania tejto pripomienky mal znieť</w:t>
      </w:r>
      <w:r w:rsidR="00397F93" w:rsidRPr="00397F93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: "Ak nájomca najskôr rok a najneskôr dva mesiace pred uplynutím času, na ktorý je nájom dohodnutý, doručí </w:t>
      </w:r>
      <w:r w:rsidR="00713B6A" w:rsidRPr="005B2442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preukázateľným spôsobom </w:t>
      </w:r>
      <w:r w:rsidR="00397F93" w:rsidRPr="00397F93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prenajímateľovi návrh novej nájomnej zmluvy, pričom nájomca prenajímateľa pri návrhu uzatvorenia novej nájomnej zmluvy poučí o forme a spôsobe odmietnutia návrhu a upozorní na právne dôsledky jeho nekonania, a prenajímateľ do dvoch mesiacov odo dňa doručenia návrhu tento návrh písomne neodmietne alebo neoznámi nájomcovi, že uzavrel nájomnú zmluvu s inou osobou, predpo</w:t>
      </w:r>
      <w:r w:rsidR="00BD5781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kladá sa, že uplynutím času, na </w:t>
      </w:r>
      <w:r w:rsidR="00397F93" w:rsidRPr="00397F93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ktorý bol nájom dohodnutý</w:t>
      </w:r>
      <w:r w:rsidR="00BD5781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,</w:t>
      </w:r>
      <w:r w:rsidR="00397F93" w:rsidRPr="00397F93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vznikne medzi nimi nájomný </w:t>
      </w:r>
      <w:r w:rsidRPr="005B2442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vzťah na neurčitý čas</w:t>
      </w:r>
      <w:r w:rsidR="00BD5781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,</w:t>
      </w:r>
      <w:r w:rsidRPr="005B2442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</w:t>
      </w:r>
      <w:r w:rsidR="00BD5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ktorý možno vypovedať k 1. novembru</w:t>
      </w:r>
      <w:r w:rsidR="007B2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 výpovednou lehotou jeden rok</w:t>
      </w:r>
      <w:r w:rsidRPr="005B2442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;</w:t>
      </w:r>
      <w:r w:rsidR="00397F93" w:rsidRPr="00397F93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§ 12 ods. 4 druhá veta sa použije primerane.".</w:t>
      </w:r>
    </w:p>
    <w:p w:rsidR="00CA0F70" w:rsidRPr="00CA0F70" w:rsidRDefault="00CA0F70" w:rsidP="00460034">
      <w:pPr>
        <w:pStyle w:val="Nadpis1"/>
        <w:keepNext w:val="0"/>
        <w:keepLines w:val="0"/>
        <w:widowControl w:val="0"/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sk-SK"/>
        </w:rPr>
      </w:pPr>
      <w:r w:rsidRPr="00CA0F70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sk-SK"/>
        </w:rPr>
        <w:t>K čl. I bodom 2 až 6 – vypustiť úpravy v § 13</w:t>
      </w:r>
    </w:p>
    <w:p w:rsidR="00CA0F70" w:rsidRPr="00CA0F70" w:rsidRDefault="00CA0F70" w:rsidP="00CA0F70">
      <w:pPr>
        <w:pStyle w:val="Nadpis1"/>
        <w:keepNext w:val="0"/>
        <w:keepLines w:val="0"/>
        <w:widowControl w:val="0"/>
        <w:shd w:val="clear" w:color="auto" w:fill="FFFFFF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 w:rsidRPr="00CA0F70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Predkladateľ sa stotožňuje s návrhom zákona. § 13 ods. 2 a 3 sú neprimeraným obmedzením právneho postavenia prenajímateľa, t. j. vlastníka pozemku. Ide o vyváženie právneho vzťahu prenajímateľ – nájomca tak, aby vlastník mohol reálne uplatňovať svoje dispozičné právo k pozemku.</w:t>
      </w:r>
    </w:p>
    <w:p w:rsidR="0055314A" w:rsidRDefault="00D16BDF" w:rsidP="007B27C6">
      <w:pPr>
        <w:pStyle w:val="Nadpis1"/>
        <w:keepNext w:val="0"/>
        <w:widowControl w:val="0"/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 w:rsidRPr="0055314A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sk-SK"/>
        </w:rPr>
        <w:lastRenderedPageBreak/>
        <w:t>K čl. I – doplnenie právnej úpravy o ustanovenie</w:t>
      </w:r>
      <w:r w:rsidRPr="0055314A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, ktoré bude upravovať ďalšiu existenciu takých nájomných zmlúv, ktoré sú uzatvárané na dobu určitú so značným časovým predstihom pred uplynutím času, na ktorý sú uzatvorené v súčasnosti platné nájomné zmluvy. Tento postup sa považuje za rozporný s dobrými mravmi, pretože zámerom je vmanipulovanie prenajímateľa do uzatvorenia nájomnej zmluvy v čase, k</w:t>
      </w:r>
      <w:bookmarkStart w:id="0" w:name="_GoBack"/>
      <w:bookmarkEnd w:id="0"/>
      <w:r w:rsidRPr="0055314A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ým platí doterajšia právna úprava, ktoré </w:t>
      </w:r>
      <w:r w:rsidR="00191D2C" w:rsidRPr="0055314A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nezaručuje</w:t>
      </w:r>
      <w:r w:rsidRPr="0055314A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prenajímateľovi</w:t>
      </w:r>
      <w:r w:rsidR="00191D2C" w:rsidRPr="0055314A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(vlastníkovi)</w:t>
      </w:r>
      <w:r w:rsidRPr="0055314A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</w:t>
      </w:r>
      <w:r w:rsidR="00191D2C" w:rsidRPr="0055314A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vyvážené postavenie voči nájomcovi (užívateľovi). </w:t>
      </w:r>
    </w:p>
    <w:p w:rsidR="00191D2C" w:rsidRPr="0055314A" w:rsidRDefault="0055314A" w:rsidP="0055314A">
      <w:pPr>
        <w:pStyle w:val="Nadpis1"/>
        <w:keepNext w:val="0"/>
        <w:keepLines w:val="0"/>
        <w:widowControl w:val="0"/>
        <w:shd w:val="clear" w:color="auto" w:fill="FFFFFF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Predkladateľ súhlasí s</w:t>
      </w:r>
      <w:r w:rsidR="00191D2C" w:rsidRPr="0055314A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 potrebou riešenia tohto problému. Uzatváraním nových nájomných zmlúv s niekoľkoročným predstihom pred uplynutím určitého času dnes platnej nájomnej zmluvy má svojim účelom v kontexte všeobecne známej snahy</w:t>
      </w:r>
      <w:r w:rsidR="00F13826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o úpravu zákona č. 504/2003 Z. </w:t>
      </w:r>
      <w:r w:rsidR="00191D2C" w:rsidRPr="0055314A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z. charakter naplnenia § 39 Občianskeho zákonníka, t. j. má charakter právneho úkonu, ktorý svojim obsahom a účelom obchádza zákon a prieči sa dobrým mravom. Využíva sa tak najmä dosiaľ existujúci inštitút prednostného práva na uzavretie náj</w:t>
      </w:r>
      <w:r w:rsidR="00F13826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omnej zmluvy s cieľom vyhnúť sa </w:t>
      </w:r>
      <w:r w:rsidR="00191D2C" w:rsidRPr="0055314A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novej právnej úprave, ktorá dáva prenajímateľom vyrov</w:t>
      </w:r>
      <w:r w:rsidR="00F13826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nanejšie postavenie vo vzťahu k </w:t>
      </w:r>
      <w:r w:rsidR="00191D2C" w:rsidRPr="0055314A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nájomcom. Vytvára sa tak stav, ktorým sa obchádza a obmedzuje zmluvná voľnosť prenajímateľov a narúša sa ich rovnoprávne postavenie.</w:t>
      </w:r>
    </w:p>
    <w:p w:rsidR="00D16BDF" w:rsidRPr="0055314A" w:rsidRDefault="00191D2C" w:rsidP="0055314A">
      <w:pPr>
        <w:pStyle w:val="Nadpis1"/>
        <w:keepNext w:val="0"/>
        <w:keepLines w:val="0"/>
        <w:widowControl w:val="0"/>
        <w:shd w:val="clear" w:color="auto" w:fill="FFFFFF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 w:rsidRPr="0055314A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Najefektívnejšie riešenie smerujúce k zabezpečeniu rovnakého právneho postavenia všetkých prenajímateľov možno dosiahnuť tým, že zákon v prechodnom ustanovení explicitne zruší takto uzatvorené nájomné zmluvy, t. j. tie, ktoré by mali nadobudnúť účinnosť neskôr ako napríklad jeden rok (analogické trvanie ako pri výpovednej lehote podľa § 6) od nadobudnutia účinnosti novely zákona. </w:t>
      </w:r>
      <w:r w:rsidR="0055314A" w:rsidRPr="0055314A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Tak</w:t>
      </w:r>
      <w:r w:rsidRPr="0055314A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by sa navráti</w:t>
      </w:r>
      <w:r w:rsidR="0055314A" w:rsidRPr="0055314A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lo</w:t>
      </w:r>
      <w:r w:rsidRPr="0055314A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prenajímateľom rovnaké postavenie </w:t>
      </w:r>
      <w:r w:rsidR="0055314A" w:rsidRPr="0055314A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tým</w:t>
      </w:r>
      <w:r w:rsidR="00F13826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, že by sa </w:t>
      </w:r>
      <w:r w:rsidRPr="0055314A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odstráni</w:t>
      </w:r>
      <w:r w:rsidR="0055314A" w:rsidRPr="0055314A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la príčina</w:t>
      </w:r>
      <w:r w:rsidRPr="0055314A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nerovnosti.</w:t>
      </w:r>
    </w:p>
    <w:p w:rsidR="00C900B5" w:rsidRPr="00767838" w:rsidRDefault="00C900B5" w:rsidP="00460034">
      <w:pPr>
        <w:pStyle w:val="Nadpis1"/>
        <w:keepNext w:val="0"/>
        <w:keepLines w:val="0"/>
        <w:widowControl w:val="0"/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sk-SK"/>
        </w:rPr>
      </w:pPr>
      <w:r w:rsidRPr="00767838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sk-SK"/>
        </w:rPr>
        <w:t xml:space="preserve">K čl. I – doplniť prechodné ustanovenie </w:t>
      </w:r>
      <w:r w:rsidRPr="00767838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k právnym vzťahom, ktoré vznikli podľa doterajšieho znenia § 12 ods. 4, ktoré by ustanovilo, kedy zaniká nájomný vzťah k pozemku jeho doterajšieho užívateľa, na základe akého právneho titulu a kto je povinný mu uhradiť náklady, ktoré už nevyhnutne musel vynaložiť vzhľadom na charakter pozemku.</w:t>
      </w:r>
    </w:p>
    <w:p w:rsidR="00C900B5" w:rsidRPr="00C900B5" w:rsidRDefault="00C900B5" w:rsidP="00C900B5">
      <w:pPr>
        <w:spacing w:after="0"/>
        <w:ind w:firstLine="567"/>
        <w:jc w:val="both"/>
        <w:rPr>
          <w:lang w:eastAsia="sk-SK"/>
        </w:rPr>
      </w:pPr>
      <w:r>
        <w:rPr>
          <w:lang w:eastAsia="sk-SK"/>
        </w:rPr>
        <w:t>Predkladateľ nepovažuje za potrebné ustanoviť, aké sú následky neoprávneného zásahu do vlastníckeho práva vlastníka pozemku, keďže tie vyplývajú zo všeobecnej právnej úpravy.</w:t>
      </w:r>
    </w:p>
    <w:p w:rsidR="00AB0518" w:rsidRPr="00767838" w:rsidRDefault="00C900B5" w:rsidP="00460034">
      <w:pPr>
        <w:pStyle w:val="Nadpis1"/>
        <w:keepNext w:val="0"/>
        <w:keepLines w:val="0"/>
        <w:widowControl w:val="0"/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sk-SK"/>
        </w:rPr>
      </w:pPr>
      <w:r w:rsidRPr="00767838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sk-SK"/>
        </w:rPr>
        <w:t xml:space="preserve">K čl. II – ustanoviť dlhšiu </w:t>
      </w:r>
      <w:proofErr w:type="spellStart"/>
      <w:r w:rsidRPr="00767838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sk-SK"/>
        </w:rPr>
        <w:t>legisvakanciu</w:t>
      </w:r>
      <w:proofErr w:type="spellEnd"/>
    </w:p>
    <w:p w:rsidR="00767838" w:rsidRDefault="00C900B5" w:rsidP="00767838">
      <w:pPr>
        <w:pStyle w:val="Nadpis1"/>
        <w:keepNext w:val="0"/>
        <w:keepLines w:val="0"/>
        <w:widowControl w:val="0"/>
        <w:shd w:val="clear" w:color="auto" w:fill="FFFFFF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sk-SK"/>
        </w:rPr>
      </w:pPr>
      <w:r w:rsidRPr="00C900B5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Vzhľadom na to, že sa nemenia lehoty ani sa nezavádza </w:t>
      </w:r>
      <w:r w:rsidR="00F13826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nový inštitút, podľa ktorého by </w:t>
      </w:r>
      <w:r w:rsidRPr="00C900B5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si adresáti právnej úpravy mali novým spôsobom upraviť svoje právne vzťahy, ale sa len upravuje ustanovenie o fikcii vzniku nájomnej zmluvy, nepovažuje predkladateľ za dôvod dlhšej </w:t>
      </w:r>
      <w:proofErr w:type="spellStart"/>
      <w:r w:rsidRPr="00C900B5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legisvakancie</w:t>
      </w:r>
      <w:proofErr w:type="spellEnd"/>
      <w:r w:rsidRPr="00C900B5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poskytnutie dostatku času na usporiadanie právnych vzťahov.</w:t>
      </w:r>
      <w:r w:rsidR="00767838" w:rsidRPr="00767838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sk-SK"/>
        </w:rPr>
        <w:t xml:space="preserve"> </w:t>
      </w:r>
    </w:p>
    <w:p w:rsidR="00767838" w:rsidRPr="00F1076D" w:rsidRDefault="00253C01" w:rsidP="00460034">
      <w:pPr>
        <w:pStyle w:val="Nadpis1"/>
        <w:keepNext w:val="0"/>
        <w:keepLines w:val="0"/>
        <w:widowControl w:val="0"/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sk-SK"/>
        </w:rPr>
        <w:t>D</w:t>
      </w:r>
      <w:r w:rsidR="00767838" w:rsidRPr="00F1076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sk-SK"/>
        </w:rPr>
        <w:t>oplnenie čl. II a III – novela zákona č. 229/1991 Zb. a zákona č. 503/2003 Z. z. – prechodné ustanovenia súvisiace so zmenou územnej organizačnej štruktúry fondu</w:t>
      </w:r>
    </w:p>
    <w:p w:rsidR="00767838" w:rsidRPr="00F1076D" w:rsidRDefault="00767838" w:rsidP="00767838">
      <w:pPr>
        <w:pStyle w:val="Nadpis1"/>
        <w:keepNext w:val="0"/>
        <w:keepLines w:val="0"/>
        <w:widowControl w:val="0"/>
        <w:shd w:val="clear" w:color="auto" w:fill="FFFFFF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 w:rsidRPr="00F1076D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Pripomienka vychádza z interných organizačných zmien fondu týkajúcich sa jeho územných organizačných útvarov. Fond má právo zriaďovať si tieto územné organizačné útvary podľa § 34 ods. 1 poslednej vety zákona č. 330/1991 Zb. Je to teda v jeho pôsobnosti. Žiadny právny predpis neupravuje postavenie ani obvody územnej pôsobnosti týchto organizačných útvarov, najmä ich neupravuje zákon č. 229/19</w:t>
      </w:r>
      <w:r w:rsidR="00F13826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91 Zb. ani zákon č. 503/2003 Z. </w:t>
      </w:r>
      <w:r w:rsidRPr="00F1076D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z. V týchto zákonoch sa územné organizačné útvary fondu uvádzajú len v prechodnom ustanovení k úpravám účinným od 1.3.2011 a to len v súvislo</w:t>
      </w:r>
      <w:r w:rsidR="00F13826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sti s konaniami neskončenými do </w:t>
      </w:r>
      <w:r w:rsidRPr="00F1076D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28.2.2011. Vloženie prechodných ustanovení do citovaných dvoch zákonov je preto neodôvodnené. Jediným všeobecne záväzným právnym predpisom, ktorý upravuje postup územných organizačných útvarov fondu je nariadenia vlády S</w:t>
      </w:r>
      <w:r w:rsidR="00F13826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lovenskej republiky č. 237/2010 </w:t>
      </w:r>
      <w:r w:rsidRPr="00F1076D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Z. z. Prípadnú úpravu postupu fondu podľa štruktúry jeho územnej pôsobnosti možno upraviť teda v tomto vykonávacom predpise.</w:t>
      </w:r>
    </w:p>
    <w:p w:rsidR="00EA1544" w:rsidRPr="00EA1544" w:rsidRDefault="00EA1544" w:rsidP="00460034">
      <w:pPr>
        <w:pStyle w:val="Nadpis1"/>
        <w:keepNext w:val="0"/>
        <w:keepLines w:val="0"/>
        <w:widowControl w:val="0"/>
        <w:shd w:val="clear" w:color="auto" w:fill="FFFFFF"/>
        <w:spacing w:before="120" w:line="240" w:lineRule="auto"/>
        <w:jc w:val="both"/>
        <w:rPr>
          <w:lang w:eastAsia="sk-SK"/>
        </w:rPr>
      </w:pPr>
      <w:r w:rsidRPr="008E5D31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sk-SK"/>
        </w:rPr>
        <w:t>Pripomienka návrh zákona zamietnuť ako nedôvodný a</w:t>
      </w:r>
      <w:r w:rsidR="00EC4B8F" w:rsidRPr="008E5D31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sk-SK"/>
        </w:rPr>
        <w:t> </w:t>
      </w:r>
      <w:r w:rsidRPr="008E5D31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sk-SK"/>
        </w:rPr>
        <w:t>neopodstatnený</w:t>
      </w:r>
      <w:r w:rsidR="00EC4B8F" w:rsidRPr="008E5D31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z dôvodu</w:t>
      </w:r>
      <w:r w:rsidRPr="008E5D31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, že ide len o kozmetickú úpravu, neodstraňuje sa sporná fikcia vzni</w:t>
      </w:r>
      <w:r w:rsidR="00F13826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ku nájomného vzťahu, zakladá </w:t>
      </w:r>
      <w:r w:rsidR="00F13826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lastRenderedPageBreak/>
        <w:t>sa </w:t>
      </w:r>
      <w:r w:rsidR="00EC4B8F" w:rsidRPr="008E5D31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administratívna nejasnosť, dáva možnosť vzniku nájomnej zmluvy na základe neoprávneného užívania; vytýkajú sa však aj časti ustanovenia, ktoré sú už v platnom znení. Viacerých dôvodov pripomienky sa týkajú časti stanoviska uvedené vyššie, najmä pokiaľ ide o povahu užívateľa a jeho práva užívať pozemok a pokiaľ ide o rôzne tituly užívania pozemku. Povinnosť navrhovateľa poučiť o následkoch nekonania vlastníka pozemku je vhodné upraviť jasnejšie</w:t>
      </w:r>
      <w:r w:rsidR="008E5D31" w:rsidRPr="008E5D31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.</w:t>
      </w:r>
    </w:p>
    <w:p w:rsidR="00EA1544" w:rsidRPr="00EA1544" w:rsidRDefault="00EA1544" w:rsidP="00EA1544">
      <w:pPr>
        <w:rPr>
          <w:lang w:eastAsia="sk-SK"/>
        </w:rPr>
      </w:pPr>
    </w:p>
    <w:p w:rsidR="00C12266" w:rsidRPr="00DD778F" w:rsidRDefault="00DD778F" w:rsidP="00DD778F">
      <w:pPr>
        <w:pStyle w:val="Nadpis1"/>
        <w:keepNext w:val="0"/>
        <w:keepLines w:val="0"/>
        <w:widowControl w:val="0"/>
        <w:shd w:val="clear" w:color="auto" w:fill="FFFFFF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sk-SK"/>
        </w:rPr>
      </w:pPr>
      <w:r w:rsidRPr="00DD778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sk-SK"/>
        </w:rPr>
        <w:t>Záver</w:t>
      </w:r>
    </w:p>
    <w:p w:rsidR="00DD778F" w:rsidRPr="00DD778F" w:rsidRDefault="00DD778F" w:rsidP="00DD778F">
      <w:pPr>
        <w:pStyle w:val="Nadpis1"/>
        <w:keepNext w:val="0"/>
        <w:keepLines w:val="0"/>
        <w:widowControl w:val="0"/>
        <w:shd w:val="clear" w:color="auto" w:fill="FFFFFF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 w:rsidRPr="00DD778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Predkladateľ odporúča vláde vysloviť </w:t>
      </w:r>
      <w:r w:rsidRPr="008E5D3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sk-SK"/>
        </w:rPr>
        <w:t>súhlas</w:t>
      </w:r>
      <w:r w:rsidRPr="00DD778F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s predloženým návrhom zákona.</w:t>
      </w:r>
    </w:p>
    <w:sectPr w:rsidR="00DD778F" w:rsidRPr="00DD778F" w:rsidSect="00DD778F"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78F" w:rsidRDefault="00DD778F" w:rsidP="00DD778F">
      <w:pPr>
        <w:spacing w:after="0" w:line="240" w:lineRule="auto"/>
      </w:pPr>
      <w:r>
        <w:separator/>
      </w:r>
    </w:p>
  </w:endnote>
  <w:endnote w:type="continuationSeparator" w:id="0">
    <w:p w:rsidR="00DD778F" w:rsidRDefault="00DD778F" w:rsidP="00DD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210075"/>
      <w:docPartObj>
        <w:docPartGallery w:val="Page Numbers (Bottom of Page)"/>
        <w:docPartUnique/>
      </w:docPartObj>
    </w:sdtPr>
    <w:sdtEndPr/>
    <w:sdtContent>
      <w:p w:rsidR="00DD778F" w:rsidRPr="00DD778F" w:rsidRDefault="00DD778F" w:rsidP="00DD778F">
        <w:pPr>
          <w:pStyle w:val="Pta"/>
          <w:jc w:val="center"/>
        </w:pPr>
        <w:r w:rsidRPr="00DD778F">
          <w:fldChar w:fldCharType="begin"/>
        </w:r>
        <w:r w:rsidRPr="00DD778F">
          <w:instrText>PAGE   \* MERGEFORMAT</w:instrText>
        </w:r>
        <w:r w:rsidRPr="00DD778F">
          <w:fldChar w:fldCharType="separate"/>
        </w:r>
        <w:r w:rsidR="00253D0B">
          <w:rPr>
            <w:noProof/>
          </w:rPr>
          <w:t>6</w:t>
        </w:r>
        <w:r w:rsidRPr="00DD778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78F" w:rsidRDefault="00DD778F" w:rsidP="00DD778F">
      <w:pPr>
        <w:spacing w:after="0" w:line="240" w:lineRule="auto"/>
      </w:pPr>
      <w:r>
        <w:separator/>
      </w:r>
    </w:p>
  </w:footnote>
  <w:footnote w:type="continuationSeparator" w:id="0">
    <w:p w:rsidR="00DD778F" w:rsidRDefault="00DD778F" w:rsidP="00DD7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0C89"/>
    <w:multiLevelType w:val="hybridMultilevel"/>
    <w:tmpl w:val="242C07DE"/>
    <w:lvl w:ilvl="0" w:tplc="661A61EE"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B7A559D"/>
    <w:multiLevelType w:val="hybridMultilevel"/>
    <w:tmpl w:val="81E49222"/>
    <w:lvl w:ilvl="0" w:tplc="661A61EE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66"/>
    <w:rsid w:val="00064EF9"/>
    <w:rsid w:val="00082458"/>
    <w:rsid w:val="000E360B"/>
    <w:rsid w:val="00191D2C"/>
    <w:rsid w:val="001931BE"/>
    <w:rsid w:val="00253C01"/>
    <w:rsid w:val="00253D0B"/>
    <w:rsid w:val="00265C57"/>
    <w:rsid w:val="002A028A"/>
    <w:rsid w:val="00334D19"/>
    <w:rsid w:val="00397F93"/>
    <w:rsid w:val="003C12B8"/>
    <w:rsid w:val="003D4372"/>
    <w:rsid w:val="003F550F"/>
    <w:rsid w:val="00412FE2"/>
    <w:rsid w:val="00460034"/>
    <w:rsid w:val="00464FC1"/>
    <w:rsid w:val="00491585"/>
    <w:rsid w:val="004D0438"/>
    <w:rsid w:val="0055314A"/>
    <w:rsid w:val="005B2442"/>
    <w:rsid w:val="007115B9"/>
    <w:rsid w:val="00713B6A"/>
    <w:rsid w:val="00767838"/>
    <w:rsid w:val="007B27C6"/>
    <w:rsid w:val="00827C5C"/>
    <w:rsid w:val="00833266"/>
    <w:rsid w:val="008957A8"/>
    <w:rsid w:val="008E5D31"/>
    <w:rsid w:val="00A2545E"/>
    <w:rsid w:val="00AB0518"/>
    <w:rsid w:val="00B070BF"/>
    <w:rsid w:val="00BD5781"/>
    <w:rsid w:val="00C12266"/>
    <w:rsid w:val="00C900B5"/>
    <w:rsid w:val="00CA0F70"/>
    <w:rsid w:val="00D16BDF"/>
    <w:rsid w:val="00DD778F"/>
    <w:rsid w:val="00DE6C95"/>
    <w:rsid w:val="00E5098F"/>
    <w:rsid w:val="00EA1544"/>
    <w:rsid w:val="00EC4B8F"/>
    <w:rsid w:val="00EE24A8"/>
    <w:rsid w:val="00F1076D"/>
    <w:rsid w:val="00F1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EBBE"/>
  <w15:chartTrackingRefBased/>
  <w15:docId w15:val="{EBA9AF0D-AAE4-4F1A-9E4C-2858FDBD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122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122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ywebov">
    <w:name w:val="Normal (Web)"/>
    <w:aliases w:val="webb"/>
    <w:basedOn w:val="Normlny"/>
    <w:uiPriority w:val="99"/>
    <w:unhideWhenUsed/>
    <w:rsid w:val="00C12266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styleId="Odsekzoznamu">
    <w:name w:val="List Paragraph"/>
    <w:basedOn w:val="Normlny"/>
    <w:uiPriority w:val="34"/>
    <w:qFormat/>
    <w:rsid w:val="003C12B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D7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778F"/>
  </w:style>
  <w:style w:type="paragraph" w:styleId="Pta">
    <w:name w:val="footer"/>
    <w:basedOn w:val="Normlny"/>
    <w:link w:val="PtaChar"/>
    <w:uiPriority w:val="99"/>
    <w:unhideWhenUsed/>
    <w:rsid w:val="00DD7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legislativne-procesy/SK/LP/2020/6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2854</Words>
  <Characters>16270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martin.illas</dc:creator>
  <cp:keywords/>
  <dc:description/>
  <cp:lastModifiedBy>Illáš Martin</cp:lastModifiedBy>
  <cp:revision>22</cp:revision>
  <dcterms:created xsi:type="dcterms:W3CDTF">2021-02-18T14:35:00Z</dcterms:created>
  <dcterms:modified xsi:type="dcterms:W3CDTF">2021-03-10T11:14:00Z</dcterms:modified>
</cp:coreProperties>
</file>