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23" w:rsidRPr="000603AB" w:rsidRDefault="009B5323" w:rsidP="009B532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9B5323" w:rsidRPr="00C35BC3" w:rsidRDefault="009B5323" w:rsidP="009B5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180" w:rsidRDefault="009B5323" w:rsidP="009B5323">
      <w:pPr>
        <w:pStyle w:val="Normlnywebov"/>
        <w:jc w:val="both"/>
      </w:pPr>
      <w:r>
        <w:t xml:space="preserve">Podľa § 70 ods. 2 zákona Národnej rady Slovenskej republiky č. 350/1996 Z. z. o rokovacom poriadku Národnej rady Slovenskej republiky Ministerstvo zdravotníctva Slovenskej republiky ako ústredný orgán štátnej správy pre zdravotnú starostlivosť </w:t>
      </w:r>
      <w:r w:rsidR="000A5C7E">
        <w:t xml:space="preserve">predkladá </w:t>
      </w:r>
      <w:r w:rsidR="006C3511">
        <w:t xml:space="preserve">do medzirezortného pripomienkového konania </w:t>
      </w:r>
      <w:r>
        <w:t xml:space="preserve">návrh skupiny poslancov Národnej rady Slovenskej republiky na vydanie zákona, ktorým sa mení a dopĺňa </w:t>
      </w:r>
      <w:r w:rsidR="00E10180" w:rsidRPr="00E01F23">
        <w:rPr>
          <w:color w:val="000000" w:themeColor="text1"/>
        </w:rPr>
        <w:t>zákon č. 580/2004 Z. z. o zdravotnom poistení a o zmene a doplnení zákona č. 95/2002 Z. z. o poisťovníctve a o zmene a doplnení niektorých zákonov v znení neskorších predpisov</w:t>
      </w:r>
      <w:r w:rsidR="00E10180">
        <w:t xml:space="preserve"> </w:t>
      </w:r>
      <w:r>
        <w:t xml:space="preserve">(tlač </w:t>
      </w:r>
      <w:r w:rsidR="00E10180">
        <w:t>389</w:t>
      </w:r>
      <w:r>
        <w:t>)</w:t>
      </w:r>
      <w:r w:rsidR="00A6062C">
        <w:t xml:space="preserve"> </w:t>
      </w:r>
      <w:r w:rsidR="00A6062C">
        <w:rPr>
          <w:color w:val="000000" w:themeColor="text1"/>
        </w:rPr>
        <w:t>(ďalej len „</w:t>
      </w:r>
      <w:r w:rsidR="00A6062C" w:rsidRPr="002F0381">
        <w:rPr>
          <w:i/>
          <w:color w:val="000000" w:themeColor="text1"/>
        </w:rPr>
        <w:t>poslanecký návrh zákona</w:t>
      </w:r>
      <w:r w:rsidR="00A6062C">
        <w:rPr>
          <w:color w:val="000000" w:themeColor="text1"/>
        </w:rPr>
        <w:t>“)</w:t>
      </w:r>
      <w:r>
        <w:t xml:space="preserve">.      </w:t>
      </w:r>
    </w:p>
    <w:p w:rsidR="009B5323" w:rsidRPr="00A6062C" w:rsidRDefault="009B5323" w:rsidP="009B5323">
      <w:pPr>
        <w:pStyle w:val="Normlnywebov"/>
        <w:jc w:val="both"/>
        <w:rPr>
          <w:color w:val="000000" w:themeColor="text1"/>
        </w:rPr>
      </w:pPr>
      <w:r>
        <w:t>Ministerstvo zdravotníctva Slovenskej republiky k predloženému poslaneckému návrhu zákona</w:t>
      </w:r>
      <w:r w:rsidR="00A6062C">
        <w:t xml:space="preserve"> </w:t>
      </w:r>
      <w:r>
        <w:t xml:space="preserve">pristupuje v zmysle podpory </w:t>
      </w:r>
      <w:r w:rsidR="00E10180">
        <w:rPr>
          <w:bCs/>
          <w:color w:val="000000" w:themeColor="text1"/>
        </w:rPr>
        <w:t>eliminácie možnosti ohrozenia</w:t>
      </w:r>
      <w:r w:rsidR="00E10180" w:rsidRPr="00670C5F">
        <w:rPr>
          <w:bCs/>
          <w:color w:val="000000" w:themeColor="text1"/>
        </w:rPr>
        <w:t xml:space="preserve"> života, zdr</w:t>
      </w:r>
      <w:r w:rsidR="00E10180">
        <w:rPr>
          <w:bCs/>
          <w:color w:val="000000" w:themeColor="text1"/>
        </w:rPr>
        <w:t>avia alebo neľudského alebo zlého zaobchádzania s</w:t>
      </w:r>
      <w:r w:rsidR="00A6062C">
        <w:rPr>
          <w:bCs/>
          <w:color w:val="000000" w:themeColor="text1"/>
        </w:rPr>
        <w:t> </w:t>
      </w:r>
      <w:r w:rsidR="00E10180">
        <w:rPr>
          <w:bCs/>
          <w:color w:val="000000" w:themeColor="text1"/>
        </w:rPr>
        <w:t>dieťaťom</w:t>
      </w:r>
      <w:r w:rsidR="00A6062C">
        <w:rPr>
          <w:bCs/>
          <w:color w:val="000000" w:themeColor="text1"/>
        </w:rPr>
        <w:t>.</w:t>
      </w:r>
      <w:r w:rsidR="00E10180" w:rsidRPr="000F4F95">
        <w:rPr>
          <w:bCs/>
          <w:color w:val="000000" w:themeColor="text1"/>
        </w:rPr>
        <w:t xml:space="preserve"> </w:t>
      </w:r>
      <w:r w:rsidR="00A6062C">
        <w:rPr>
          <w:bCs/>
          <w:color w:val="000000" w:themeColor="text1"/>
        </w:rPr>
        <w:t xml:space="preserve">Navrhovaná právna úprava má za cieľ úpravu ustanovenia § 25 </w:t>
      </w:r>
      <w:r w:rsidR="00A6062C" w:rsidRPr="00E01F23">
        <w:rPr>
          <w:color w:val="000000" w:themeColor="text1"/>
        </w:rPr>
        <w:t>zákon</w:t>
      </w:r>
      <w:r w:rsidR="00A6062C">
        <w:rPr>
          <w:color w:val="000000" w:themeColor="text1"/>
        </w:rPr>
        <w:t>a</w:t>
      </w:r>
      <w:r w:rsidR="00A6062C" w:rsidRPr="00E01F23">
        <w:rPr>
          <w:color w:val="000000" w:themeColor="text1"/>
        </w:rPr>
        <w:t xml:space="preserve"> č. 580/2004 Z. z. o zdravotnom poistení a o zmene a doplnení zákona č. 95/2002 Z. z. o poisťovníctve a o zmene a doplnení niektorých zákonov v znení neskorších predpisov</w:t>
      </w:r>
      <w:r w:rsidR="00A6062C">
        <w:rPr>
          <w:color w:val="000000" w:themeColor="text1"/>
        </w:rPr>
        <w:t xml:space="preserve"> (ďalej len „</w:t>
      </w:r>
      <w:r w:rsidR="00A6062C" w:rsidRPr="002F0381">
        <w:rPr>
          <w:i/>
          <w:color w:val="000000" w:themeColor="text1"/>
        </w:rPr>
        <w:t xml:space="preserve">zákon č. 580/2004 </w:t>
      </w:r>
      <w:proofErr w:type="spellStart"/>
      <w:r w:rsidR="00A6062C" w:rsidRPr="002F0381">
        <w:rPr>
          <w:i/>
          <w:color w:val="000000" w:themeColor="text1"/>
        </w:rPr>
        <w:t>Z.z</w:t>
      </w:r>
      <w:proofErr w:type="spellEnd"/>
      <w:r w:rsidR="00A6062C" w:rsidRPr="002F0381">
        <w:rPr>
          <w:color w:val="000000" w:themeColor="text1"/>
        </w:rPr>
        <w:t>.“)</w:t>
      </w:r>
      <w:r w:rsidR="00A6062C">
        <w:rPr>
          <w:bCs/>
          <w:color w:val="000000" w:themeColor="text1"/>
        </w:rPr>
        <w:t>, a to zavedením</w:t>
      </w:r>
      <w:r w:rsidR="00A6062C" w:rsidRPr="000F4F95">
        <w:rPr>
          <w:bCs/>
          <w:color w:val="000000" w:themeColor="text1"/>
        </w:rPr>
        <w:t xml:space="preserve"> </w:t>
      </w:r>
      <w:r w:rsidR="00A6062C">
        <w:rPr>
          <w:bCs/>
          <w:color w:val="000000" w:themeColor="text1"/>
        </w:rPr>
        <w:t>oznamovacej</w:t>
      </w:r>
      <w:r w:rsidR="00A6062C" w:rsidRPr="000F4F95">
        <w:rPr>
          <w:bCs/>
          <w:color w:val="000000" w:themeColor="text1"/>
        </w:rPr>
        <w:t xml:space="preserve"> povinnos</w:t>
      </w:r>
      <w:r w:rsidR="00A6062C">
        <w:rPr>
          <w:bCs/>
          <w:color w:val="000000" w:themeColor="text1"/>
        </w:rPr>
        <w:t>ti</w:t>
      </w:r>
      <w:r w:rsidR="00A6062C" w:rsidRPr="000F4F95">
        <w:rPr>
          <w:bCs/>
          <w:color w:val="000000" w:themeColor="text1"/>
        </w:rPr>
        <w:t xml:space="preserve"> zdravotnej poisťovn</w:t>
      </w:r>
      <w:r w:rsidR="00A6062C">
        <w:rPr>
          <w:bCs/>
          <w:color w:val="000000" w:themeColor="text1"/>
        </w:rPr>
        <w:t>e</w:t>
      </w:r>
      <w:r w:rsidR="00A6062C" w:rsidRPr="000F4F95">
        <w:rPr>
          <w:bCs/>
          <w:color w:val="000000" w:themeColor="text1"/>
        </w:rPr>
        <w:t xml:space="preserve"> voči orgánu sociálnoprávnej ochrany detí a sociálnej kurately</w:t>
      </w:r>
      <w:r w:rsidR="00A6062C">
        <w:rPr>
          <w:bCs/>
          <w:color w:val="000000" w:themeColor="text1"/>
        </w:rPr>
        <w:t>.</w:t>
      </w:r>
      <w:r w:rsidR="00A6062C">
        <w:rPr>
          <w:color w:val="000000" w:themeColor="text1"/>
        </w:rPr>
        <w:t xml:space="preserve"> </w:t>
      </w:r>
      <w:r w:rsidR="00E10180" w:rsidRPr="000F4F95">
        <w:rPr>
          <w:bCs/>
          <w:color w:val="000000" w:themeColor="text1"/>
        </w:rPr>
        <w:t>Touto oznamovacou povinnosťou sa má zabezpečiť možnosť, aby orgán sociálnoprávnej ochrany detí a sociálnej kurately mohol preveriť podľa oprávnení informácie o tom, že by dieťa (poistenec) mohlo byť vystavené ohrozeniu života, zdravia alebo neľudskému alebo zlému zaobchádzaniu</w:t>
      </w:r>
      <w:r>
        <w:rPr>
          <w:rStyle w:val="awspan"/>
        </w:rPr>
        <w:t xml:space="preserve">. </w:t>
      </w:r>
      <w:r>
        <w:t>K</w:t>
      </w:r>
      <w:r w:rsidR="00A6062C">
        <w:t xml:space="preserve"> poslaneckému </w:t>
      </w:r>
      <w:r>
        <w:t xml:space="preserve">návrhu </w:t>
      </w:r>
      <w:r w:rsidR="002F0381">
        <w:t xml:space="preserve">zákona </w:t>
      </w:r>
      <w:r>
        <w:t>uvádzame nasledovné:</w:t>
      </w:r>
    </w:p>
    <w:p w:rsidR="009B5323" w:rsidRDefault="009B5323" w:rsidP="009B5323">
      <w:pPr>
        <w:pStyle w:val="Normlnywebov"/>
        <w:jc w:val="both"/>
        <w:rPr>
          <w:rStyle w:val="Zvraznenie"/>
          <w:b/>
          <w:bCs/>
        </w:rPr>
      </w:pPr>
      <w:r>
        <w:rPr>
          <w:rStyle w:val="Zvraznenie"/>
          <w:b/>
          <w:bCs/>
        </w:rPr>
        <w:t>Všeobecne</w:t>
      </w:r>
    </w:p>
    <w:p w:rsidR="009B5323" w:rsidRPr="007E3739" w:rsidRDefault="00A6062C" w:rsidP="00D85DB2">
      <w:pPr>
        <w:pStyle w:val="Normlnywebov"/>
        <w:jc w:val="both"/>
        <w:rPr>
          <w:rFonts w:eastAsiaTheme="minorEastAsia" w:cstheme="minorBidi"/>
          <w:noProof/>
          <w:lang w:eastAsia="en-US"/>
        </w:rPr>
      </w:pPr>
      <w:r>
        <w:rPr>
          <w:rFonts w:eastAsiaTheme="minorEastAsia" w:cstheme="minorBidi"/>
          <w:noProof/>
          <w:lang w:eastAsia="en-US"/>
        </w:rPr>
        <w:t xml:space="preserve">Základným cieľom </w:t>
      </w:r>
      <w:r w:rsidR="002F0381" w:rsidRPr="00A6062C">
        <w:rPr>
          <w:color w:val="000000" w:themeColor="text1"/>
        </w:rPr>
        <w:t>poslaneck</w:t>
      </w:r>
      <w:r w:rsidRPr="00A6062C">
        <w:rPr>
          <w:color w:val="000000" w:themeColor="text1"/>
        </w:rPr>
        <w:t>ého</w:t>
      </w:r>
      <w:r w:rsidR="002F0381" w:rsidRPr="00A6062C">
        <w:rPr>
          <w:color w:val="000000" w:themeColor="text1"/>
        </w:rPr>
        <w:t xml:space="preserve"> návrh</w:t>
      </w:r>
      <w:r w:rsidRPr="00A6062C">
        <w:rPr>
          <w:color w:val="000000" w:themeColor="text1"/>
        </w:rPr>
        <w:t>u</w:t>
      </w:r>
      <w:r w:rsidR="002F0381" w:rsidRPr="00A6062C">
        <w:rPr>
          <w:color w:val="000000" w:themeColor="text1"/>
        </w:rPr>
        <w:t xml:space="preserve"> zákona</w:t>
      </w:r>
      <w:r w:rsidRPr="00A6062C">
        <w:rPr>
          <w:color w:val="000000" w:themeColor="text1"/>
        </w:rPr>
        <w:t xml:space="preserve"> </w:t>
      </w:r>
      <w:r w:rsidR="001D2356" w:rsidRPr="00A6062C">
        <w:rPr>
          <w:rFonts w:eastAsiaTheme="minorEastAsia" w:cstheme="minorBidi"/>
          <w:noProof/>
          <w:lang w:eastAsia="en-US"/>
        </w:rPr>
        <w:t>je</w:t>
      </w:r>
      <w:r w:rsidR="001D2356" w:rsidRPr="007E3739">
        <w:rPr>
          <w:rFonts w:eastAsiaTheme="minorEastAsia" w:cstheme="minorBidi"/>
          <w:noProof/>
          <w:lang w:eastAsia="en-US"/>
        </w:rPr>
        <w:t xml:space="preserve"> vytvorenie právnej úpravy, ktorá môže prispieť k eliminácii možnosti ohrozenia života, zdravia alebo neľudského alebo zlého zaobchádzania s dieťaťom. Návrh zákona zavádza oznamovaciu povinnosť zdravotnej poisťovne voči orgánu sociálnoprávnej ochrany detí </w:t>
      </w:r>
      <w:r>
        <w:rPr>
          <w:rFonts w:eastAsiaTheme="minorEastAsia" w:cstheme="minorBidi"/>
          <w:noProof/>
          <w:lang w:eastAsia="en-US"/>
        </w:rPr>
        <w:t xml:space="preserve"> </w:t>
      </w:r>
      <w:r w:rsidR="001D2356" w:rsidRPr="007E3739">
        <w:rPr>
          <w:rFonts w:eastAsiaTheme="minorEastAsia" w:cstheme="minorBidi"/>
          <w:noProof/>
          <w:lang w:eastAsia="en-US"/>
        </w:rPr>
        <w:t>a sociálnej kurately. Touto oznamovacou povinnosťou sa má zabezpečiť možnosť, aby orgán sociálnoprávnej ochrany detí a sociálnej kurately mohol preveriť podľa oprávnení informácie o tom, že by dieťa (poistenec) mohlo byť vystavené ohrozeniu života, zdravia alebo neľudskému alebo zlému zaobchádzaniu.</w:t>
      </w:r>
    </w:p>
    <w:p w:rsidR="009B5323" w:rsidRDefault="009B5323" w:rsidP="009B5323">
      <w:pPr>
        <w:pStyle w:val="Normlnywebov"/>
        <w:jc w:val="both"/>
      </w:pPr>
      <w:r>
        <w:rPr>
          <w:rStyle w:val="Zvraznenie"/>
          <w:b/>
          <w:bCs/>
        </w:rPr>
        <w:t xml:space="preserve">Stanovisko </w:t>
      </w:r>
    </w:p>
    <w:p w:rsidR="009B5323" w:rsidRDefault="009B5323" w:rsidP="009B5323">
      <w:pPr>
        <w:pStyle w:val="Normlnywebov"/>
        <w:jc w:val="both"/>
      </w:pPr>
      <w:r>
        <w:rPr>
          <w:rStyle w:val="Siln"/>
        </w:rPr>
        <w:t xml:space="preserve">Pripomienky k jednotlivým článkom </w:t>
      </w:r>
    </w:p>
    <w:p w:rsidR="009B5323" w:rsidRDefault="009B5323" w:rsidP="009B5323">
      <w:pPr>
        <w:pStyle w:val="Normlnywebov"/>
        <w:jc w:val="both"/>
      </w:pPr>
      <w:r>
        <w:rPr>
          <w:rStyle w:val="Siln"/>
        </w:rPr>
        <w:t>K čl. I</w:t>
      </w:r>
    </w:p>
    <w:p w:rsidR="009B5323" w:rsidRDefault="009B5323" w:rsidP="009B5323">
      <w:pPr>
        <w:pStyle w:val="Normlnywebov"/>
        <w:jc w:val="both"/>
        <w:rPr>
          <w:rStyle w:val="Siln"/>
        </w:rPr>
      </w:pPr>
      <w:r>
        <w:rPr>
          <w:rStyle w:val="Siln"/>
        </w:rPr>
        <w:t>K bodu 1</w:t>
      </w:r>
    </w:p>
    <w:p w:rsidR="00A6062C" w:rsidRPr="005860EA" w:rsidRDefault="00A6062C" w:rsidP="009B5323">
      <w:pPr>
        <w:pStyle w:val="Normlnywebov"/>
        <w:jc w:val="both"/>
        <w:rPr>
          <w:rStyle w:val="Siln"/>
          <w:b w:val="0"/>
        </w:rPr>
      </w:pPr>
      <w:r w:rsidRPr="005860EA">
        <w:rPr>
          <w:rStyle w:val="Siln"/>
          <w:b w:val="0"/>
        </w:rPr>
        <w:t xml:space="preserve">Vo výpočte novelizácií k zákonu č. 580/2004 </w:t>
      </w:r>
      <w:proofErr w:type="spellStart"/>
      <w:r w:rsidRPr="005860EA">
        <w:rPr>
          <w:rStyle w:val="Siln"/>
          <w:b w:val="0"/>
        </w:rPr>
        <w:t>Z.z</w:t>
      </w:r>
      <w:proofErr w:type="spellEnd"/>
      <w:r w:rsidRPr="005860EA">
        <w:rPr>
          <w:rStyle w:val="Siln"/>
          <w:b w:val="0"/>
        </w:rPr>
        <w:t xml:space="preserve">. navrhujeme uviesť aj zákon č. 9/2021 </w:t>
      </w:r>
      <w:proofErr w:type="spellStart"/>
      <w:r w:rsidR="00B71253" w:rsidRPr="005860EA">
        <w:rPr>
          <w:rStyle w:val="Siln"/>
          <w:b w:val="0"/>
        </w:rPr>
        <w:t>Z.z</w:t>
      </w:r>
      <w:proofErr w:type="spellEnd"/>
      <w:r w:rsidR="00B71253" w:rsidRPr="005860EA">
        <w:rPr>
          <w:rStyle w:val="Siln"/>
          <w:b w:val="0"/>
        </w:rPr>
        <w:t xml:space="preserve">. </w:t>
      </w:r>
      <w:r w:rsidRPr="005860EA">
        <w:rPr>
          <w:rStyle w:val="Siln"/>
          <w:b w:val="0"/>
        </w:rPr>
        <w:t>a zákon č. 81/2021</w:t>
      </w:r>
      <w:r w:rsidR="00B71253" w:rsidRPr="005860EA">
        <w:rPr>
          <w:rStyle w:val="Siln"/>
          <w:b w:val="0"/>
        </w:rPr>
        <w:t xml:space="preserve"> </w:t>
      </w:r>
      <w:proofErr w:type="spellStart"/>
      <w:r w:rsidR="00B71253" w:rsidRPr="005860EA">
        <w:rPr>
          <w:rStyle w:val="Siln"/>
          <w:b w:val="0"/>
        </w:rPr>
        <w:t>Z.z</w:t>
      </w:r>
      <w:proofErr w:type="spellEnd"/>
      <w:r w:rsidR="00B71253" w:rsidRPr="005860EA">
        <w:rPr>
          <w:rStyle w:val="Siln"/>
          <w:b w:val="0"/>
        </w:rPr>
        <w:t>.</w:t>
      </w:r>
    </w:p>
    <w:p w:rsidR="003E77F5" w:rsidRPr="005860EA" w:rsidRDefault="003E77F5" w:rsidP="003E77F5">
      <w:pPr>
        <w:jc w:val="both"/>
        <w:rPr>
          <w:rFonts w:ascii="Times New Roman" w:hAnsi="Times New Roman" w:cs="Times New Roman"/>
          <w:sz w:val="24"/>
          <w:szCs w:val="24"/>
        </w:rPr>
      </w:pPr>
      <w:r w:rsidRPr="005860EA">
        <w:rPr>
          <w:rFonts w:ascii="Times New Roman" w:hAnsi="Times New Roman" w:cs="Times New Roman"/>
          <w:sz w:val="24"/>
          <w:szCs w:val="24"/>
        </w:rPr>
        <w:t>Ďalej navrhujeme zvážiť znenie odseku 6 nasledovne: „</w:t>
      </w:r>
      <w:r w:rsidRPr="005860EA">
        <w:rPr>
          <w:rFonts w:ascii="Times New Roman" w:hAnsi="Times New Roman" w:cs="Times New Roman"/>
          <w:i/>
          <w:sz w:val="24"/>
          <w:szCs w:val="24"/>
        </w:rPr>
        <w:t>Ak bolo poistencovi, ktorý ešte nedovŕšil šesť rokov veku, ukončené poskytovanie z</w:t>
      </w:r>
      <w:r w:rsidR="00B4208B" w:rsidRPr="005860EA">
        <w:rPr>
          <w:rFonts w:ascii="Times New Roman" w:hAnsi="Times New Roman" w:cs="Times New Roman"/>
          <w:i/>
          <w:sz w:val="24"/>
          <w:szCs w:val="24"/>
        </w:rPr>
        <w:t xml:space="preserve">dravotnej starostlivosti odstúpením od Dohody </w:t>
      </w:r>
      <w:r w:rsidR="00B4208B" w:rsidRPr="005860EA">
        <w:rPr>
          <w:rFonts w:ascii="Times New Roman" w:hAnsi="Times New Roman" w:cs="Times New Roman"/>
          <w:i/>
          <w:color w:val="494949"/>
          <w:sz w:val="24"/>
          <w:szCs w:val="24"/>
          <w:shd w:val="clear" w:color="auto" w:fill="FFFFFF"/>
        </w:rPr>
        <w:t>o poskytovaní všeobecnej ambulantnej starostlivosti uzatvorenej s lekárom,</w:t>
      </w:r>
      <w:r w:rsidRPr="005860EA">
        <w:rPr>
          <w:rFonts w:ascii="Times New Roman" w:hAnsi="Times New Roman" w:cs="Times New Roman"/>
          <w:i/>
          <w:sz w:val="24"/>
          <w:szCs w:val="24"/>
        </w:rPr>
        <w:t xml:space="preserve"> ktorý poskytuje všeobecnú ambulantnú starostlivosť pre deti a dorast, a nezačala sa poskytovať zdravotná starostlivosť </w:t>
      </w:r>
      <w:r w:rsidR="00B4208B" w:rsidRPr="005860EA">
        <w:rPr>
          <w:rFonts w:ascii="Times New Roman" w:hAnsi="Times New Roman" w:cs="Times New Roman"/>
          <w:i/>
          <w:sz w:val="24"/>
          <w:szCs w:val="24"/>
        </w:rPr>
        <w:t xml:space="preserve">uzatvorením </w:t>
      </w:r>
      <w:r w:rsidR="00B4208B" w:rsidRPr="005860EA">
        <w:rPr>
          <w:rFonts w:ascii="Times New Roman" w:hAnsi="Times New Roman" w:cs="Times New Roman"/>
          <w:i/>
          <w:color w:val="494949"/>
          <w:sz w:val="24"/>
          <w:szCs w:val="24"/>
          <w:shd w:val="clear" w:color="auto" w:fill="FFFFFF"/>
        </w:rPr>
        <w:t xml:space="preserve">Dohody o poskytovaní všeobecnej ambulantnej </w:t>
      </w:r>
      <w:r w:rsidR="00B4208B" w:rsidRPr="005860EA">
        <w:rPr>
          <w:rFonts w:ascii="Times New Roman" w:hAnsi="Times New Roman" w:cs="Times New Roman"/>
          <w:i/>
          <w:color w:val="494949"/>
          <w:sz w:val="24"/>
          <w:szCs w:val="24"/>
          <w:shd w:val="clear" w:color="auto" w:fill="FFFFFF"/>
        </w:rPr>
        <w:lastRenderedPageBreak/>
        <w:t>starostlivosti s </w:t>
      </w:r>
      <w:r w:rsidRPr="005860EA">
        <w:rPr>
          <w:rFonts w:ascii="Times New Roman" w:hAnsi="Times New Roman" w:cs="Times New Roman"/>
          <w:i/>
          <w:sz w:val="24"/>
          <w:szCs w:val="24"/>
        </w:rPr>
        <w:t xml:space="preserve">iným lekárom, ktorý poskytuje všeobecnú ambulantnú starostlivosť pre deti a dorast, zdravotná poisťovňa je povinná písomne oznámiť túto skutočnosť orgánu sociálnoprávnej ochrany detí a sociálnej kurately príslušnému podľa miesta pobytu tohto poistenca; zdravotná poisťovňa plní oznamovaciu povinnosť najneskôr do 30 dní od skončenia kalendárneho štvrťroka, v ktorom </w:t>
      </w:r>
      <w:r w:rsidR="0051244C" w:rsidRPr="005860EA">
        <w:rPr>
          <w:rFonts w:ascii="Times New Roman" w:hAnsi="Times New Roman" w:cs="Times New Roman"/>
          <w:i/>
          <w:sz w:val="24"/>
          <w:szCs w:val="24"/>
        </w:rPr>
        <w:t>došlo k uvedenému odstúpeniu od Dohody o poskytovaní všeobecnej ambulantnej starostlivosti</w:t>
      </w:r>
      <w:r w:rsidRPr="005860EA">
        <w:rPr>
          <w:rFonts w:ascii="Times New Roman" w:hAnsi="Times New Roman" w:cs="Times New Roman"/>
          <w:i/>
          <w:sz w:val="24"/>
          <w:szCs w:val="24"/>
        </w:rPr>
        <w:t xml:space="preserve">. Zdravotná poisťovňa v oznámení uvedie meno, priezvisko, dátum narodenia a rodné číslo poistenca, ak má poistenec rodné číslo pridelené. Účelom spracúvania </w:t>
      </w:r>
      <w:r w:rsidR="005860EA" w:rsidRPr="005860EA">
        <w:rPr>
          <w:rFonts w:ascii="Times New Roman" w:hAnsi="Times New Roman" w:cs="Times New Roman"/>
          <w:i/>
          <w:sz w:val="24"/>
          <w:szCs w:val="24"/>
        </w:rPr>
        <w:t xml:space="preserve">týchto </w:t>
      </w:r>
      <w:r w:rsidRPr="005860EA">
        <w:rPr>
          <w:rFonts w:ascii="Times New Roman" w:hAnsi="Times New Roman" w:cs="Times New Roman"/>
          <w:i/>
          <w:sz w:val="24"/>
          <w:szCs w:val="24"/>
        </w:rPr>
        <w:t>osobných</w:t>
      </w:r>
      <w:r w:rsidR="0051244C" w:rsidRPr="005860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0EA">
        <w:rPr>
          <w:rFonts w:ascii="Times New Roman" w:hAnsi="Times New Roman" w:cs="Times New Roman"/>
          <w:i/>
          <w:sz w:val="24"/>
          <w:szCs w:val="24"/>
        </w:rPr>
        <w:t>údajov je preverenie informácie zamestnancom orgánu sociálnoprávnej ochrany detí a sociálnej kurately o tom, že by poistenec mohol byť vystavený ohrozeniu života, zdravia alebo neľudskému alebo zlému zaobchádzaniu</w:t>
      </w:r>
      <w:r w:rsidRPr="005860EA">
        <w:rPr>
          <w:rFonts w:ascii="Times New Roman" w:hAnsi="Times New Roman" w:cs="Times New Roman"/>
          <w:sz w:val="24"/>
          <w:szCs w:val="24"/>
        </w:rPr>
        <w:t xml:space="preserve">.“.  </w:t>
      </w:r>
    </w:p>
    <w:p w:rsidR="003E77F5" w:rsidRPr="002A2FFA" w:rsidRDefault="00B4208B" w:rsidP="00B4208B">
      <w:pPr>
        <w:jc w:val="both"/>
        <w:rPr>
          <w:rFonts w:ascii="Times New Roman" w:hAnsi="Times New Roman" w:cs="Times New Roman"/>
          <w:sz w:val="24"/>
          <w:szCs w:val="24"/>
        </w:rPr>
      </w:pPr>
      <w:r w:rsidRPr="005860EA">
        <w:rPr>
          <w:rFonts w:ascii="Times New Roman" w:hAnsi="Times New Roman" w:cs="Times New Roman"/>
          <w:sz w:val="24"/>
          <w:szCs w:val="24"/>
        </w:rPr>
        <w:t xml:space="preserve">Zastávame názor, že moment ukončenia poskytovania zdravotnej starostlivosti nastáva odstúpením od </w:t>
      </w:r>
      <w:r w:rsidRPr="005860EA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Dohody o poskytovaní všeobecnej ambulantnej starostlivosti </w:t>
      </w:r>
      <w:r w:rsidRPr="005860EA">
        <w:rPr>
          <w:rFonts w:ascii="Times New Roman" w:hAnsi="Times New Roman" w:cs="Times New Roman"/>
          <w:i/>
          <w:color w:val="494949"/>
          <w:sz w:val="24"/>
          <w:szCs w:val="24"/>
          <w:shd w:val="clear" w:color="auto" w:fill="FFFFFF"/>
        </w:rPr>
        <w:t>s lekárom,</w:t>
      </w:r>
      <w:r w:rsidRPr="005860EA">
        <w:rPr>
          <w:rFonts w:ascii="Times New Roman" w:hAnsi="Times New Roman" w:cs="Times New Roman"/>
          <w:i/>
          <w:sz w:val="24"/>
          <w:szCs w:val="24"/>
        </w:rPr>
        <w:t xml:space="preserve"> ktorý poskytuje všeobecnú ambulantnú starostlivosť pre deti a dorast a moment začatia poskytovania zdravotnej starostlivosti nastáva uzatvorením </w:t>
      </w:r>
      <w:r w:rsidRPr="005860EA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Dohody o poskytovaní všeobecnej ambulantnej starostlivosti </w:t>
      </w:r>
      <w:r w:rsidRPr="005860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0EA">
        <w:rPr>
          <w:rFonts w:ascii="Times New Roman" w:hAnsi="Times New Roman" w:cs="Times New Roman"/>
          <w:i/>
          <w:color w:val="494949"/>
          <w:sz w:val="24"/>
          <w:szCs w:val="24"/>
          <w:shd w:val="clear" w:color="auto" w:fill="FFFFFF"/>
        </w:rPr>
        <w:t>s lekárom,</w:t>
      </w:r>
      <w:r w:rsidRPr="005860EA">
        <w:rPr>
          <w:rFonts w:ascii="Times New Roman" w:hAnsi="Times New Roman" w:cs="Times New Roman"/>
          <w:i/>
          <w:sz w:val="24"/>
          <w:szCs w:val="24"/>
        </w:rPr>
        <w:t xml:space="preserve"> ktorý poskytuje všeobecnú ambulantnú starostlivosť pre deti a dorast, preto je potrebné explicitne uviesť </w:t>
      </w:r>
      <w:r w:rsidR="002A2FFA" w:rsidRPr="005860EA">
        <w:rPr>
          <w:rFonts w:ascii="Times New Roman" w:hAnsi="Times New Roman" w:cs="Times New Roman"/>
          <w:i/>
          <w:sz w:val="24"/>
          <w:szCs w:val="24"/>
        </w:rPr>
        <w:t xml:space="preserve">danú </w:t>
      </w:r>
      <w:r w:rsidRPr="005860EA">
        <w:rPr>
          <w:rFonts w:ascii="Times New Roman" w:hAnsi="Times New Roman" w:cs="Times New Roman"/>
          <w:i/>
          <w:sz w:val="24"/>
          <w:szCs w:val="24"/>
        </w:rPr>
        <w:t>právnu skutočnosť.</w:t>
      </w:r>
      <w:r w:rsidR="00C201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79BE" w:rsidRDefault="004979BE" w:rsidP="007E3739">
      <w:pPr>
        <w:pStyle w:val="Normlnywebov"/>
        <w:jc w:val="both"/>
        <w:rPr>
          <w:rFonts w:eastAsiaTheme="minorEastAsia" w:cstheme="minorBidi"/>
          <w:noProof/>
          <w:lang w:eastAsia="en-US"/>
        </w:rPr>
      </w:pPr>
      <w:r w:rsidRPr="00FA6917">
        <w:rPr>
          <w:rFonts w:eastAsiaTheme="minorEastAsia" w:cstheme="minorBidi"/>
          <w:noProof/>
          <w:lang w:eastAsia="en-US"/>
        </w:rPr>
        <w:t xml:space="preserve">V prvej vete </w:t>
      </w:r>
      <w:r w:rsidR="002F0381" w:rsidRPr="00FA6917">
        <w:rPr>
          <w:rFonts w:eastAsiaTheme="minorEastAsia" w:cstheme="minorBidi"/>
          <w:noProof/>
          <w:lang w:eastAsia="en-US"/>
        </w:rPr>
        <w:t>odporúčame slovné spojenie</w:t>
      </w:r>
      <w:r w:rsidR="00D85DB2" w:rsidRPr="00FA6917">
        <w:rPr>
          <w:rFonts w:eastAsiaTheme="minorEastAsia" w:cstheme="minorBidi"/>
          <w:noProof/>
          <w:lang w:eastAsia="en-US"/>
        </w:rPr>
        <w:t xml:space="preserve"> „</w:t>
      </w:r>
      <w:r w:rsidR="00D85DB2" w:rsidRPr="00FA6917">
        <w:rPr>
          <w:rFonts w:eastAsiaTheme="minorEastAsia" w:cstheme="minorBidi"/>
          <w:i/>
          <w:noProof/>
          <w:lang w:eastAsia="en-US"/>
        </w:rPr>
        <w:t>orgánu sociálnoprávnej ochrany detí a sociálnej kurately príslušnému podľa miesta pobytu tohto poistenca</w:t>
      </w:r>
      <w:r w:rsidR="00D85DB2" w:rsidRPr="00FA6917">
        <w:rPr>
          <w:rFonts w:eastAsiaTheme="minorEastAsia" w:cstheme="minorBidi"/>
          <w:noProof/>
          <w:lang w:eastAsia="en-US"/>
        </w:rPr>
        <w:t xml:space="preserve">“ nahradiť </w:t>
      </w:r>
      <w:r w:rsidR="002F0381" w:rsidRPr="00FA6917">
        <w:rPr>
          <w:rFonts w:eastAsiaTheme="minorEastAsia" w:cstheme="minorBidi"/>
          <w:noProof/>
          <w:lang w:eastAsia="en-US"/>
        </w:rPr>
        <w:t>slovným spojením</w:t>
      </w:r>
      <w:r w:rsidR="00D85DB2" w:rsidRPr="00FA6917">
        <w:rPr>
          <w:rFonts w:eastAsiaTheme="minorEastAsia" w:cstheme="minorBidi"/>
          <w:noProof/>
          <w:lang w:eastAsia="en-US"/>
        </w:rPr>
        <w:t xml:space="preserve"> „</w:t>
      </w:r>
      <w:r w:rsidR="00D85DB2" w:rsidRPr="00FA6917">
        <w:rPr>
          <w:rFonts w:eastAsiaTheme="minorEastAsia" w:cstheme="minorBidi"/>
          <w:i/>
          <w:noProof/>
          <w:lang w:eastAsia="en-US"/>
        </w:rPr>
        <w:t>Ústrediu práce, sociálnych vecí a rodiny</w:t>
      </w:r>
      <w:r w:rsidR="00D85DB2" w:rsidRPr="00FA6917">
        <w:rPr>
          <w:rFonts w:eastAsiaTheme="minorEastAsia" w:cstheme="minorBidi"/>
          <w:noProof/>
          <w:lang w:eastAsia="en-US"/>
        </w:rPr>
        <w:t xml:space="preserve">“, a to vzhľadom na to, že zdravotná poisťovňa môže mať problém s identifikáciou konkrétneho orgánu sociálnoprávnej ochrany podľa </w:t>
      </w:r>
      <w:r w:rsidR="006C3511" w:rsidRPr="00FA6917">
        <w:rPr>
          <w:rFonts w:eastAsiaTheme="minorEastAsia" w:cstheme="minorBidi"/>
          <w:noProof/>
          <w:lang w:eastAsia="en-US"/>
        </w:rPr>
        <w:t>pobytu</w:t>
      </w:r>
      <w:r w:rsidR="00D85DB2" w:rsidRPr="00FA6917">
        <w:rPr>
          <w:rFonts w:eastAsiaTheme="minorEastAsia" w:cstheme="minorBidi"/>
          <w:noProof/>
          <w:lang w:eastAsia="en-US"/>
        </w:rPr>
        <w:t xml:space="preserve"> poistenca. Zároveň sa javí ako problematická výmena údajov s veľkým množstvom subjektov, ktoré sa líšia iba v mieste sídla. Z tohto dôvodu a pre jednoduchšie a bezproblémovejšie fungovanie výmeny údajov navrhujeme určiť iba jeden orgán pre príjem týchto údajov (Ústredie práce, sociálnych vecí a rodiny), pričom následná distribúcia údajov na konkrétne miestne príslušné pobočky by sa vykonávala v rámci samotného Ústredia a jeho miestne príslušných pobočiek.</w:t>
      </w:r>
    </w:p>
    <w:p w:rsidR="004211C9" w:rsidRDefault="004211C9" w:rsidP="004211C9">
      <w:pPr>
        <w:spacing w:before="120" w:after="120"/>
        <w:jc w:val="both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Pripomienkové konanie</w:t>
      </w:r>
    </w:p>
    <w:p w:rsidR="004211C9" w:rsidRPr="00D6501A" w:rsidRDefault="004211C9" w:rsidP="004211C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6501A">
        <w:rPr>
          <w:rFonts w:ascii="Times New Roman" w:hAnsi="Times New Roman"/>
          <w:sz w:val="24"/>
          <w:szCs w:val="24"/>
        </w:rPr>
        <w:t>Poslanecký návrh bol predmetom medzirezortného pripomienkového konania v dňoch od 25. 2. 2021 do 5. 3. 2021. Z celkového počtu prip</w:t>
      </w:r>
      <w:bookmarkStart w:id="0" w:name="_GoBack"/>
      <w:bookmarkEnd w:id="0"/>
      <w:r w:rsidRPr="00D6501A">
        <w:rPr>
          <w:rFonts w:ascii="Times New Roman" w:hAnsi="Times New Roman"/>
          <w:sz w:val="24"/>
          <w:szCs w:val="24"/>
        </w:rPr>
        <w:t>omienok (17 pripomienok) bolo 8 pripomienok uplatnených ako zásadných (zdravotná poisťovňa Dôvera – 7 pripomienok, zdravotná poisťovňa Union – 1 pripomienka).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Pripomienky zdravotnej poisťovne Dôvera:</w:t>
      </w:r>
    </w:p>
    <w:p w:rsidR="004211C9" w:rsidRDefault="004211C9" w:rsidP="004211C9">
      <w:pPr>
        <w:pStyle w:val="Odsekzoznamu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čl. I, § 25 ods. 7 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Návrh: pojem „bydlisko“ zosúladiť s pojmami uvedenými na prihláške v zmysle § 8 zákona č. 580/2004 Z. z. Odôvodnenie: Pojem „bydlisko“ je používané v legislatíve EÚ, avšak v národnej legislatíve sa používa pojem „trvalý pobyt“, „prechodný pobyt“, prípadne „kontaktná adresa“. Je potrebné tieto pojmy zosúladiť s pojmami uvedenými na prihláške v zmysle § 8 zákona č. 580/2004 Z. z.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Ministerstvo zdravotníctva SR odporúča návrh </w:t>
      </w:r>
      <w:r>
        <w:rPr>
          <w:rFonts w:ascii="Times New Roman" w:hAnsi="Times New Roman" w:cs="Times New Roman"/>
          <w:b/>
          <w:bCs/>
          <w:sz w:val="24"/>
          <w:szCs w:val="24"/>
        </w:rPr>
        <w:t>akceptovať</w:t>
      </w:r>
      <w:r>
        <w:rPr>
          <w:rFonts w:ascii="Times New Roman" w:hAnsi="Times New Roman" w:cs="Times New Roman"/>
          <w:bCs/>
          <w:sz w:val="24"/>
          <w:szCs w:val="24"/>
        </w:rPr>
        <w:t xml:space="preserve"> a pojem „bydlisko“ nahradiť pojmom „trvalý pobyt“.</w:t>
      </w:r>
    </w:p>
    <w:p w:rsidR="00D6501A" w:rsidRDefault="00D6501A" w:rsidP="004211C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11C9" w:rsidRDefault="004211C9" w:rsidP="004211C9">
      <w:pPr>
        <w:pStyle w:val="Odsekzoznamu"/>
        <w:numPr>
          <w:ilvl w:val="0"/>
          <w:numId w:val="2"/>
        </w:num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čl. I, § 25 ods. 6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Návrh: slová „30“ nahradiť slovami „45“. Odôvodnenie: Navrhujeme upraviť dĺžku lehoty na 45 dní, aby boli spracované dohody o poskytovaní zdravotnej starostlivosti a faktúry za posledný mesiac daného štvrťroka.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Ministerstvo zdravotníctva SR odporúča návrh </w:t>
      </w:r>
      <w:r>
        <w:rPr>
          <w:rFonts w:ascii="Times New Roman" w:hAnsi="Times New Roman" w:cs="Times New Roman"/>
          <w:b/>
          <w:bCs/>
          <w:sz w:val="24"/>
          <w:szCs w:val="24"/>
        </w:rPr>
        <w:t>neakceptovať</w:t>
      </w:r>
      <w:r>
        <w:rPr>
          <w:rFonts w:ascii="Times New Roman" w:hAnsi="Times New Roman" w:cs="Times New Roman"/>
          <w:bCs/>
          <w:sz w:val="24"/>
          <w:szCs w:val="24"/>
        </w:rPr>
        <w:t>. Lehota 30 dní je kompromis, ktorý bol nájdený pri príprave návrhu zákona.  V predbežných konzultáciách pri tvorbe návrhu vyplynulo, že zdravotné poisťovne vedia túto lehotu dodržať.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11C9" w:rsidRDefault="004211C9" w:rsidP="004211C9">
      <w:pPr>
        <w:pStyle w:val="Odsekzoznamu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I, § 25 ods. 6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Návrh: presne definovať, čo sa na účely tohto návrhu považuje za miesto pobytu. Odôvodnenie: Z návrhu zákona nie je zrejmé, či sa za miesto pobytu považuje adresa trvalého pobytu dieťaťa, adresa prechodného pobytu dieťaťa, prípadne kontaktná adresa.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Ministerstvo zdravotníctva SR odporúča návrh </w:t>
      </w:r>
      <w:r>
        <w:rPr>
          <w:rFonts w:ascii="Times New Roman" w:hAnsi="Times New Roman" w:cs="Times New Roman"/>
          <w:b/>
          <w:bCs/>
          <w:sz w:val="24"/>
          <w:szCs w:val="24"/>
        </w:rPr>
        <w:t>akceptovať</w:t>
      </w:r>
      <w:r>
        <w:rPr>
          <w:rFonts w:ascii="Times New Roman" w:hAnsi="Times New Roman" w:cs="Times New Roman"/>
          <w:bCs/>
          <w:sz w:val="24"/>
          <w:szCs w:val="24"/>
        </w:rPr>
        <w:t xml:space="preserve"> a pojem „miesto pobytu“ nahradiť pojmom „miesto trvalého pobytu“.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11C9" w:rsidRDefault="004211C9" w:rsidP="004211C9">
      <w:pPr>
        <w:pStyle w:val="Odsekzoznamu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I. § 25 ods. 6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Návrh: na konci tretej vety nahradiť bodku čiarkou a doplniť slová „adresu trvalého pobytu.“ Odôvodnenie: Medzi údaje, ktoré budú oznamované príslušnému orgánu, navrhujeme doplniť aj adresu trvalého pobytu poistenca.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Ministerstvo zdravotníctva SR odporúča návrh </w:t>
      </w:r>
      <w:r>
        <w:rPr>
          <w:rFonts w:ascii="Times New Roman" w:hAnsi="Times New Roman" w:cs="Times New Roman"/>
          <w:b/>
          <w:bCs/>
          <w:sz w:val="24"/>
          <w:szCs w:val="24"/>
        </w:rPr>
        <w:t>akceptovať.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11C9" w:rsidRDefault="004211C9" w:rsidP="004211C9">
      <w:pPr>
        <w:pStyle w:val="Odsekzoznamu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návrhu ako celku: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Návrh: Ako alternatívu k predloženému návrhu navrhujeme uloženie povinnosti poskytovateľom všeobecnej ambulantnej starostlivosti pre deti a dorast zasielať príslušnému orgánu hlásenia o tých „kapitovaných“ poistencoch, ktorí ešte nedovŕšili šesť rokov veku a ktorým za posledných 12 mesiacov neposkytli žiadnu zdravotnú starostlivosť. Odôvodnenie: Úpravu navrhujeme z dôvodu, že poskytovatelia zdravotnej starostlivosti majú tieto informácie k dispozícii v aktuálnom čase a majú informáciu o uzavretí, resp. ukončení dohody o poskytovaní zdravotnej starostlivosti s dotknutými poistencami. Naproti tomu, zdravotná poisťovňa môže vychádzať len z vykázanej zdravotnej starostlivosti a nemá k dispozícii informácie o uzavretí dohody o poskytovaní zdravotnej starostlivosti, ktorú uzatvára poskytovateľ s poistencom. Rovnako nemá k dispozícii informáciu o ukončení tejto dohody. Zároveň sú dávky za poskytnutú zdravotnú starostlivosť v mnohých prípadoch do zdravotnej poisťovne zasielané nesprávne, prípadne s oneskorením.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Ministerstvo zdravotníctva SR odporúča návrh </w:t>
      </w:r>
      <w:r>
        <w:rPr>
          <w:rFonts w:ascii="Times New Roman" w:hAnsi="Times New Roman" w:cs="Times New Roman"/>
          <w:b/>
          <w:bCs/>
          <w:sz w:val="24"/>
          <w:szCs w:val="24"/>
        </w:rPr>
        <w:t>neakceptovať</w:t>
      </w:r>
      <w:r>
        <w:rPr>
          <w:rFonts w:ascii="Times New Roman" w:hAnsi="Times New Roman" w:cs="Times New Roman"/>
          <w:bCs/>
          <w:sz w:val="24"/>
          <w:szCs w:val="24"/>
        </w:rPr>
        <w:t>. Jednalo by sa o podstatné vecné odchýlenie od pôvodného návrhu zákona a zámeru. Rovnako by išlo o novú záťaž pre poskytovateľov zdravotnej starostlivosti.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11C9" w:rsidRDefault="004211C9" w:rsidP="004211C9">
      <w:pPr>
        <w:pStyle w:val="Odsekzoznamu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návrhu ako celku: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Návrh: Dôvera túto legislatívnu zmenu víta. Materiál sa však v znení, v akom bol predložený, javí ako ťažko vykonateľný alebo nevykonateľný v praxi. Odôvodnenie: Dôvodom je skutočnosť, že dávky sú do zdravotnej poisťovne doručované pomerne neskoro. Rovnako môžu byť zo strany orgánu sociálnoprávnej ochrany detí a sociálnej kurately preverovaní aj zákonní zástupcovia, ktorí využijú možnosť slobodnej voľby lekára a praktického lekára pre deti a dorast budú mať v zahraničí (najmä prihraničné regióny). Rovnako môže byť problémom aj prípad, ak u jedného poskytovateľa dôjde k odhláseniu poistenca a nový poskytovateľ poistenca v príslušnej dávke ešte nevykáže. To môže nadmieru zahltiť orgány sociálnoprávnej ochrany detí a sociálnej kurately, ak budú musieť takéto prípady preverovať. Takisto návrh nezohľadňuje skutočnosť, že zákonní zástupcovia dotknutých poistencov nemajú zákonom určenú lehotu na uzavretie dohody o poskytovaní zdravotnej starostlivosti s novým poskytovateľom zdravotnej starostlivosti po tom, ako ukončia dohodu s pôvodným poskytovateľom. V mnohých prípadoch nie je ani jednoduché ihneď uzavrieť dohodu s novým poskytovateľom, napr. po presťahovaní sa.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Ministerstvo zdravotníctva SR odporúča návrh </w:t>
      </w:r>
      <w:r>
        <w:rPr>
          <w:rFonts w:ascii="Times New Roman" w:hAnsi="Times New Roman" w:cs="Times New Roman"/>
          <w:b/>
          <w:bCs/>
          <w:sz w:val="24"/>
          <w:szCs w:val="24"/>
        </w:rPr>
        <w:t>neakceptovať</w:t>
      </w:r>
      <w:r>
        <w:rPr>
          <w:rFonts w:ascii="Times New Roman" w:hAnsi="Times New Roman" w:cs="Times New Roman"/>
          <w:bCs/>
          <w:sz w:val="24"/>
          <w:szCs w:val="24"/>
        </w:rPr>
        <w:t>. Cieľom zákona je mať informáciu o tom, prečo zákonný zástupca nezabezpečil právo dieťaťa na zdravotnú starostlivosť.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11C9" w:rsidRDefault="004211C9" w:rsidP="004211C9">
      <w:pPr>
        <w:pStyle w:val="Odsekzoznamu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I, v § 25 ods. 6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Návrh: prvá veta znie: „Ak bolo poistencovi, ktorý ešte nedovŕšil šesť rokov veku, ukončené poskytovanie zdravotnej starostlivosti poskytovateľom zdravotnej starostlivosti, ktorý poskytuje všeobecnú ambulantnú starostlivosť pre deti a dorast a nezačala sa následne poskytovať zdravotná starostlivosť iným poskytovateľom zdravotnej starostlivosti, ktorý poskytuje všeobecnú ambulantnú starostlivosť pre deti a dorast, zdravotná poisťovňa je povinná elektronicky oznámiť túto skutočnosť úradu pre dohľad.“ 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Odôvodnenie: Písomné odosielanie informácie priamo orgánu sociálnej kurately príslušnému podľa miesta pobytu tohto poistenca považujeme za neefektívne. Deti sa nemusia zdržiavať v mieste pobytu, resp. sú aj mnohé deti s prihláseným pobytom na obecných/miestnych/mestských úradoch alebo sú v zahraničí, ale takouto informáciou zdravotná poisťovňa nedisponuje, nakoľko jej to rodičia neoznámili. To môže mať za následok, že sa informácia nedostane k správnemu adresátovi. Navrhujeme, aby informácia bola zasielaná elektronicky, a to Úradu pre dohľad nad zdravotnou starostlivosťou (ÚDZS). ÚDZS by tieto údaje zasielal na ÚPSVaR, ktorý má možnosť informovať ostatné úrady. V záujme boja proti byrokracii a v snahe o elektronizáciu v celom sektore zdravotníctva sme názoru, že by bolo efektívne využiť už existujúci proces výmeny dát. Podotýkame, že informáciu o „kapitujúcich“ </w:t>
      </w:r>
      <w:r>
        <w:rPr>
          <w:rFonts w:ascii="Times New Roman" w:hAnsi="Times New Roman" w:cs="Times New Roman"/>
          <w:sz w:val="24"/>
          <w:szCs w:val="24"/>
        </w:rPr>
        <w:lastRenderedPageBreak/>
        <w:t>poskytovateľoch má ÚDZS už k dispozícii aj v súčasnosti. Je odosielaná zo zdravotnej poisťovne elektronickou dávkou č. 912. Z týchto údajov by mali možnosť vyselektovať tých poistencov, u ktorých nie je poskytovateľ zdravotnej starostlivosti oznámený. Alternatívne navrhujeme, aby zdravotná poisťovňa túto informáciu zasielala Ústrediu práce, sociálnych vecí a rodiny. Zároveň navrhujeme, aby bola písomná forma nahradená elektronickou výmenou informácií medzi zdravotnou poisťovňou a ÚDZS a následne by ÚDZS tieto údaje zasielal na Ústrediu práce, sociálnych vecí a rodiny. Tu by postačovalo doplniť povinnosť pre ÚDZS aby rozšírila o daný proces dohodu, ktorú má uzatvorenú s ÚPSVaR (§29 b zákona č.580/2004 Z. z.) Alternatívne, ak by išlo o výmenu týchto informácií medzi zdravotnou poisťovňou a Ústredím práce, sociálnych vecí a rodiny, navrhujeme medzi povinnosti zdravotnej poisťovne doplniť povinnosť uzatvoriť dohodu na výmenu týchto informácií s Ústredím práce, sociálnych vecí a rodiny.</w:t>
      </w:r>
    </w:p>
    <w:p w:rsidR="004211C9" w:rsidRDefault="004211C9" w:rsidP="004211C9">
      <w:pPr>
        <w:spacing w:before="120" w:after="12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Ministerstvo zdravotníctva SR odporúča návrh </w:t>
      </w:r>
      <w:r>
        <w:rPr>
          <w:rFonts w:ascii="Times New Roman" w:hAnsi="Times New Roman" w:cs="Times New Roman"/>
          <w:b/>
          <w:bCs/>
          <w:sz w:val="24"/>
          <w:szCs w:val="24"/>
        </w:rPr>
        <w:t>čiastočne akceptovať</w:t>
      </w:r>
      <w:r>
        <w:rPr>
          <w:rFonts w:ascii="Times New Roman" w:hAnsi="Times New Roman" w:cs="Times New Roman"/>
          <w:bCs/>
          <w:sz w:val="24"/>
          <w:szCs w:val="24"/>
        </w:rPr>
        <w:t>. Navrhujeme orgán sociálnej kurately príslušný podľa miesta pobytu nahradiť Ústredím práce, sociálnych vecí a rodiny SR, v súlade s vecným stanoviskom Ministerstva zdravotníctva SR.</w:t>
      </w:r>
      <w:r>
        <w:t xml:space="preserve"> 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Ministerstvo zdravotníctva SR tiež odporúča akceptovať doplnenie povinnosti uzatvoriť dohodu na výmenu týchto informácií s Ústredím práce, sociálnych vecí a rodiny.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Pripomienka zdravotnej poisťovne Union: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návrhu ako celku: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Návrh: zaviesť novú oznamovaciu povinnosť pre zdravotné poisťovne voči orgánom sociálnoprávnej ochrany detí a sociálnej kurately nesúhlasíme, tento návrh považujeme za zbytočný a neefektívny. Zdravotné poisťovne totiž každý mesiac v súlade s § 15 ods. 6 zákona č. 581/2004 Z. z. posielajú do NCZI dáta o kapitačných úbytkoch a prírastkoch vo forme dávky 912. NCZI tak disponuje všetkými požadovanými informáciami o kapitačných stavoch včas, v plnom rozsahu a za všetky tri ZP. Na základe uvedeného je zrejmé, že NCZI dokáže naplniť požiadavku zákonodarcu prezentovanú v tomto legislatívnom návrhu. Navrhovanou zmenou zákona by vzniklo pre zdravotné poisťovne duplicitné vykazovanie, pričom však máme za to, že je úlohou práve NCZI tento typ informácií ďalej distribuovať príslušným orgánom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Ministerstvo zdravotníctva SR odporúča návrh </w:t>
      </w:r>
      <w:r>
        <w:rPr>
          <w:rFonts w:ascii="Times New Roman" w:hAnsi="Times New Roman" w:cs="Times New Roman"/>
          <w:b/>
          <w:bCs/>
          <w:sz w:val="24"/>
          <w:szCs w:val="24"/>
        </w:rPr>
        <w:t>neakceptovať</w:t>
      </w:r>
      <w:r>
        <w:rPr>
          <w:rFonts w:ascii="Times New Roman" w:hAnsi="Times New Roman" w:cs="Times New Roman"/>
          <w:bCs/>
          <w:sz w:val="24"/>
          <w:szCs w:val="24"/>
        </w:rPr>
        <w:t>. Jednalo by sa o podstatné vecné odchýlenie od pôvodného návrhu zákona a zámeru.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Zároveň </w:t>
      </w:r>
      <w:r>
        <w:rPr>
          <w:rFonts w:ascii="Times New Roman" w:hAnsi="Times New Roman" w:cs="Times New Roman"/>
          <w:b/>
          <w:bCs/>
          <w:sz w:val="24"/>
          <w:szCs w:val="24"/>
        </w:rPr>
        <w:t>zdravotná poisťovňa Union</w:t>
      </w:r>
      <w:r>
        <w:rPr>
          <w:rFonts w:ascii="Times New Roman" w:hAnsi="Times New Roman" w:cs="Times New Roman"/>
          <w:bCs/>
          <w:sz w:val="24"/>
          <w:szCs w:val="24"/>
        </w:rPr>
        <w:t xml:space="preserve"> podala nasledovnú obyčajnú pripomienku: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Návrh: Keďže novela odkazuje na ustanovenie § 9b ods. 5 zákona č. 580/2004 Z. z. dovolíme si v tejto súvislosti navrhnúť úpravu tohto ustanovenia spolu s § 9c ods. 6 zákona č. 580/2004 Z. z. a to tak, že do oboch ustanovení navrhujeme doplniť písm. f): "f) štruktúrovaným elektronickým dokumentom S072". Odôvodnenie: Zavedením elektronickej výmeny informácii (EESSI) má poistenec nárok na úhradu nákladov zdravotnej starostlivosti v plnom rozsahu aj na základe štruktúrovaného elektronického dokumentu (SED) S072. Preto by bolo vhodné zosúladiť prax aj s paragrafovým znením, pretože práve SEDy S072 budú tvoriť (a už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aj tvoria) najpočetnejšiu skupinu nárokových dokladov, na základe ktorých poistenci čerpajú ZS v zahraničí, a naopak – cudzí poistenci na SK.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Ministerstvo zdravotníctva SR odporúča pripomienku </w:t>
      </w:r>
      <w:r>
        <w:rPr>
          <w:rFonts w:ascii="Times New Roman" w:hAnsi="Times New Roman" w:cs="Times New Roman"/>
          <w:b/>
          <w:bCs/>
          <w:sz w:val="24"/>
          <w:szCs w:val="24"/>
        </w:rPr>
        <w:t>akceptovať</w:t>
      </w:r>
      <w:r>
        <w:rPr>
          <w:rFonts w:ascii="Times New Roman" w:hAnsi="Times New Roman" w:cs="Times New Roman"/>
          <w:bCs/>
          <w:sz w:val="24"/>
          <w:szCs w:val="24"/>
        </w:rPr>
        <w:t xml:space="preserve"> a to doplnením § 9b ods. 5 a § 9c ods. 6 – v oboch prípadoch písmenom f), ktoré bude znieť: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„f) štruktúrovaným elektronickým dokumentom S072.“</w:t>
      </w: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11C9" w:rsidRDefault="004211C9" w:rsidP="004211C9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Záver</w:t>
      </w:r>
    </w:p>
    <w:p w:rsidR="004211C9" w:rsidRDefault="004211C9" w:rsidP="004211C9">
      <w:pPr>
        <w:pStyle w:val="Normlnywebov"/>
        <w:jc w:val="both"/>
      </w:pPr>
      <w:r>
        <w:t xml:space="preserve">Ministerstvo zdravotníctva Slovenskej republiky odporúča vláde Slovenskej republiky pri zohľadnení vyššie uvedeného vecného stanoviska Ministerstva zdravotníctva Slovenskej republiky a vyššie uvedených pripomienok zdravotnej poisťovne Dôvera a zdravotnej poisťovne </w:t>
      </w:r>
      <w:proofErr w:type="spellStart"/>
      <w:r>
        <w:t>Union</w:t>
      </w:r>
      <w:proofErr w:type="spellEnd"/>
      <w:r>
        <w:t xml:space="preserve">, ktoré boli odporučené na akceptáciu, súhlasiť s návrhom poslancov Národnej rady Slovenskej republiky na vydanie zákona, ktorým sa mení a dopĺňa </w:t>
      </w:r>
      <w:r w:rsidRPr="00E01F23">
        <w:rPr>
          <w:color w:val="000000" w:themeColor="text1"/>
        </w:rPr>
        <w:t>zákon č. 580/2004 Z. z. o zdravotnom poistení a o zmene a doplnení zákona č. 95/2002 Z. z. o poisťovníctve a o zmene a doplnení niektorých zákonov v znení neskorších predpisov</w:t>
      </w:r>
      <w:r>
        <w:t xml:space="preserve"> (tlač 389).</w:t>
      </w:r>
    </w:p>
    <w:p w:rsidR="009B5323" w:rsidRDefault="009B5323" w:rsidP="009B5323">
      <w:pPr>
        <w:pStyle w:val="Normlnywebov"/>
        <w:jc w:val="both"/>
      </w:pPr>
    </w:p>
    <w:sectPr w:rsidR="009B5323" w:rsidSect="0057006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FE" w:rsidRDefault="008B13FE" w:rsidP="00E10180">
      <w:pPr>
        <w:spacing w:after="0" w:line="240" w:lineRule="auto"/>
      </w:pPr>
      <w:r>
        <w:separator/>
      </w:r>
    </w:p>
  </w:endnote>
  <w:endnote w:type="continuationSeparator" w:id="0">
    <w:p w:rsidR="008B13FE" w:rsidRDefault="008B13FE" w:rsidP="00E1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8678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0063" w:rsidRPr="00570063" w:rsidRDefault="00570063">
        <w:pPr>
          <w:pStyle w:val="Pta"/>
          <w:jc w:val="center"/>
          <w:rPr>
            <w:rFonts w:ascii="Times New Roman" w:hAnsi="Times New Roman" w:cs="Times New Roman"/>
          </w:rPr>
        </w:pPr>
        <w:r w:rsidRPr="00570063">
          <w:rPr>
            <w:rFonts w:ascii="Times New Roman" w:hAnsi="Times New Roman" w:cs="Times New Roman"/>
          </w:rPr>
          <w:fldChar w:fldCharType="begin"/>
        </w:r>
        <w:r w:rsidRPr="00570063">
          <w:rPr>
            <w:rFonts w:ascii="Times New Roman" w:hAnsi="Times New Roman" w:cs="Times New Roman"/>
          </w:rPr>
          <w:instrText>PAGE   \* MERGEFORMAT</w:instrText>
        </w:r>
        <w:r w:rsidRPr="0057006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6</w:t>
        </w:r>
        <w:r w:rsidRPr="00570063">
          <w:rPr>
            <w:rFonts w:ascii="Times New Roman" w:hAnsi="Times New Roman" w:cs="Times New Roman"/>
          </w:rPr>
          <w:fldChar w:fldCharType="end"/>
        </w:r>
      </w:p>
    </w:sdtContent>
  </w:sdt>
  <w:p w:rsidR="00570063" w:rsidRDefault="005700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FE" w:rsidRDefault="008B13FE" w:rsidP="00E10180">
      <w:pPr>
        <w:spacing w:after="0" w:line="240" w:lineRule="auto"/>
      </w:pPr>
      <w:r>
        <w:separator/>
      </w:r>
    </w:p>
  </w:footnote>
  <w:footnote w:type="continuationSeparator" w:id="0">
    <w:p w:rsidR="008B13FE" w:rsidRDefault="008B13FE" w:rsidP="00E1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978"/>
    <w:multiLevelType w:val="hybridMultilevel"/>
    <w:tmpl w:val="8320EB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888"/>
    <w:multiLevelType w:val="hybridMultilevel"/>
    <w:tmpl w:val="6324D07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23"/>
    <w:rsid w:val="00027802"/>
    <w:rsid w:val="00043A68"/>
    <w:rsid w:val="0004551D"/>
    <w:rsid w:val="00057335"/>
    <w:rsid w:val="000A5C7E"/>
    <w:rsid w:val="000C3C53"/>
    <w:rsid w:val="000F5DFC"/>
    <w:rsid w:val="00165196"/>
    <w:rsid w:val="00185F65"/>
    <w:rsid w:val="00193DBD"/>
    <w:rsid w:val="001970CB"/>
    <w:rsid w:val="001C0A63"/>
    <w:rsid w:val="001D2356"/>
    <w:rsid w:val="001D66C1"/>
    <w:rsid w:val="001E4861"/>
    <w:rsid w:val="00204DA6"/>
    <w:rsid w:val="00210BAC"/>
    <w:rsid w:val="002A2FFA"/>
    <w:rsid w:val="002A4347"/>
    <w:rsid w:val="002C69CB"/>
    <w:rsid w:val="002D429A"/>
    <w:rsid w:val="002F0381"/>
    <w:rsid w:val="002F26A5"/>
    <w:rsid w:val="003325F9"/>
    <w:rsid w:val="003364E0"/>
    <w:rsid w:val="00340FA6"/>
    <w:rsid w:val="00342C05"/>
    <w:rsid w:val="003546D1"/>
    <w:rsid w:val="00356890"/>
    <w:rsid w:val="003718F3"/>
    <w:rsid w:val="00391046"/>
    <w:rsid w:val="003E77F5"/>
    <w:rsid w:val="003F03E5"/>
    <w:rsid w:val="004211C9"/>
    <w:rsid w:val="0043078D"/>
    <w:rsid w:val="00486D6F"/>
    <w:rsid w:val="004957C4"/>
    <w:rsid w:val="00496500"/>
    <w:rsid w:val="004979BE"/>
    <w:rsid w:val="004A271E"/>
    <w:rsid w:val="004A3683"/>
    <w:rsid w:val="004A47E3"/>
    <w:rsid w:val="004D0376"/>
    <w:rsid w:val="004D7723"/>
    <w:rsid w:val="0051244C"/>
    <w:rsid w:val="00570063"/>
    <w:rsid w:val="00577A19"/>
    <w:rsid w:val="00585CB7"/>
    <w:rsid w:val="005860EA"/>
    <w:rsid w:val="005E5192"/>
    <w:rsid w:val="00613DAA"/>
    <w:rsid w:val="00616D30"/>
    <w:rsid w:val="00641AD0"/>
    <w:rsid w:val="00641B29"/>
    <w:rsid w:val="006C3511"/>
    <w:rsid w:val="006D46CD"/>
    <w:rsid w:val="00700018"/>
    <w:rsid w:val="00724277"/>
    <w:rsid w:val="00756E80"/>
    <w:rsid w:val="00757D30"/>
    <w:rsid w:val="00797D6F"/>
    <w:rsid w:val="007B02EA"/>
    <w:rsid w:val="007B2665"/>
    <w:rsid w:val="007B696F"/>
    <w:rsid w:val="007E3739"/>
    <w:rsid w:val="007F6BDB"/>
    <w:rsid w:val="007F7509"/>
    <w:rsid w:val="00853F4F"/>
    <w:rsid w:val="008679A9"/>
    <w:rsid w:val="0088081E"/>
    <w:rsid w:val="00882F69"/>
    <w:rsid w:val="008963B2"/>
    <w:rsid w:val="008B13FE"/>
    <w:rsid w:val="008D7CD7"/>
    <w:rsid w:val="00913FA8"/>
    <w:rsid w:val="00916EFB"/>
    <w:rsid w:val="00921CA3"/>
    <w:rsid w:val="00965E25"/>
    <w:rsid w:val="00971361"/>
    <w:rsid w:val="009B5323"/>
    <w:rsid w:val="00A31B23"/>
    <w:rsid w:val="00A6062C"/>
    <w:rsid w:val="00AA0217"/>
    <w:rsid w:val="00AC403A"/>
    <w:rsid w:val="00AC74E1"/>
    <w:rsid w:val="00AD03C8"/>
    <w:rsid w:val="00AF5BE5"/>
    <w:rsid w:val="00B00552"/>
    <w:rsid w:val="00B02201"/>
    <w:rsid w:val="00B125DA"/>
    <w:rsid w:val="00B21511"/>
    <w:rsid w:val="00B33CC9"/>
    <w:rsid w:val="00B4208B"/>
    <w:rsid w:val="00B44278"/>
    <w:rsid w:val="00B71253"/>
    <w:rsid w:val="00B74AAF"/>
    <w:rsid w:val="00BB0A5C"/>
    <w:rsid w:val="00BC1CF8"/>
    <w:rsid w:val="00BD4AAF"/>
    <w:rsid w:val="00BD4E70"/>
    <w:rsid w:val="00C072C8"/>
    <w:rsid w:val="00C16FB0"/>
    <w:rsid w:val="00C201AF"/>
    <w:rsid w:val="00C277CC"/>
    <w:rsid w:val="00CA21BF"/>
    <w:rsid w:val="00CB15E5"/>
    <w:rsid w:val="00CB362A"/>
    <w:rsid w:val="00CD690A"/>
    <w:rsid w:val="00CD69BC"/>
    <w:rsid w:val="00D6501A"/>
    <w:rsid w:val="00D66A6D"/>
    <w:rsid w:val="00D85DB2"/>
    <w:rsid w:val="00D96498"/>
    <w:rsid w:val="00DA5563"/>
    <w:rsid w:val="00DA60AC"/>
    <w:rsid w:val="00DB1169"/>
    <w:rsid w:val="00DB120E"/>
    <w:rsid w:val="00DC5B79"/>
    <w:rsid w:val="00E10180"/>
    <w:rsid w:val="00E13789"/>
    <w:rsid w:val="00E27D89"/>
    <w:rsid w:val="00E41C40"/>
    <w:rsid w:val="00E86BC3"/>
    <w:rsid w:val="00EB7DBF"/>
    <w:rsid w:val="00EE1103"/>
    <w:rsid w:val="00F0510F"/>
    <w:rsid w:val="00F135DE"/>
    <w:rsid w:val="00F271DC"/>
    <w:rsid w:val="00F336F3"/>
    <w:rsid w:val="00F81588"/>
    <w:rsid w:val="00F903FC"/>
    <w:rsid w:val="00FA6917"/>
    <w:rsid w:val="00FD6D63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22F7D-CA26-4F19-BACB-5E2465B3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5323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B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9B5323"/>
    <w:rPr>
      <w:b/>
      <w:bCs/>
    </w:rPr>
  </w:style>
  <w:style w:type="character" w:styleId="Zvraznenie">
    <w:name w:val="Emphasis"/>
    <w:uiPriority w:val="20"/>
    <w:qFormat/>
    <w:rsid w:val="009B5323"/>
    <w:rPr>
      <w:i/>
      <w:iCs/>
    </w:rPr>
  </w:style>
  <w:style w:type="character" w:customStyle="1" w:styleId="awspan">
    <w:name w:val="awspan"/>
    <w:basedOn w:val="Predvolenpsmoodseku"/>
    <w:rsid w:val="009B5323"/>
  </w:style>
  <w:style w:type="paragraph" w:styleId="Textbubliny">
    <w:name w:val="Balloon Text"/>
    <w:basedOn w:val="Normlny"/>
    <w:link w:val="TextbublinyChar"/>
    <w:uiPriority w:val="99"/>
    <w:semiHidden/>
    <w:unhideWhenUsed/>
    <w:rsid w:val="00F90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3FC"/>
    <w:rPr>
      <w:rFonts w:ascii="Segoe UI" w:eastAsiaTheme="minorEastAsia" w:hAnsi="Segoe UI" w:cs="Segoe UI"/>
      <w:noProof/>
      <w:sz w:val="18"/>
      <w:szCs w:val="18"/>
    </w:rPr>
  </w:style>
  <w:style w:type="paragraph" w:styleId="Bezriadkovania">
    <w:name w:val="No Spacing"/>
    <w:uiPriority w:val="1"/>
    <w:qFormat/>
    <w:rsid w:val="007B02EA"/>
    <w:pPr>
      <w:spacing w:after="0" w:line="240" w:lineRule="auto"/>
    </w:pPr>
    <w:rPr>
      <w:rFonts w:eastAsiaTheme="minorEastAsia"/>
      <w:noProof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10180"/>
    <w:pPr>
      <w:spacing w:after="0" w:line="240" w:lineRule="auto"/>
    </w:pPr>
    <w:rPr>
      <w:rFonts w:eastAsiaTheme="minorHAnsi"/>
      <w:noProof w:val="0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1018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10180"/>
    <w:rPr>
      <w:vertAlign w:val="superscript"/>
    </w:rPr>
  </w:style>
  <w:style w:type="paragraph" w:styleId="Odsekzoznamu">
    <w:name w:val="List Paragraph"/>
    <w:basedOn w:val="Normlny"/>
    <w:uiPriority w:val="34"/>
    <w:qFormat/>
    <w:rsid w:val="004211C9"/>
    <w:pPr>
      <w:spacing w:after="0" w:line="240" w:lineRule="auto"/>
      <w:ind w:left="720"/>
      <w:contextualSpacing/>
    </w:pPr>
    <w:rPr>
      <w:rFonts w:ascii="Calibri" w:eastAsiaTheme="minorHAnsi" w:hAnsi="Calibri" w:cs="Calibri"/>
      <w:noProof w:val="0"/>
    </w:rPr>
  </w:style>
  <w:style w:type="paragraph" w:styleId="Hlavika">
    <w:name w:val="header"/>
    <w:basedOn w:val="Normlny"/>
    <w:link w:val="HlavikaChar"/>
    <w:uiPriority w:val="99"/>
    <w:unhideWhenUsed/>
    <w:rsid w:val="0057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0063"/>
    <w:rPr>
      <w:rFonts w:eastAsiaTheme="minorEastAsia"/>
      <w:noProof/>
    </w:rPr>
  </w:style>
  <w:style w:type="paragraph" w:styleId="Pta">
    <w:name w:val="footer"/>
    <w:basedOn w:val="Normlny"/>
    <w:link w:val="PtaChar"/>
    <w:uiPriority w:val="99"/>
    <w:unhideWhenUsed/>
    <w:rsid w:val="0057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0063"/>
    <w:rPr>
      <w:rFonts w:eastAsiaTheme="minorEastAs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kladacia-správa"/>
    <f:field ref="objsubject" par="" edit="true" text=""/>
    <f:field ref="objcreatedby" par="" text="Bugyiová, Veronika"/>
    <f:field ref="objcreatedat" par="" text="21.12.2020 20:05:02"/>
    <f:field ref="objchangedby" par="" text="Administrator, System"/>
    <f:field ref="objmodifiedat" par="" text="21.12.2020 20:05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Streďanská Mariana</dc:creator>
  <cp:keywords/>
  <dc:description/>
  <cp:lastModifiedBy>Skýpalová Petra</cp:lastModifiedBy>
  <cp:revision>3</cp:revision>
  <cp:lastPrinted>2021-03-10T12:12:00Z</cp:lastPrinted>
  <dcterms:created xsi:type="dcterms:W3CDTF">2021-03-10T12:12:00Z</dcterms:created>
  <dcterms:modified xsi:type="dcterms:W3CDTF">2021-03-10T12:31:00Z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Veronika Bugyiová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 - Návrh poslancov Národnej rady Slovenskej republiky na vydanie zákona, ktorým sa mení a dopĺňa zákon č. 576/2004 Z. z. o zdravotnej starostlivosti, službách súvisiacich s poskytovaním zdravotnej starostlivosti a o zmene a doplnení niektorých zákonov a </vt:lpwstr>
  </property>
  <property fmtid="{D5CDD505-2E9C-101B-9397-08002B2CF9AE}" pid="15" name="FSC#SKEDITIONSLOVLEX@103.510:nazovpredpis1">
    <vt:lpwstr>ktorým sa menia s dopĺňajú niektoré zákony (tlač 290)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poslanecký návrh</vt:lpwstr>
  </property>
  <property fmtid="{D5CDD505-2E9C-101B-9397-08002B2CF9AE}" pid="23" name="FSC#SKEDITIONSLOVLEX@103.510:plnynazovpredpis">
    <vt:lpwstr> Zákon  - Návrh poslancov Národnej rady Slovenskej republiky na vydanie zákona, ktorým sa mení a dopĺňa zákon č. 576/2004 Z. z. o zdravotnej starostlivosti, službách súvisiacich s poskytovaním zdravotnej starostlivosti a o zmene a doplnení niektorých záko</vt:lpwstr>
  </property>
  <property fmtid="{D5CDD505-2E9C-101B-9397-08002B2CF9AE}" pid="24" name="FSC#SKEDITIONSLOVLEX@103.510:plnynazovpredpis1">
    <vt:lpwstr>nov a ktorým sa menia s dopĺňajú niektoré zákony (tlač 290)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S18194-2020-OL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LP/2020/649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21. 12. 2020</vt:lpwstr>
  </property>
  <property fmtid="{D5CDD505-2E9C-101B-9397-08002B2CF9AE}" pid="151" name="FSC#COOSYSTEM@1.1:Container">
    <vt:lpwstr>COO.2145.1000.3.4175821</vt:lpwstr>
  </property>
  <property fmtid="{D5CDD505-2E9C-101B-9397-08002B2CF9AE}" pid="152" name="FSC#FSCFOLIO@1.1001:docpropproject">
    <vt:lpwstr/>
  </property>
</Properties>
</file>