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D4240" w:rsidRDefault="004D4240">
      <w:pPr>
        <w:jc w:val="center"/>
        <w:divId w:val="1466849005"/>
        <w:rPr>
          <w:rFonts w:ascii="Times" w:hAnsi="Times" w:cs="Times"/>
          <w:sz w:val="25"/>
          <w:szCs w:val="25"/>
        </w:rPr>
      </w:pPr>
      <w:r>
        <w:rPr>
          <w:rFonts w:ascii="Times" w:hAnsi="Times" w:cs="Times"/>
          <w:sz w:val="25"/>
          <w:szCs w:val="25"/>
        </w:rPr>
        <w:t xml:space="preserve">Poslanecký návrh zákona, ktorým sa mení a dopĺňa zákon č. 580/2004 Z. z. o zdravotnom poistení a o zmene a doplnení zákona č. 95/2002 Z. z. o poisťovníctve a o zmene a doplnení niektorých zákonov v znení neskorších predpisov (tlač 389).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D4240" w:rsidP="004D4240">
            <w:pPr>
              <w:spacing w:after="0" w:line="240" w:lineRule="auto"/>
              <w:rPr>
                <w:rFonts w:ascii="Times New Roman" w:hAnsi="Times New Roman" w:cs="Calibri"/>
                <w:sz w:val="20"/>
                <w:szCs w:val="20"/>
              </w:rPr>
            </w:pPr>
            <w:r>
              <w:rPr>
                <w:rFonts w:ascii="Times" w:hAnsi="Times" w:cs="Times"/>
                <w:sz w:val="25"/>
                <w:szCs w:val="25"/>
              </w:rPr>
              <w:t>17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D4240" w:rsidP="004D4240">
            <w:pPr>
              <w:spacing w:after="0" w:line="240" w:lineRule="auto"/>
              <w:rPr>
                <w:rFonts w:ascii="Times New Roman" w:hAnsi="Times New Roman" w:cs="Calibri"/>
                <w:sz w:val="20"/>
                <w:szCs w:val="20"/>
              </w:rPr>
            </w:pPr>
            <w:r>
              <w:rPr>
                <w:rFonts w:ascii="Times" w:hAnsi="Times" w:cs="Times"/>
                <w:sz w:val="25"/>
                <w:szCs w:val="25"/>
              </w:rPr>
              <w:t>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D4240" w:rsidP="004D4240">
            <w:pPr>
              <w:spacing w:after="0" w:line="240" w:lineRule="auto"/>
              <w:rPr>
                <w:rFonts w:ascii="Times New Roman" w:hAnsi="Times New Roman" w:cs="Calibri"/>
                <w:sz w:val="20"/>
                <w:szCs w:val="20"/>
              </w:rPr>
            </w:pPr>
            <w:r>
              <w:rPr>
                <w:rFonts w:ascii="Times" w:hAnsi="Times" w:cs="Times"/>
                <w:sz w:val="25"/>
                <w:szCs w:val="25"/>
              </w:rPr>
              <w:t>10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D4240" w:rsidP="004D4240">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D4240" w:rsidP="004D4240">
            <w:pPr>
              <w:spacing w:after="0" w:line="240" w:lineRule="auto"/>
              <w:rPr>
                <w:rFonts w:ascii="Times New Roman" w:hAnsi="Times New Roman" w:cs="Calibri"/>
                <w:sz w:val="20"/>
                <w:szCs w:val="20"/>
              </w:rPr>
            </w:pPr>
            <w:r>
              <w:rPr>
                <w:rFonts w:ascii="Times" w:hAnsi="Times" w:cs="Times"/>
                <w:sz w:val="25"/>
                <w:szCs w:val="25"/>
              </w:rPr>
              <w:t>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D4240" w:rsidRDefault="004D424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D4240">
        <w:trPr>
          <w:divId w:val="20818237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Vôbec nezaslali</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x</w:t>
            </w:r>
          </w:p>
        </w:tc>
      </w:tr>
      <w:tr w:rsidR="004D4240">
        <w:trPr>
          <w:divId w:val="2081823745"/>
          <w:jc w:val="center"/>
        </w:trPr>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17 (9o,8z)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D4240" w:rsidRDefault="004D424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D4240" w:rsidRDefault="004D424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Spôsob vyhodnotenia</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Ako alternatívu k predloženému návrhu navrhujeme uloženie povinnosti poskytovateľom všeobecnej ambulantnej starostlivosti pre deti a dorast zasielať príslušnému orgánu hlásenia o tých „kapitovaných“ poistencoch, ktorí ešte nedovŕšili šesť rokov veku a ktorým za posledných 12 mesiacov neposkytli žiadnu zdravotnú starostlivosť. Odôvodnenie: Úpravu navrhujeme z dôvodu, že poskytovatelia zdravotnej starostlivosti majú tieto informácie k dispozícii v aktuálnom čase a majú informáciu o uzavretí, resp. ukončení dohody o poskytovaní zdravotnej starostlivosti s dotknutými poistencami. Naproti tomu, zdravotná poisťovňa môže vychádzať len z vykázanej zdravotnej starostlivosti a nemá k dispozícii informácie o uzavretí dohody o poskytovaní zdravotnej starostlivosti, ktorú uzatvára poskytovateľ s poistencom. Rovnako nemá k dispozícii informáciu o ukončení tejto dohody. Zároveň sú dávky za poskytnutú zdravotnú starostlivosť v mnohých prípadoch do zdravotnej poisťovne zasielané nesprávne, prípadne s oneskorením.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V tomto prípade by išlo o podstatné vecné odchýlenie od pôvodného návrhu zákona a zámeru. Rovnako by išlo o novú záťaž pre poskytovateľov zdravotnej starostlivosti. Taktiež, zámerom je zahrnúť tie skupiny detí, ktoré nie sú kapitované u žiadneho lekára, t. j. za tieto deti nemá kto dané informácie posielať.</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Dôvera túto legislatívnu zmenu víta. Materiál sa však v znení, v akom bol predložený, javí ako ťažko vykonateľný alebo nevykonateľný v praxi. Odôvodnenie: Dôvodom je skutočnosť, že dávky sú do zdravotnej poisťovne doručované pomerne neskoro. </w:t>
            </w:r>
            <w:r>
              <w:rPr>
                <w:rFonts w:ascii="Times" w:hAnsi="Times" w:cs="Times"/>
                <w:sz w:val="25"/>
                <w:szCs w:val="25"/>
              </w:rPr>
              <w:lastRenderedPageBreak/>
              <w:t>Rovnako môžu byť zo strany orgánu sociálnoprávnej ochrany detí a sociálnej kurately preverovaní aj zákonní zástupcovia, ktorí využijú možnosť slobodnej voľby lekára a praktického lekára pre deti a dorast budú mať v zahraničí (najmä prihraničné regióny). Rovnako môže byť problémom aj prípad, ak u jedného poskytovateľa dôjde k odhláseniu poistenca a nový poskytovateľ poistenca v príslušnej dávke ešte nevykáže. To môže nadmieru zahltiť orgány sociálnoprávnej ochrany detí a sociálnej kurately, ak budú musieť takéto prípady preverovať. Takisto návrh nezohľadňuje skutočnosť, že zákonní zástupcovia dotknutých poistencov nemajú zákonom určenú lehotu na uzavretie dohody o poskytovaní zdravotnej starostlivosti s novým poskytovateľom zdravotnej starostlivosti po tom, ako ukončia dohodu s pôvodným poskytovateľom. V mnohých prípadoch nie je ani jednoduché ihneď uzavrieť dohodu s novým poskytovateľom, napr. po presťahovaní sa.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Cieľom zákona je mať informáciu o tom, prečo zákonný zástupca nezabezpečil právo dieťaťa na zdravotnú starostlivosť.</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 xml:space="preserve">čl. I: V § 25 ods. 6 </w:t>
            </w:r>
            <w:r>
              <w:rPr>
                <w:rFonts w:ascii="Times" w:hAnsi="Times" w:cs="Times"/>
                <w:sz w:val="25"/>
                <w:szCs w:val="25"/>
              </w:rPr>
              <w:br/>
              <w:t xml:space="preserve">na konci tretej vety navrhujeme nahradiť bodku čiarkou a doplniť slová „adresu trvalého pobytu.“ Odôvodnenie: Medzi údaje, ktoré budú oznamované príslušnému orgánu, navrhujeme doplniť aj adresu trvalého pobytu poistenca.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 xml:space="preserve">čl. I v § 25 ods. 7 </w:t>
            </w:r>
            <w:r>
              <w:rPr>
                <w:rFonts w:ascii="Times" w:hAnsi="Times" w:cs="Times"/>
                <w:sz w:val="25"/>
                <w:szCs w:val="25"/>
              </w:rPr>
              <w:br/>
              <w:t xml:space="preserve">navrhujeme pojem „bydlisko“ zosúladiť s pojmami uvedenými na prihláške v zmysle § 8 zákona č. 580/2004 Z. z. Odôvodnenie: Pojem „bydlisko“ je používané v legislatíve EÚ, avšak v národnej legislatíve sa používa pojem „trvalý pobyt“, „prechodný pobyt“, </w:t>
            </w:r>
            <w:r>
              <w:rPr>
                <w:rFonts w:ascii="Times" w:hAnsi="Times" w:cs="Times"/>
                <w:sz w:val="25"/>
                <w:szCs w:val="25"/>
              </w:rPr>
              <w:lastRenderedPageBreak/>
              <w:t xml:space="preserve">prípadne „kontaktná adresa“. Je potrebné tieto pojmy zosúladiť s pojmami uvedenými na prihláške v zmysle § 8 zákona č. 580/2004 Z.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čl. I v § 25 ods. 6</w:t>
            </w:r>
            <w:r>
              <w:rPr>
                <w:rFonts w:ascii="Times" w:hAnsi="Times" w:cs="Times"/>
                <w:sz w:val="25"/>
                <w:szCs w:val="25"/>
              </w:rPr>
              <w:br/>
              <w:t xml:space="preserve">Navrhujeme presne definovať, čo sa na účely tohto návrhu považuje za miesto pobytu. Odôvodnenie: Z návrhu zákona nie je zrejmé, či sa za miesto pobytu považuje adresa trvalého pobytu dieťaťa, adresa prechodného pobytu dieťaťa, prípadne kontaktná adresa.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čl. I: V § 25 ods. 6</w:t>
            </w:r>
            <w:r>
              <w:rPr>
                <w:rFonts w:ascii="Times" w:hAnsi="Times" w:cs="Times"/>
                <w:sz w:val="25"/>
                <w:szCs w:val="25"/>
              </w:rPr>
              <w:br/>
              <w:t xml:space="preserve">navrhujeme slová „30“ nahradiť slovami „45“. Odôvodnenie: Navrhujeme upraviť dĺžku lehoty na 45 dní, aby boli spracované dohody o poskytovaní zdravotnej starostlivosti a faktúry za posledný mesiac daného štvrťroka.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Lehota 30 dní je kompromis, ktorý bol nájdený pri príprave návrhu zákona. V predbežných konzultáciách pri tvorbe návrhu vyplynulo, že poisťovne vedia túto lehotu dodržať.</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V čl. I v § 25 ods. 6</w:t>
            </w:r>
            <w:r>
              <w:rPr>
                <w:rFonts w:ascii="Times" w:hAnsi="Times" w:cs="Times"/>
                <w:sz w:val="25"/>
                <w:szCs w:val="25"/>
              </w:rPr>
              <w:br/>
              <w:t xml:space="preserve">navrhujeme, nech prvá veta znie: „Ak bolo poistencovi, ktorý ešte nedovŕšil šesť rokov veku, ukončené poskytovanie zdravotnej starostlivosti poskytovateľom zdravotnej starostlivosti, ktorý poskytuje všeobecnú ambulantnú starostlivosť pre deti a dorast a nezačala sa následne poskytovať zdravotná starostlivosť iným poskytovateľom zdravotnej starostlivosti, ktorý poskytuje všeobecnú ambulantnú starostlivosť pre deti a dorast, zdravotná poisťovňa je povinná elektronicky oznámiť túto skutočnosť úradu pre dohľad.“ Odôvodnenie: Písomné odosielanie informácie priamo orgánu sociálnej kurately príslušnému podľa miesta </w:t>
            </w:r>
            <w:r>
              <w:rPr>
                <w:rFonts w:ascii="Times" w:hAnsi="Times" w:cs="Times"/>
                <w:sz w:val="25"/>
                <w:szCs w:val="25"/>
              </w:rPr>
              <w:lastRenderedPageBreak/>
              <w:t xml:space="preserve">pobytu tohto poistenca považujeme za neefektívne. Deti sa nemusia zdržiavať v mieste pobytu, resp. sú aj mnohé deti s prihláseným pobytom na obecných/miestnych/mestských úradoch alebo sú v zahraničí, ale takouto informáciou zdravotná poisťovňa nedisponuje, nakoľko jej to rodičia neoznámili. To môže mať za následok, že sa informácia nedostane k správnemu adresátovi. Navrhujeme, aby informácia bola zasielaná elektronicky, a to Úradu pre dohľad nad zdravotnou starostlivosťou (ÚDZS). ÚDZS by tieto údaje zasielal na ÚPSVaR, ktorý má možnosť informovať ostatné úrady. V záujme boja proti byrokracii a v snahe o elektronizáciu v celom sektore zdravotníctva sme názoru, že by bolo efektívne využiť už existujúci proces výmeny dát. Podotýkame, že informáciu o „kapitujúcich“ poskytovateľoch má ÚDZS už k dispozícii aj v súčasnosti. Je odosielaná zo zdravotnej poisťovne elektronickou dávkou č. 912. Z týchto údajov by mali možnosť vyselektovať tých poistencov, u ktorých nie je poskytovateľ zdravotnej starostlivosti oznámený. Alternatívne navrhujeme, aby zdravotná poisťovňa túto informáciu zasielala Ústrediu práce, sociálnych vecí a rodiny. Zároveň navrhujeme, aby bola písomná forma nahradená elektronickou výmenou informácií medzi zdravotnou poisťovňou a ÚDZS a následne by ÚDZS tieto údaje zasielal na Ústrediu práce, sociálnych vecí a rodiny. Tu by postačovalo doplniť povinnosť pre ÚDZS aby rozšírila o daný proces dohodu, ktorú má uzatvorenú s ÚPSVaR (§29 b zákona č.580/2004 Z. z.) Alternatívne, ak by išlo o výmenu týchto informácií medzi zdravotnou poisťovňou a Ústredím práce, sociálnych vecí a rodiny, navrhujeme medzi povinnosti zdravotnej poisťovne doplniť povinnosť uzatvoriť </w:t>
            </w:r>
            <w:r>
              <w:rPr>
                <w:rFonts w:ascii="Times" w:hAnsi="Times" w:cs="Times"/>
                <w:sz w:val="25"/>
                <w:szCs w:val="25"/>
              </w:rPr>
              <w:lastRenderedPageBreak/>
              <w:t xml:space="preserve">dohodu na výmenu týchto informácií s Ústredím práce, sociálnych vecí a rodiny.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 xml:space="preserve">Navrhujeme orgán sociálnej kurately podľa miesta pobytu nahradiť Ústredím práce, sociálnych vecí a rodiny. Zdravotná poisťovňa nedokáže identifikovať, pod ktorý miestne príslušný orgán sociálnej kurately dieťa patrí (príklad s poskytovateľmi zdravotnej starostlivosti z pripomienky nie je možné použiť, nakoľko poskytovateľ oznamuje podozrenia iba jednému miestne príslušnému orgánu </w:t>
            </w:r>
            <w:r>
              <w:rPr>
                <w:rFonts w:ascii="Times" w:hAnsi="Times" w:cs="Times"/>
                <w:sz w:val="25"/>
                <w:szCs w:val="25"/>
              </w:rPr>
              <w:lastRenderedPageBreak/>
              <w:t>sociálnej kurately; zdravotná poisťovňa by musela tento orgán identifikovať podľa trvalého pobytu dieťaťa alebo trvalého pobytu rodičov eventuálne podľa ich prechodného pobytu alebo podľa kontaktnej adresy? Akceptujeme návrh na doplnenie povinnosti uzatvoriť dohodu na výmenu týchto informácií s Ústredím práce, sociálnych vecí a rodiny.</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Súhlasíme s cieľom sledovaným navrhovanou legislatívnou zmenou, t. j. zavedenie oznamovacej povinnosti zdravotnej poisťovne voči orgánu sociálnoprávnej ochrany detí a sociálnej kurately z dôvodu eliminácie možnosti ohrozenia života, zdravia alebo neľudského alebo zlého zaobchádzania s dieťaťom, ktorý z vecného a právneho hľadiska považujeme za legitímny a racionálny. Čo sa týka spôsobu dosiahnutia cieľa sledovaného navrhovanou zmenou vrátane legislatívneho riešenia, v celom rozsahu sa stotožňujeme so stanoviskom Ministerstva zdravotníctva Slovenskej republiky k predloženému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je označený žiadny vplyv na rozpočet verejnej správy. Upozorňujeme, že ak návrh nemá žiadny vplyv na rozpočet verejnej správy, nie je potrebné v riadku rozpočtovo zabezpečené vplyvy označiť žiadnu z možností.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 obale materiálu, v návrhu uznesenia vlády Slovenskej republiky, v predkladacej správe, v doložke zlučiteľnosti a v doložke vybraných vplyvov odporúčame pri uvádzaní názvu poslaneckého návrhu zákona vypustiť slová „mení a“ z dôvodu, </w:t>
            </w:r>
            <w:r>
              <w:rPr>
                <w:rFonts w:ascii="Times" w:hAnsi="Times" w:cs="Times"/>
                <w:sz w:val="25"/>
                <w:szCs w:val="25"/>
              </w:rPr>
              <w:lastRenderedPageBreak/>
              <w:t xml:space="preserve">že v zákone sa navrhuje len doplnenie § 25 o odseky 6 a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Stotožňujeme sa so stanoviskom Ministerstva zdravotníctva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Ministerstvo práce, sociálnych vecí a rodiny Slovenskej republiky sa stotožňuje s časťou stanoviska Ministerstva zdravotníctva Slovenskej republiky k Čl. I týkajúcou sa jednoznačného určenia právnej skutočnosti. S druhou časťou stanoviska Ministerstva zdravotníctva Slovenskej republiky k Čl. I nie je možné súhlasiť, t.j. nie je možné, aby písomné oznámenia o nezačatí poskytovania zdravotnej starostlivosti poistencovi, ktorý nedovŕšil šesť rokov veku, zasielali zdravotné poisťovne Ústrediu práce sociálnych vecí a rodiny namiesto príslušnému orgánu sociálnoprávnej ochrany detí a sociálnej kurately podľa miesta pobytu tohto poistenca. Odôvodnenie: Orgán sociálnoprávnej ochrany detí a sociálnej kurately – úrad práce, sociálnych vecí a rodiny je štátnym orgánom. Sídla úradov práce, sociálnych vecí a rodiny a ich pôsobnosť upravuje zákon č. 453/2003 Z. z. o orgánoch štátnej správy v oblasti sociálnych vecí, rodiny a služieb zamestnanosti a o zmene a doplnení niektorých zákonov v znení neskorších predpisov. Z tohto dôvodu je v kombinácii s formuláciou ustanovenia „orgánu sociálnoprávnej ochrany detí a sociálnej kurately príslušnému podľa miesta pobytu tohto poistenca“ tento bezproblémovo a jednoznačne identifikovateľný. Úrady práce, sociálnych vecí a rodiny nie sú pobočkami Ústredia práce sociálnych vecí a rodiny, ale orgánmi štátnej správy v oblasti sociálnych vecí a služieb zamestnanosti (preddavkové </w:t>
            </w:r>
            <w:r>
              <w:rPr>
                <w:rFonts w:ascii="Times" w:hAnsi="Times" w:cs="Times"/>
                <w:sz w:val="25"/>
                <w:szCs w:val="25"/>
              </w:rPr>
              <w:lastRenderedPageBreak/>
              <w:t xml:space="preserve">organizácie napojené na rozpočet Ústredia práce, sociálnych vecí a rodiny s vlastnou vymedzenou pôsobnosťou). Oznamovacia povinnosť orgánom sociálnoprávnej ochrany detí a sociálnej kurately v aplikačnej praxi nespôsobuje žiadne problémy napr. poskytovateľom zdravotnej starostlivosti. Navyše, oznamovanie predmetnej skutočnosti Ústrediu práce, sociálnych vecí a rodiny by bolo sporné aj z hľadiska účelu spracovania osobných údajov dieťaťa. Ústredie práce, sociálnych vecí a rodiny, ktoré nemá oprávnenia na preverovanie situácie dieťaťa, by muselo preposielať oznámenie predmetnej skutočnosti orgánu sociálnoprávnej ochrany detí a sociálnej kurately.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Tieto údaje majú smerovať na jeden ústredný orgán, ktorý ich bude ďalej prerozdeľovať podľa miestnej príslušnosti. Zdravotná poisťovňa nedokáže identifikovať, pod ktorý miestne príslušný orgán sociálnej kurately dieťa patrí (príklad s poskytovateľmi zdravotnej starostlivosti z pripomienky nie je možné použiť, nakoľko poskytovateľ oznamuje podozrenia iba jednému miestne príslušnému orgánu soc. kurately; zdravotná poisťovňa by musela tento orgán identifikovať podľa trvalého pobytu? dieťaťa? rodičov? prechodného pobytu?, kontaktnej adresy?...)</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Všeobecná pripomienka k Čl. I</w:t>
            </w:r>
            <w:r>
              <w:rPr>
                <w:rFonts w:ascii="Times" w:hAnsi="Times" w:cs="Times"/>
                <w:sz w:val="25"/>
                <w:szCs w:val="25"/>
              </w:rPr>
              <w:br/>
              <w:t xml:space="preserve">S predloženým poslaneckým návrhom zákona súhlasíme; návrh novely zákona č. 580/2004 Z. z. o zdravotnom poistení a o zmene a doplnení zákona č. 95/2002 Z. z. o poisťovníctve a o zmene a doplnení niektorých zákonov v znení neskorších predpisov bol s Ministerstvom práce, sociálnych vecí a rodiny Slovenskej republiky priebežne konzultovaný.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predkladacej správe a k návrhu uznesenia vlády Slovenskej republiky</w:t>
            </w:r>
            <w:r>
              <w:rPr>
                <w:rFonts w:ascii="Times" w:hAnsi="Times" w:cs="Times"/>
                <w:sz w:val="25"/>
                <w:szCs w:val="25"/>
              </w:rPr>
              <w:br/>
              <w:t xml:space="preserve">V sprievodných dokumentoch (predkladacia správa, návrh uznesenia vlády Slovenskej republiky) je potrebné zosúladiť znenie nadpisu návrhu zákona so znením, ktoré je uvedené v návrhu zákona, t.j. do podoby „Návrh skupiny poslancov Národnej rady Slovenskej republiky na vydanie zákona, ktorým sa dopĺňa zákon č. 580/2004 Z. z. o zdravotnom poistení a o zmene a doplnení zákona č. 95/2002 Z. z. o poisťovníctve a o </w:t>
            </w:r>
            <w:r>
              <w:rPr>
                <w:rFonts w:ascii="Times" w:hAnsi="Times" w:cs="Times"/>
                <w:sz w:val="25"/>
                <w:szCs w:val="25"/>
              </w:rPr>
              <w:lastRenderedPageBreak/>
              <w:t xml:space="preserve">zmene a doplnení niektorých zákonov v znení neskorších predpisov (tlač 389)“.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nad rámec MPK</w:t>
            </w:r>
            <w:r>
              <w:rPr>
                <w:rFonts w:ascii="Times" w:hAnsi="Times" w:cs="Times"/>
                <w:sz w:val="25"/>
                <w:szCs w:val="25"/>
              </w:rPr>
              <w:br/>
              <w:t>Keďže novela odkazuje na ustanovenie § 9b ods. 5 zákona č. 580/2004 Z. z. dovolíme si v tejto súvislosti navrhnúť úpravu tohto ustanovenia spolu s § 9c ods. 6 zákona č. 580/2004 Z. z. a to tak, že do oboch ustanovení navrhujeme doplniť písm. f): "f) štruktúrovaným elektronickým dokumentom S072". Odôvodnenie: Zavedením elektronickej výmeny informácii (EESSI) má poistenec nárok na úhradu nákladov zdravotnej starostlivosti v plnom rozsahu aj na základe štruktúrovaného elektronického dokumentu (SED) S072. Preto by bolo vhodné zosúladiť prax aj s paragrafovým znením, pretože práve SEDy S072 budú tvoriť (a už aj tvoria) najpočetnejšiu skupinu nárokových dokladov, na základe ktorých poistenci čerpajú ZS v zahraničí, a naopak – cudzí poistenci na 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Odporúčame akceptovať pripomienku, a to doplnením § 9b ods. 5 a § 9c ods. 6 – v oboch prípadoch písmenom f), ktoré bude znieť: „f) štruktúrovaným elektronickým dokumentom S072.“</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S návrhom zaviesť novú oznamovaciu povinnosť pre zdravotné poisťovne voči orgánom sociálnoprávnej ochrany detí a sociálnej kurately nesúhlasíme, tento návrh považujeme za zbytočný a neefektívny. Zdravotné poisťovne totiž každý mesiac v súlade s § 15 ods. 6 zákona č. 581/2004 Z. z. posielajú do NCZI dáta o kapitačných úbytkoch a prírastkoch vo forme dávky 912. NCZI tak disponuje všetkými požadovanými informáciami o kapitačných stavoch včas, v plnom rozsahu a za všetky tri ZP. Na základe uvedeného je zrejmé, že NCZI dokáže naplniť požiadavku zákonodarcu prezentovanú v tomto legislatívnom </w:t>
            </w:r>
            <w:r>
              <w:rPr>
                <w:rFonts w:ascii="Times" w:hAnsi="Times" w:cs="Times"/>
                <w:sz w:val="25"/>
                <w:szCs w:val="25"/>
              </w:rPr>
              <w:lastRenderedPageBreak/>
              <w:t>návrhu. Navrhovanou zmenou zákona by vzniklo pre zdravotné poisťovne duplicitné vykazovanie, pričom však máme za to, že je úlohou práve NCZI tento typ informácií ďalej distribuovať príslušným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Jednalo by sa o podstatné vecné odchýlenie od pôvodného návrhu zákona a zámeru.</w:t>
            </w:r>
          </w:p>
        </w:tc>
      </w:tr>
      <w:tr w:rsidR="004D4240">
        <w:trPr>
          <w:divId w:val="1414935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posun platnosti a prenesenie oznamovacej povinnosti do kompetencie NCZI. Alternatívne navrhujeme v § 25 ods. 6 použiť znenie navrhované MZ SR uvedené v predkladacej správe. Odôvodnenie: Vo všeobecnosti je plnenie takejto oznamovacej povinnosti zdravotnou poisťovňou možné považovať za ťažko realizovateľné a to vzhľadom na skutočnosť, že poisťovňa nedisponuje konkrétnymi dohodami o poskytovaní zdravotnej starostlivosti. Informácie o nich nadobúda sprostredkovane, na základe informácie o hlásenom počte prírastku / úbytku od poskytovateľa zdravotnej starostlivosti. V súvislosti s týmito hláseniami však v praxi dochádza k mnohým situáciám, ktoré môžu viesť k zmareniu účelu, pre ktorý bola navrhnutá povinnosť zavádzaná. Ako príklady možno uviesť: administratívne pochybenie na strane poskytovateľa zdravotnej starostlivosti (chybne odoslané informácia o úbytku poistenca, neodoslaná informácia o prírastku či už z dôvodu zmeny právnej formy poskytovateľa zdravotnej starostlivosti, jeho zamestnancov alebo systémov), zmena zdravotnej poisťovne, kedy dôjde k ukončeniu dohody a poisťovňa nedisponuje informáciou o novej dohode, nesplnenie oznamovacej povinnosti zákonného zástupcu v súvislosti so vznikom/ zánikom verejného zdravotného poistenia. S poukazom na vyššie uvedené skutočnosti a taktiež návrh </w:t>
            </w:r>
            <w:r>
              <w:rPr>
                <w:rFonts w:ascii="Times" w:hAnsi="Times" w:cs="Times"/>
                <w:sz w:val="25"/>
                <w:szCs w:val="25"/>
              </w:rPr>
              <w:lastRenderedPageBreak/>
              <w:t xml:space="preserve">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na základe ktorého sa navrhuje s účinnosťou od 01.01.2022 zoznam údajov spracúvaných NCZI rozšíriť o informácie o dátume vzniku a zániku uzatvorenia dohody o poskytovaní zdravotnej starostlivosti, navrhujeme posun platnosti a prenesenie tejto oznamovacej povinnosti na NCZI.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D4240" w:rsidRDefault="004D4240">
            <w:pPr>
              <w:rPr>
                <w:rFonts w:ascii="Times" w:hAnsi="Times" w:cs="Times"/>
                <w:sz w:val="25"/>
                <w:szCs w:val="25"/>
              </w:rPr>
            </w:pPr>
            <w:r>
              <w:rPr>
                <w:rFonts w:ascii="Times" w:hAnsi="Times" w:cs="Times"/>
                <w:sz w:val="25"/>
                <w:szCs w:val="25"/>
              </w:rPr>
              <w:t>Jednalo by sa o podstatné vecné odchýlenie od pôvodného návrhu zákona a zámeru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AC" w:rsidRDefault="005825AC" w:rsidP="000A67D5">
      <w:pPr>
        <w:spacing w:after="0" w:line="240" w:lineRule="auto"/>
      </w:pPr>
      <w:r>
        <w:separator/>
      </w:r>
    </w:p>
  </w:endnote>
  <w:endnote w:type="continuationSeparator" w:id="0">
    <w:p w:rsidR="005825AC" w:rsidRDefault="005825A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AC" w:rsidRDefault="005825AC" w:rsidP="000A67D5">
      <w:pPr>
        <w:spacing w:after="0" w:line="240" w:lineRule="auto"/>
      </w:pPr>
      <w:r>
        <w:separator/>
      </w:r>
    </w:p>
  </w:footnote>
  <w:footnote w:type="continuationSeparator" w:id="0">
    <w:p w:rsidR="005825AC" w:rsidRDefault="005825A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C1BEE"/>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D4240"/>
    <w:rsid w:val="00532574"/>
    <w:rsid w:val="005825AC"/>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058">
      <w:bodyDiv w:val="1"/>
      <w:marLeft w:val="0"/>
      <w:marRight w:val="0"/>
      <w:marTop w:val="0"/>
      <w:marBottom w:val="0"/>
      <w:divBdr>
        <w:top w:val="none" w:sz="0" w:space="0" w:color="auto"/>
        <w:left w:val="none" w:sz="0" w:space="0" w:color="auto"/>
        <w:bottom w:val="none" w:sz="0" w:space="0" w:color="auto"/>
        <w:right w:val="none" w:sz="0" w:space="0" w:color="auto"/>
      </w:divBdr>
    </w:div>
    <w:div w:id="578364589">
      <w:bodyDiv w:val="1"/>
      <w:marLeft w:val="0"/>
      <w:marRight w:val="0"/>
      <w:marTop w:val="0"/>
      <w:marBottom w:val="0"/>
      <w:divBdr>
        <w:top w:val="none" w:sz="0" w:space="0" w:color="auto"/>
        <w:left w:val="none" w:sz="0" w:space="0" w:color="auto"/>
        <w:bottom w:val="none" w:sz="0" w:space="0" w:color="auto"/>
        <w:right w:val="none" w:sz="0" w:space="0" w:color="auto"/>
      </w:divBdr>
    </w:div>
    <w:div w:id="1173954113">
      <w:bodyDiv w:val="1"/>
      <w:marLeft w:val="0"/>
      <w:marRight w:val="0"/>
      <w:marTop w:val="0"/>
      <w:marBottom w:val="0"/>
      <w:divBdr>
        <w:top w:val="none" w:sz="0" w:space="0" w:color="auto"/>
        <w:left w:val="none" w:sz="0" w:space="0" w:color="auto"/>
        <w:bottom w:val="none" w:sz="0" w:space="0" w:color="auto"/>
        <w:right w:val="none" w:sz="0" w:space="0" w:color="auto"/>
      </w:divBdr>
    </w:div>
    <w:div w:id="1337536693">
      <w:bodyDiv w:val="1"/>
      <w:marLeft w:val="0"/>
      <w:marRight w:val="0"/>
      <w:marTop w:val="0"/>
      <w:marBottom w:val="0"/>
      <w:divBdr>
        <w:top w:val="none" w:sz="0" w:space="0" w:color="auto"/>
        <w:left w:val="none" w:sz="0" w:space="0" w:color="auto"/>
        <w:bottom w:val="none" w:sz="0" w:space="0" w:color="auto"/>
        <w:right w:val="none" w:sz="0" w:space="0" w:color="auto"/>
      </w:divBdr>
    </w:div>
    <w:div w:id="1414935703">
      <w:bodyDiv w:val="1"/>
      <w:marLeft w:val="0"/>
      <w:marRight w:val="0"/>
      <w:marTop w:val="0"/>
      <w:marBottom w:val="0"/>
      <w:divBdr>
        <w:top w:val="none" w:sz="0" w:space="0" w:color="auto"/>
        <w:left w:val="none" w:sz="0" w:space="0" w:color="auto"/>
        <w:bottom w:val="none" w:sz="0" w:space="0" w:color="auto"/>
        <w:right w:val="none" w:sz="0" w:space="0" w:color="auto"/>
      </w:divBdr>
    </w:div>
    <w:div w:id="1424647709">
      <w:bodyDiv w:val="1"/>
      <w:marLeft w:val="0"/>
      <w:marRight w:val="0"/>
      <w:marTop w:val="0"/>
      <w:marBottom w:val="0"/>
      <w:divBdr>
        <w:top w:val="none" w:sz="0" w:space="0" w:color="auto"/>
        <w:left w:val="none" w:sz="0" w:space="0" w:color="auto"/>
        <w:bottom w:val="none" w:sz="0" w:space="0" w:color="auto"/>
        <w:right w:val="none" w:sz="0" w:space="0" w:color="auto"/>
      </w:divBdr>
    </w:div>
    <w:div w:id="1466849005">
      <w:bodyDiv w:val="1"/>
      <w:marLeft w:val="0"/>
      <w:marRight w:val="0"/>
      <w:marTop w:val="0"/>
      <w:marBottom w:val="0"/>
      <w:divBdr>
        <w:top w:val="none" w:sz="0" w:space="0" w:color="auto"/>
        <w:left w:val="none" w:sz="0" w:space="0" w:color="auto"/>
        <w:bottom w:val="none" w:sz="0" w:space="0" w:color="auto"/>
        <w:right w:val="none" w:sz="0" w:space="0" w:color="auto"/>
      </w:divBdr>
    </w:div>
    <w:div w:id="2081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3.2021 13:02:48"/>
    <f:field ref="objchangedby" par="" text="Administrator, System"/>
    <f:field ref="objmodifiedat" par="" text="10.3.2021 13:02: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3129</Words>
  <Characters>17838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2021-03-10T12:03:00Z</dcterms:created>
  <dcterms:modified xsi:type="dcterms:W3CDTF">2021-03-10T12:03:00Z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&lt;p&gt;Keďže ide o&amp;nbsp;poslanecký návrh zákona, tento nebol predmetom predbežnej informácie.&lt;/p&gt;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Mgr. Mariana Streďanská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Poslanecký návrh zákona</vt:lpwstr>
  </property>
  <property fmtid="{D5CDD505-2E9C-101B-9397-08002B2CF9AE}" pid="22" name="FSC#SKEDITIONSLOVLEX@103.510:plny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S10535-2021-OL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bezpredmetné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právnik</vt:lpwstr>
  </property>
  <property fmtid="{D5CDD505-2E9C-101B-9397-08002B2CF9AE}" pid="138" name="FSC#SKEDITIONSLOVLEX@103.510:funkciaPredAkuzativ">
    <vt:lpwstr>právnika</vt:lpwstr>
  </property>
  <property fmtid="{D5CDD505-2E9C-101B-9397-08002B2CF9AE}" pid="139" name="FSC#SKEDITIONSLOVLEX@103.510:funkciaPredDativ">
    <vt:lpwstr>právnikovi</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o&amp;nbsp;rokovacom poriadku Národnej rady Slovenskej republiky Ministerstvo zdravotníctva Slovenskej republiky ako ústredný orgán štátnej správy pre zdravotnú starostlivosť pre</vt:lpwstr>
  </property>
  <property fmtid="{D5CDD505-2E9C-101B-9397-08002B2CF9AE}" pid="149" name="FSC#COOSYSTEM@1.1:Container">
    <vt:lpwstr>COO.2145.1000.3.4282413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10. 3. 2021</vt:lpwstr>
  </property>
</Properties>
</file>