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2933AA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2933AA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933AA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933AA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Pr="002933AA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2933AA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2933AA" w:rsidTr="007B71A4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2933AA" w:rsidTr="007B71A4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440EA" w:rsidRPr="002933AA" w:rsidRDefault="00BC3674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440EA" w:rsidRPr="002933AA" w:rsidRDefault="00BC3674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440EA" w:rsidRPr="002933AA" w:rsidRDefault="00BC3674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440EA" w:rsidRPr="002933AA" w:rsidRDefault="002933A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  <w:r w:rsidR="005D003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- SPF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350EBE" w:rsidP="00F1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</w:t>
            </w:r>
            <w:r w:rsidR="00F10B6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  <w:r w:rsidR="00F10B6D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00</w:t>
            </w:r>
            <w:r w:rsidR="00B863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00</w:t>
            </w:r>
            <w:r w:rsidR="002933AA"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 w:rsidR="00B863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8B4680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8B4680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2933A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 w:rsidR="00B863D6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  <w:r w:rsidR="005D00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 - SPF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8B4680" w:rsidP="00F10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8B4680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8B4680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2933A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  <w:r w:rsidR="008B4680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*</w:t>
            </w: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7B71A4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440EA" w:rsidRPr="002933AA" w:rsidTr="00AA3EE9">
        <w:trPr>
          <w:trHeight w:val="70"/>
          <w:jc w:val="center"/>
        </w:trPr>
        <w:tc>
          <w:tcPr>
            <w:tcW w:w="4661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4440EA" w:rsidRPr="002933AA" w:rsidRDefault="004440EA" w:rsidP="004440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B863D6" w:rsidRPr="008B4680" w:rsidTr="00AA3EE9">
        <w:trPr>
          <w:trHeight w:val="70"/>
          <w:jc w:val="center"/>
        </w:trPr>
        <w:tc>
          <w:tcPr>
            <w:tcW w:w="972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EC7EA1" w:rsidRPr="008B4680" w:rsidRDefault="00B863D6" w:rsidP="00BC367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 Výpadok príjmu sa uvádza v porovnaní s plánovanou hodnot</w:t>
            </w:r>
            <w:r w:rsidR="005262E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</w:t>
            </w:r>
            <w:r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u príjmu na rok 2021. SPF tento odhad naviazal </w:t>
            </w:r>
            <w:r w:rsidR="00EC7EA1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obvyklú výšku nájomného (</w:t>
            </w:r>
            <w:r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OVN</w:t>
            </w:r>
            <w:r w:rsidR="00EC7EA1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)</w:t>
            </w:r>
            <w:r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, ktorá sa však medziročne mení. Vyčíslený vplyv je výsledok porovnania s príjmom SPF z OVN za rok 2019</w:t>
            </w:r>
            <w:r w:rsidR="00237BD9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Reálne p</w:t>
            </w:r>
            <w:r w:rsidR="00237BD9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lány príjmu na roky 2022, 2023 a 2024</w:t>
            </w:r>
            <w:r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preto </w:t>
            </w:r>
            <w:r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dnes ešte neexistujú. OVN za rok 2020 bude známa až 30.6.2021</w:t>
            </w:r>
            <w:r w:rsidR="00EC7EA1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 OVN za rok 2021 až 30.6.2022</w:t>
            </w:r>
            <w:r w:rsidR="00237BD9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atď</w:t>
            </w:r>
            <w:r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  <w:r w:rsidR="005D003A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="00237BD9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Výpadok na roky +1</w:t>
            </w:r>
            <w:r w:rsidR="008B4680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a</w:t>
            </w:r>
            <w:r w:rsidR="00237BD9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+2 sa určuje</w:t>
            </w:r>
            <w:r w:rsidR="008B4680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na základe údajov podľa uznesenia vlády č. 655 zo 14.10.2020. Reálny p</w:t>
            </w:r>
            <w:r w:rsidR="00237BD9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lánovaný príjem SPF z nájomného za roky</w:t>
            </w:r>
            <w:r w:rsidR="008B4680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+1, +2 a +3</w:t>
            </w:r>
            <w:r w:rsidR="00237BD9" w:rsidRPr="008B4680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bude už stanovený podľa novelizovaného nariadenia vlády č. 238/2010 Z. z.</w:t>
            </w:r>
          </w:p>
        </w:tc>
        <w:bookmarkStart w:id="1" w:name="_GoBack"/>
        <w:bookmarkEnd w:id="1"/>
      </w:tr>
      <w:bookmarkEnd w:id="0"/>
    </w:tbl>
    <w:p w:rsidR="00E963A3" w:rsidRPr="002933AA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7D5748" w:rsidRPr="002933AA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2933AA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4F422B" w:rsidRDefault="00253AF3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4F422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Výpadok príjmov SPF bude riešený úsporami vo výdavkoch SPF.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2933AA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2933AA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2933AA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2933AA" w:rsidRDefault="00350EBE" w:rsidP="00350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50EBE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nariadenia vlády sa predkladá z dôvodu potreby ustanoviť záväzný spôsob určenia výšky nájomného účtovaného fondom za prenájom poľnohospodárskych pozemkov vo vlastníctve štátu a nezistených vlastníkov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Návrh bude implementovať fond. Služby sa neposkytujú.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2933AA" w:rsidRDefault="00E61B6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2933A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2933A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7D5748"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E61B6F" w:rsidRPr="002933A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2933A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E61B6F" w:rsidRPr="002933AA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>x</w:t>
      </w:r>
      <w:r w:rsidRPr="002933A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2933AA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2933AA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2933AA" w:rsidTr="007B71A4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2933AA" w:rsidTr="007B71A4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2933AA" w:rsidRDefault="008E4BC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2933AA" w:rsidRDefault="008E4BC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2933AA" w:rsidRDefault="008E4BC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2933AA" w:rsidRDefault="008E4BC3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7D5748" w:rsidRPr="002933AA" w:rsidTr="007B71A4">
        <w:trPr>
          <w:trHeight w:val="70"/>
        </w:trPr>
        <w:tc>
          <w:tcPr>
            <w:tcW w:w="4530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2933AA" w:rsidTr="007B71A4">
        <w:trPr>
          <w:trHeight w:val="70"/>
        </w:trPr>
        <w:tc>
          <w:tcPr>
            <w:tcW w:w="4530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2933AA" w:rsidTr="007B71A4">
        <w:trPr>
          <w:trHeight w:val="70"/>
        </w:trPr>
        <w:tc>
          <w:tcPr>
            <w:tcW w:w="4530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2933AA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2933AA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7D5748" w:rsidRPr="002933AA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:rsidR="00F06E00" w:rsidRPr="00F06E00" w:rsidRDefault="00F06E00" w:rsidP="00350EBE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F06E00">
        <w:rPr>
          <w:rFonts w:ascii="Times New Roman" w:hAnsi="Times New Roman" w:cs="Times New Roman"/>
          <w:sz w:val="24"/>
          <w:szCs w:val="24"/>
        </w:rPr>
        <w:t xml:space="preserve">čakávaný výpadok príjmov na </w:t>
      </w:r>
      <w:r w:rsidRPr="005456F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podpoložke </w:t>
      </w:r>
      <w:r w:rsidR="005456F7" w:rsidRPr="005456F7">
        <w:rPr>
          <w:rFonts w:ascii="Times New Roman" w:eastAsia="Times New Roman" w:hAnsi="Times New Roman" w:cs="Times New Roman"/>
          <w:sz w:val="24"/>
          <w:szCs w:val="24"/>
          <w:lang w:eastAsia="sk-SK"/>
        </w:rPr>
        <w:t>212002</w:t>
      </w:r>
      <w:r w:rsidRPr="005456F7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06E00" w:rsidRPr="00F06E00" w:rsidRDefault="003A2CC1" w:rsidP="003A2CC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F06E00" w:rsidRPr="00F06E00">
        <w:rPr>
          <w:rFonts w:ascii="Times New Roman" w:eastAsia="Times New Roman" w:hAnsi="Times New Roman" w:cs="Times New Roman"/>
          <w:sz w:val="24"/>
          <w:szCs w:val="24"/>
        </w:rPr>
        <w:t xml:space="preserve">z pohľadu </w:t>
      </w:r>
      <w:r w:rsidR="00BC367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06E00" w:rsidRPr="00F06E00">
        <w:rPr>
          <w:rFonts w:ascii="Times New Roman" w:eastAsia="Times New Roman" w:hAnsi="Times New Roman" w:cs="Times New Roman"/>
          <w:sz w:val="24"/>
          <w:szCs w:val="24"/>
        </w:rPr>
        <w:t>očakávaných</w:t>
      </w:r>
      <w:r w:rsidR="00BC3674">
        <w:rPr>
          <w:rFonts w:ascii="Times New Roman" w:eastAsia="Times New Roman" w:hAnsi="Times New Roman" w:cs="Times New Roman"/>
          <w:sz w:val="24"/>
          <w:szCs w:val="24"/>
        </w:rPr>
        <w:t xml:space="preserve"> príjmov </w:t>
      </w:r>
      <w:r w:rsidR="00F06E00" w:rsidRPr="00F06E00">
        <w:rPr>
          <w:rFonts w:ascii="Times New Roman" w:eastAsia="Times New Roman" w:hAnsi="Times New Roman" w:cs="Times New Roman"/>
          <w:sz w:val="24"/>
          <w:szCs w:val="24"/>
        </w:rPr>
        <w:t xml:space="preserve">17 500 000 eur </w:t>
      </w:r>
      <w:r w:rsidR="00BC3674">
        <w:rPr>
          <w:rFonts w:ascii="Times New Roman" w:eastAsia="Times New Roman" w:hAnsi="Times New Roman" w:cs="Times New Roman"/>
          <w:sz w:val="24"/>
          <w:szCs w:val="24"/>
        </w:rPr>
        <w:t>(podľa rozpočtu SPF na r. 202</w:t>
      </w:r>
      <w:r w:rsidR="005262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C3674">
        <w:rPr>
          <w:rFonts w:ascii="Times New Roman" w:eastAsia="Times New Roman" w:hAnsi="Times New Roman" w:cs="Times New Roman"/>
          <w:sz w:val="24"/>
          <w:szCs w:val="24"/>
        </w:rPr>
        <w:t>)</w:t>
      </w:r>
      <w:r w:rsidR="00BC3674" w:rsidRPr="00F06E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6E00" w:rsidRPr="00F06E00">
        <w:rPr>
          <w:rFonts w:ascii="Times New Roman" w:eastAsia="Times New Roman" w:hAnsi="Times New Roman" w:cs="Times New Roman"/>
          <w:sz w:val="24"/>
          <w:szCs w:val="24"/>
        </w:rPr>
        <w:t xml:space="preserve">výpadok príjmov na úrovní cca </w:t>
      </w:r>
      <w:r w:rsidR="00397592">
        <w:rPr>
          <w:rFonts w:ascii="Times New Roman" w:eastAsia="Times New Roman" w:hAnsi="Times New Roman" w:cs="Times New Roman"/>
          <w:b/>
          <w:bCs/>
          <w:sz w:val="24"/>
          <w:szCs w:val="24"/>
        </w:rPr>
        <w:t>4 </w:t>
      </w:r>
      <w:r w:rsidR="00F06E00" w:rsidRPr="00F06E00">
        <w:rPr>
          <w:rFonts w:ascii="Times New Roman" w:eastAsia="Times New Roman" w:hAnsi="Times New Roman" w:cs="Times New Roman"/>
          <w:b/>
          <w:bCs/>
          <w:sz w:val="24"/>
          <w:szCs w:val="24"/>
        </w:rPr>
        <w:t>500</w:t>
      </w:r>
      <w:r w:rsidR="003975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000</w:t>
      </w:r>
      <w:r w:rsidR="00F06E00" w:rsidRPr="00F06E00">
        <w:rPr>
          <w:rFonts w:ascii="Times New Roman" w:eastAsia="Times New Roman" w:hAnsi="Times New Roman" w:cs="Times New Roman"/>
          <w:sz w:val="24"/>
          <w:szCs w:val="24"/>
        </w:rPr>
        <w:t xml:space="preserve"> eur.</w:t>
      </w:r>
    </w:p>
    <w:p w:rsidR="00F06E00" w:rsidRPr="00F06E00" w:rsidRDefault="00F06E00" w:rsidP="00F06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Vychádzame z doteraz očakávaných súm v </w:t>
      </w:r>
      <w:r w:rsidRPr="00F06E00">
        <w:rPr>
          <w:rFonts w:ascii="Times New Roman" w:hAnsi="Times New Roman" w:cs="Times New Roman"/>
          <w:sz w:val="24"/>
          <w:szCs w:val="24"/>
        </w:rPr>
        <w:t>r. 2020 a r. 2021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06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E00" w:rsidRPr="00F06E00" w:rsidRDefault="00F06E00" w:rsidP="00F06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00">
        <w:rPr>
          <w:rFonts w:ascii="Times New Roman" w:hAnsi="Times New Roman" w:cs="Times New Roman"/>
          <w:sz w:val="24"/>
          <w:szCs w:val="24"/>
        </w:rPr>
        <w:t xml:space="preserve">Rok 2021       17 500 000 eur </w:t>
      </w:r>
    </w:p>
    <w:p w:rsidR="00F06E00" w:rsidRDefault="00F06E00" w:rsidP="00F06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00">
        <w:rPr>
          <w:rFonts w:ascii="Times New Roman" w:hAnsi="Times New Roman" w:cs="Times New Roman"/>
          <w:sz w:val="24"/>
          <w:szCs w:val="24"/>
        </w:rPr>
        <w:t xml:space="preserve">Rok 2020       15 000 000 – 17 000 000 eur </w:t>
      </w:r>
    </w:p>
    <w:p w:rsidR="00F06E00" w:rsidRPr="00F06E00" w:rsidRDefault="00F06E00" w:rsidP="00F06E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E00">
        <w:rPr>
          <w:rFonts w:ascii="Times New Roman" w:hAnsi="Times New Roman" w:cs="Times New Roman"/>
          <w:sz w:val="24"/>
          <w:szCs w:val="24"/>
        </w:rPr>
        <w:t>Rok 2019       15 278 000 eur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6E00">
        <w:rPr>
          <w:rFonts w:ascii="Times New Roman" w:hAnsi="Times New Roman" w:cs="Times New Roman"/>
          <w:sz w:val="24"/>
          <w:szCs w:val="24"/>
        </w:rPr>
        <w:t>skutočn</w:t>
      </w:r>
      <w:r>
        <w:rPr>
          <w:rFonts w:ascii="Times New Roman" w:hAnsi="Times New Roman" w:cs="Times New Roman"/>
          <w:sz w:val="24"/>
          <w:szCs w:val="24"/>
        </w:rPr>
        <w:t>ý príjem)</w:t>
      </w:r>
    </w:p>
    <w:p w:rsidR="00F06E00" w:rsidRDefault="003A2CC1" w:rsidP="00F10B6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F10B6D" w:rsidRPr="00F10B6D">
        <w:rPr>
          <w:rFonts w:ascii="Times New Roman" w:eastAsia="Times New Roman" w:hAnsi="Times New Roman" w:cs="Times New Roman"/>
          <w:sz w:val="24"/>
          <w:szCs w:val="24"/>
        </w:rPr>
        <w:t xml:space="preserve">z pohľadu schváleného rozpočtu na r. 2021 vo výške 14 000 000 eur sa jedná o výpadok príjmov na úrovni 1 000 000 eur, </w:t>
      </w:r>
      <w:r w:rsidR="00F10B6D">
        <w:rPr>
          <w:rFonts w:ascii="Times New Roman" w:eastAsia="Times New Roman" w:hAnsi="Times New Roman" w:cs="Times New Roman"/>
          <w:sz w:val="24"/>
          <w:szCs w:val="24"/>
        </w:rPr>
        <w:t>a</w:t>
      </w:r>
      <w:r w:rsidR="00F10B6D" w:rsidRPr="00F10B6D">
        <w:rPr>
          <w:rFonts w:ascii="Times New Roman" w:eastAsia="Times New Roman" w:hAnsi="Times New Roman" w:cs="Times New Roman"/>
          <w:sz w:val="24"/>
          <w:szCs w:val="24"/>
        </w:rPr>
        <w:t>však stanovením limitov v zmysle listu MF SR zo dňa 13.7.2020 je upravený rozpočet príjmov z nájmov vo výške 17 500 000 eur, teda v koneč</w:t>
      </w:r>
      <w:r w:rsidR="00F10B6D">
        <w:rPr>
          <w:rFonts w:ascii="Times New Roman" w:eastAsia="Times New Roman" w:hAnsi="Times New Roman" w:cs="Times New Roman"/>
          <w:sz w:val="24"/>
          <w:szCs w:val="24"/>
        </w:rPr>
        <w:t>nom dôsledku je pokles príjmov z</w:t>
      </w:r>
      <w:r w:rsidR="00F10B6D" w:rsidRPr="00F10B6D">
        <w:rPr>
          <w:rFonts w:ascii="Times New Roman" w:eastAsia="Times New Roman" w:hAnsi="Times New Roman" w:cs="Times New Roman"/>
          <w:sz w:val="24"/>
          <w:szCs w:val="24"/>
        </w:rPr>
        <w:t xml:space="preserve">a r. 2021 oproti </w:t>
      </w:r>
      <w:r w:rsidR="00F10B6D">
        <w:rPr>
          <w:rFonts w:ascii="Times New Roman" w:eastAsia="Times New Roman" w:hAnsi="Times New Roman" w:cs="Times New Roman"/>
          <w:sz w:val="24"/>
          <w:szCs w:val="24"/>
        </w:rPr>
        <w:t xml:space="preserve">plánovanému </w:t>
      </w:r>
      <w:r w:rsidR="00F10B6D" w:rsidRPr="00F10B6D">
        <w:rPr>
          <w:rFonts w:ascii="Times New Roman" w:eastAsia="Times New Roman" w:hAnsi="Times New Roman" w:cs="Times New Roman"/>
          <w:sz w:val="24"/>
          <w:szCs w:val="24"/>
        </w:rPr>
        <w:t>rozpočtu vo výške 4 500 000 eur.</w:t>
      </w:r>
    </w:p>
    <w:p w:rsidR="004F12EF" w:rsidRPr="00F10B6D" w:rsidRDefault="004F12EF" w:rsidP="008E4BC3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F12EF" w:rsidRPr="00F10B6D" w:rsidSect="004F422B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993" w:right="1417" w:bottom="1134" w:left="1417" w:header="708" w:footer="567" w:gutter="0"/>
          <w:pgNumType w:start="7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Platí poznámka * k tabuľke v bode 2.1.</w:t>
      </w:r>
    </w:p>
    <w:p w:rsidR="007D5748" w:rsidRPr="002933AA" w:rsidRDefault="007D5748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2933AA" w:rsidTr="007B71A4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2933AA" w:rsidTr="007B71A4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2933AA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 w:rsidR="005D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 w:rsidR="005D003A" w:rsidRPr="005D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SPF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5D003A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D00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- 4 500 000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8B468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8B4680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-4 500 00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7B71A4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2933A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2933A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2933AA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2933AA" w:rsidRDefault="00E72448" w:rsidP="00E724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4</w:t>
      </w:r>
    </w:p>
    <w:tbl>
      <w:tblPr>
        <w:tblpPr w:leftFromText="141" w:rightFromText="141" w:vertAnchor="text" w:horzAnchor="page" w:tblpX="629" w:tblpY="2"/>
        <w:tblW w:w="148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1582"/>
      </w:tblGrid>
      <w:tr w:rsidR="007D5748" w:rsidRPr="002933AA" w:rsidTr="00E72448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2933AA" w:rsidTr="00E72448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6116F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F42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2933AA" w:rsidRDefault="007D5748" w:rsidP="008D3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 w:rsidR="008D339D" w:rsidRPr="002933AA">
              <w:t xml:space="preserve"> </w:t>
            </w:r>
            <w:r w:rsidR="008D339D"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2933A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2933A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2933A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2933AA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2933AA" w:rsidRDefault="00E72448" w:rsidP="00E724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Tabuľka č. 5</w:t>
      </w:r>
    </w:p>
    <w:tbl>
      <w:tblPr>
        <w:tblW w:w="14888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6"/>
        <w:gridCol w:w="1683"/>
        <w:gridCol w:w="1772"/>
        <w:gridCol w:w="2393"/>
        <w:gridCol w:w="1707"/>
        <w:gridCol w:w="1207"/>
      </w:tblGrid>
      <w:tr w:rsidR="007D5748" w:rsidRPr="002933AA" w:rsidTr="00E72448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2933AA" w:rsidTr="00E72448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8E4BC3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2933AA" w:rsidTr="00E72448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2933AA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2933AA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33A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E72448" w:rsidRPr="002933AA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Poznámky:</w:t>
      </w:r>
    </w:p>
    <w:p w:rsidR="00CB3623" w:rsidRPr="002933AA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2933AA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</w:r>
    </w:p>
    <w:p w:rsidR="00E72448" w:rsidRPr="002933AA" w:rsidRDefault="00E72448" w:rsidP="00E724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Priemerný mzdový výdavok je tvorený podielom mzdových výdavkov na jedného zamestnanca na jeden kalendárny mesiac bežného roka.</w:t>
      </w:r>
    </w:p>
    <w:p w:rsidR="00E72448" w:rsidRDefault="00E72448" w:rsidP="00E72448">
      <w:pPr>
        <w:spacing w:after="0" w:line="240" w:lineRule="auto"/>
      </w:pPr>
      <w:r w:rsidRPr="002933AA">
        <w:rPr>
          <w:rFonts w:ascii="Times New Roman" w:eastAsia="Times New Roman" w:hAnsi="Times New Roman" w:cs="Times New Roman"/>
          <w:sz w:val="24"/>
          <w:szCs w:val="24"/>
          <w:lang w:eastAsia="sk-SK"/>
        </w:rPr>
        <w:t>Kategórie 610 a 620 sú z tejto prílohy prenášané do príslušných kategórií prílohy „výdavky“.</w:t>
      </w:r>
    </w:p>
    <w:sectPr w:rsidR="00E72448" w:rsidSect="002413FB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05" w:rsidRDefault="00787B05">
      <w:pPr>
        <w:spacing w:after="0" w:line="240" w:lineRule="auto"/>
      </w:pPr>
      <w:r>
        <w:separator/>
      </w:r>
    </w:p>
  </w:endnote>
  <w:endnote w:type="continuationSeparator" w:id="0">
    <w:p w:rsidR="00787B05" w:rsidRDefault="00787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6116F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7D574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D5748">
      <w:rPr>
        <w:rStyle w:val="slostrany"/>
        <w:noProof/>
      </w:rPr>
      <w:t>10</w:t>
    </w:r>
    <w:r>
      <w:rPr>
        <w:rStyle w:val="slostrany"/>
      </w:rPr>
      <w:fldChar w:fldCharType="end"/>
    </w:r>
  </w:p>
  <w:p w:rsidR="007D5748" w:rsidRDefault="007D5748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1228035153"/>
      <w:docPartObj>
        <w:docPartGallery w:val="Page Numbers (Bottom of Page)"/>
        <w:docPartUnique/>
      </w:docPartObj>
    </w:sdtPr>
    <w:sdtEndPr/>
    <w:sdtContent>
      <w:p w:rsidR="007D5748" w:rsidRPr="002413FB" w:rsidRDefault="006116F8" w:rsidP="00E72448">
        <w:pPr>
          <w:pStyle w:val="Pta"/>
          <w:jc w:val="center"/>
          <w:rPr>
            <w:sz w:val="24"/>
          </w:rPr>
        </w:pPr>
        <w:r w:rsidRPr="002413FB">
          <w:rPr>
            <w:sz w:val="24"/>
          </w:rPr>
          <w:fldChar w:fldCharType="begin"/>
        </w:r>
        <w:r w:rsidR="00E72448" w:rsidRPr="002413FB">
          <w:rPr>
            <w:sz w:val="24"/>
          </w:rPr>
          <w:instrText>PAGE   \* MERGEFORMAT</w:instrText>
        </w:r>
        <w:r w:rsidRPr="002413FB">
          <w:rPr>
            <w:sz w:val="24"/>
          </w:rPr>
          <w:fldChar w:fldCharType="separate"/>
        </w:r>
        <w:r w:rsidR="004F422B">
          <w:rPr>
            <w:noProof/>
            <w:sz w:val="24"/>
          </w:rPr>
          <w:t>10</w:t>
        </w:r>
        <w:r w:rsidRPr="002413FB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6116F8">
    <w:pPr>
      <w:pStyle w:val="Pta"/>
      <w:jc w:val="right"/>
    </w:pPr>
    <w:r>
      <w:fldChar w:fldCharType="begin"/>
    </w:r>
    <w:r w:rsidR="007D5748">
      <w:instrText>PAGE   \* MERGEFORMAT</w:instrText>
    </w:r>
    <w:r>
      <w:fldChar w:fldCharType="separate"/>
    </w:r>
    <w:r w:rsidR="007D5748">
      <w:rPr>
        <w:noProof/>
      </w:rPr>
      <w:t>0</w:t>
    </w:r>
    <w:r>
      <w:fldChar w:fldCharType="end"/>
    </w:r>
  </w:p>
  <w:p w:rsidR="007D5748" w:rsidRDefault="007D574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05" w:rsidRDefault="00787B05">
      <w:pPr>
        <w:spacing w:after="0" w:line="240" w:lineRule="auto"/>
      </w:pPr>
      <w:r>
        <w:separator/>
      </w:r>
    </w:p>
  </w:footnote>
  <w:footnote w:type="continuationSeparator" w:id="0">
    <w:p w:rsidR="00787B05" w:rsidRDefault="00787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Default="007D5748" w:rsidP="00EB59C8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7D5748" w:rsidRPr="00EB59C8" w:rsidRDefault="007D5748" w:rsidP="00EB59C8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748" w:rsidRPr="000A15AE" w:rsidRDefault="007D5748" w:rsidP="000A15AE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07A71"/>
    <w:multiLevelType w:val="hybridMultilevel"/>
    <w:tmpl w:val="5D8415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64B"/>
    <w:rsid w:val="00035EB6"/>
    <w:rsid w:val="00057135"/>
    <w:rsid w:val="001127A8"/>
    <w:rsid w:val="00170D2B"/>
    <w:rsid w:val="001C09D4"/>
    <w:rsid w:val="00200898"/>
    <w:rsid w:val="00212894"/>
    <w:rsid w:val="00213A29"/>
    <w:rsid w:val="00237BD9"/>
    <w:rsid w:val="002413FB"/>
    <w:rsid w:val="00253AF3"/>
    <w:rsid w:val="002933AA"/>
    <w:rsid w:val="002C4206"/>
    <w:rsid w:val="00317B90"/>
    <w:rsid w:val="00350EBE"/>
    <w:rsid w:val="003515BE"/>
    <w:rsid w:val="00397592"/>
    <w:rsid w:val="003A2CC1"/>
    <w:rsid w:val="004440EA"/>
    <w:rsid w:val="00487203"/>
    <w:rsid w:val="004F12EF"/>
    <w:rsid w:val="004F422B"/>
    <w:rsid w:val="005005EC"/>
    <w:rsid w:val="0051219A"/>
    <w:rsid w:val="005262E8"/>
    <w:rsid w:val="005456F7"/>
    <w:rsid w:val="00593495"/>
    <w:rsid w:val="005D003A"/>
    <w:rsid w:val="006116F8"/>
    <w:rsid w:val="007246BD"/>
    <w:rsid w:val="00787B05"/>
    <w:rsid w:val="007D5748"/>
    <w:rsid w:val="008B17D4"/>
    <w:rsid w:val="008B4680"/>
    <w:rsid w:val="008D339D"/>
    <w:rsid w:val="008E2736"/>
    <w:rsid w:val="008E4BC3"/>
    <w:rsid w:val="009706B7"/>
    <w:rsid w:val="00AA3EE9"/>
    <w:rsid w:val="00B5535C"/>
    <w:rsid w:val="00B863D6"/>
    <w:rsid w:val="00BC3674"/>
    <w:rsid w:val="00C15212"/>
    <w:rsid w:val="00C51FD4"/>
    <w:rsid w:val="00C6564B"/>
    <w:rsid w:val="00CB3623"/>
    <w:rsid w:val="00CE299A"/>
    <w:rsid w:val="00DE5BF1"/>
    <w:rsid w:val="00E07CE9"/>
    <w:rsid w:val="00E61B6F"/>
    <w:rsid w:val="00E72448"/>
    <w:rsid w:val="00E963A3"/>
    <w:rsid w:val="00EA1E90"/>
    <w:rsid w:val="00EC7EA1"/>
    <w:rsid w:val="00F06E00"/>
    <w:rsid w:val="00F10B6D"/>
    <w:rsid w:val="00F4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CB4FDD8-1695-4DFF-A168-934C232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15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44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vorba\Jednotn&#225;%20metodika\01_vplyvy-na-rozpocet-verejnej-sprav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01_vplyvy-na-rozpocet-verejnej-spravy</Template>
  <TotalTime>142</TotalTime>
  <Pages>4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 Otruba</dc:creator>
  <cp:lastModifiedBy>Illáš Martin</cp:lastModifiedBy>
  <cp:revision>23</cp:revision>
  <dcterms:created xsi:type="dcterms:W3CDTF">2020-10-30T21:38:00Z</dcterms:created>
  <dcterms:modified xsi:type="dcterms:W3CDTF">2021-02-17T10:03:00Z</dcterms:modified>
</cp:coreProperties>
</file>