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7F65" w:rsidRPr="00D07F65" w:rsidTr="00B5245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07F65">
              <w:rPr>
                <w:b/>
                <w:sz w:val="20"/>
                <w:szCs w:val="20"/>
              </w:rPr>
              <w:t xml:space="preserve">Analýza vplyvov na podnikateľské prostredie </w:t>
            </w:r>
          </w:p>
          <w:p w:rsidR="00D07F65" w:rsidRPr="00D07F65" w:rsidRDefault="00D07F65" w:rsidP="00B5245C">
            <w:pPr>
              <w:jc w:val="center"/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(vrátane testu MSP)</w:t>
            </w:r>
          </w:p>
        </w:tc>
      </w:tr>
      <w:tr w:rsidR="00D07F65" w:rsidRPr="00D07F65" w:rsidTr="00B5245C">
        <w:trPr>
          <w:trHeight w:val="441"/>
        </w:trPr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D07F65" w:rsidRPr="00D07F65" w:rsidTr="00B5245C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07F65" w:rsidRPr="00D07F65" w:rsidTr="00B5245C">
              <w:sdt>
                <w:sdtPr>
                  <w:rPr>
                    <w:sz w:val="20"/>
                    <w:szCs w:val="20"/>
                  </w:r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D07F65" w:rsidRPr="00D07F65" w:rsidRDefault="00D07F65" w:rsidP="00B524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7F65">
                        <w:rPr>
                          <w:rFonts w:ascii="Segoe UI Symbol" w:eastAsia="MS Mincho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07F65" w:rsidRPr="00D07F65" w:rsidRDefault="00D07F65" w:rsidP="00B5245C">
                  <w:pPr>
                    <w:rPr>
                      <w:b/>
                      <w:sz w:val="20"/>
                      <w:szCs w:val="20"/>
                    </w:rPr>
                  </w:pPr>
                  <w:r w:rsidRPr="00D07F65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D07F65" w:rsidRPr="00D07F65" w:rsidTr="00B5245C">
              <w:sdt>
                <w:sdtPr>
                  <w:rPr>
                    <w:sz w:val="20"/>
                    <w:szCs w:val="20"/>
                  </w:r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D07F65" w:rsidRPr="00D07F65" w:rsidRDefault="00D07F65" w:rsidP="00B524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7F65">
                        <w:rPr>
                          <w:rFonts w:ascii="Segoe UI Symbol" w:eastAsia="MS Mincho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07F65" w:rsidRPr="00D07F65" w:rsidRDefault="00D07F65" w:rsidP="00B5245C">
                  <w:pPr>
                    <w:rPr>
                      <w:b/>
                      <w:sz w:val="20"/>
                      <w:szCs w:val="20"/>
                    </w:rPr>
                  </w:pPr>
                  <w:r w:rsidRPr="00D07F65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D07F65" w:rsidRPr="00D07F65" w:rsidTr="00B5245C">
              <w:sdt>
                <w:sdtPr>
                  <w:rPr>
                    <w:sz w:val="20"/>
                    <w:szCs w:val="20"/>
                  </w:r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D07F65" w:rsidRPr="00D07F65" w:rsidRDefault="00D07F65" w:rsidP="00B524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7F6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07F65" w:rsidRPr="00D07F65" w:rsidRDefault="00D07F65" w:rsidP="00B5245C">
                  <w:pPr>
                    <w:rPr>
                      <w:sz w:val="20"/>
                      <w:szCs w:val="20"/>
                    </w:rPr>
                  </w:pPr>
                  <w:r w:rsidRPr="00D07F65">
                    <w:rPr>
                      <w:b/>
                      <w:sz w:val="20"/>
                      <w:szCs w:val="20"/>
                    </w:rPr>
                    <w:t xml:space="preserve">na všetky kategórie </w:t>
                  </w:r>
                  <w:r w:rsidR="00715DA3">
                    <w:rPr>
                      <w:b/>
                      <w:sz w:val="20"/>
                      <w:szCs w:val="20"/>
                    </w:rPr>
                    <w:t>podniko</w:t>
                  </w:r>
                  <w:r w:rsidR="00A42580">
                    <w:rPr>
                      <w:b/>
                      <w:sz w:val="20"/>
                      <w:szCs w:val="20"/>
                    </w:rPr>
                    <w:t>v</w:t>
                  </w:r>
                </w:p>
              </w:tc>
            </w:tr>
          </w:tbl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3.1 Dotknuté podnikateľské subjekty</w:t>
            </w:r>
          </w:p>
          <w:p w:rsidR="00D07F65" w:rsidRPr="00D07F65" w:rsidRDefault="00D07F65" w:rsidP="00B5245C">
            <w:pPr>
              <w:ind w:left="284"/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Aký je ich počet?</w:t>
            </w:r>
          </w:p>
        </w:tc>
      </w:tr>
      <w:tr w:rsidR="00D07F65" w:rsidRPr="00D07F65" w:rsidTr="00B5245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6E50D5">
              <w:rPr>
                <w:sz w:val="20"/>
                <w:szCs w:val="20"/>
              </w:rPr>
              <w:t>Vzhľadom na to, že návrhom zákona sa okrem iného vykonáva vykonávacie nariadenie Komisie (EÚ) 2019/1746</w:t>
            </w:r>
            <w:r w:rsidR="006E50D5" w:rsidRPr="006E50D5">
              <w:rPr>
                <w:sz w:val="20"/>
                <w:szCs w:val="20"/>
              </w:rPr>
              <w:t xml:space="preserve"> z 1. októbra 2019, ktorým sa mení vykonávacie nariadenie (EÚ) 2017/1185, ktorým sa stanovujú pravidlá uplatňovania nariadení Európskeho parlamentu a Rady (EÚ) č. 1307/2013 a (EÚ) č. 1308/2013, pokiaľ ide o poskytovanie informácií a predkladanie dokumentov Komisii</w:t>
            </w:r>
            <w:r w:rsidR="00B667E3">
              <w:rPr>
                <w:sz w:val="20"/>
                <w:szCs w:val="20"/>
              </w:rPr>
              <w:t xml:space="preserve"> (Ú. v. EÚ L 268, 22.10.2019)</w:t>
            </w:r>
            <w:r w:rsidRPr="00D07F65">
              <w:rPr>
                <w:sz w:val="20"/>
                <w:szCs w:val="20"/>
              </w:rPr>
              <w:t xml:space="preserve"> (ďalej len „</w:t>
            </w:r>
            <w:r w:rsidR="006E50D5">
              <w:rPr>
                <w:sz w:val="20"/>
                <w:szCs w:val="20"/>
              </w:rPr>
              <w:t xml:space="preserve">vykonávacie </w:t>
            </w:r>
            <w:r w:rsidRPr="00D07F65">
              <w:rPr>
                <w:sz w:val="20"/>
                <w:szCs w:val="20"/>
              </w:rPr>
              <w:t>nariadenie</w:t>
            </w:r>
            <w:r w:rsidR="006E50D5">
              <w:rPr>
                <w:sz w:val="20"/>
                <w:szCs w:val="20"/>
              </w:rPr>
              <w:t xml:space="preserve"> (EÚ) 2019/1746“</w:t>
            </w:r>
            <w:r w:rsidRPr="00D07F65">
              <w:rPr>
                <w:sz w:val="20"/>
                <w:szCs w:val="20"/>
              </w:rPr>
              <w:t>), podnikateľské subjekty dotknuté návrhom zákona sú ustanovené priamo</w:t>
            </w:r>
            <w:r w:rsidR="006E50D5">
              <w:rPr>
                <w:sz w:val="20"/>
                <w:szCs w:val="20"/>
              </w:rPr>
              <w:t xml:space="preserve"> vykonávacím</w:t>
            </w:r>
            <w:r w:rsidRPr="00D07F65">
              <w:rPr>
                <w:sz w:val="20"/>
                <w:szCs w:val="20"/>
              </w:rPr>
              <w:t xml:space="preserve"> nariadením</w:t>
            </w:r>
            <w:r w:rsidR="006E50D5">
              <w:rPr>
                <w:sz w:val="20"/>
                <w:szCs w:val="20"/>
              </w:rPr>
              <w:t xml:space="preserve"> (EÚ) 2019/1746</w:t>
            </w:r>
            <w:r w:rsidRPr="00D07F65">
              <w:rPr>
                <w:sz w:val="20"/>
                <w:szCs w:val="20"/>
              </w:rPr>
              <w:t>. Ide o reprezentatívnych zástupcov jednotlivých článkov dodávateľsko-odberateľského reťazca na všetkých úrovniach obchodovania od prvonákupcov a spracovateľov surovín poľnohospodárskej výroby (napr</w:t>
            </w:r>
            <w:r w:rsidR="00316DFA">
              <w:rPr>
                <w:sz w:val="20"/>
                <w:szCs w:val="20"/>
              </w:rPr>
              <w:t>íklad</w:t>
            </w:r>
            <w:r w:rsidRPr="00D07F65">
              <w:rPr>
                <w:sz w:val="20"/>
                <w:szCs w:val="20"/>
              </w:rPr>
              <w:t xml:space="preserve"> mlyny, mliekarne, bitúnky) po zástupcov maloobchodu. Uvedené subjekty oznamujú požadované informácie Pôdohospodárskej platobnej agentúre (ďalej len „</w:t>
            </w:r>
            <w:r w:rsidR="00316DFA">
              <w:rPr>
                <w:sz w:val="20"/>
                <w:szCs w:val="20"/>
              </w:rPr>
              <w:t>platobná agentúra</w:t>
            </w:r>
            <w:r w:rsidRPr="00D07F65">
              <w:rPr>
                <w:sz w:val="20"/>
                <w:szCs w:val="20"/>
              </w:rPr>
              <w:t>“), resp. Národnému poľnohospodárskemu a potravinárskemu centru - Výskumný ústavu ekonomiky poľnohospodárstva a potravinárstva (ďalej len „</w:t>
            </w:r>
            <w:r w:rsidR="00316DFA">
              <w:rPr>
                <w:sz w:val="20"/>
                <w:szCs w:val="20"/>
              </w:rPr>
              <w:t>výskumný ústav</w:t>
            </w:r>
            <w:r w:rsidRPr="00D07F65">
              <w:rPr>
                <w:sz w:val="20"/>
                <w:szCs w:val="20"/>
              </w:rPr>
              <w:t>“).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Povinnosť oznamovať informácie o trhu Európskej komisii (ďalej len „Komisia“) sa vzťahuje na členské štáty</w:t>
            </w:r>
            <w:r w:rsidR="004C4922">
              <w:rPr>
                <w:sz w:val="20"/>
                <w:szCs w:val="20"/>
              </w:rPr>
              <w:t xml:space="preserve"> Európskej únie</w:t>
            </w:r>
            <w:r w:rsidRPr="00D07F65">
              <w:rPr>
                <w:sz w:val="20"/>
                <w:szCs w:val="20"/>
              </w:rPr>
              <w:t xml:space="preserve"> s podielom na produkcii Európskej únie dosahujúc</w:t>
            </w:r>
            <w:r w:rsidR="001266DA">
              <w:rPr>
                <w:sz w:val="20"/>
                <w:szCs w:val="20"/>
              </w:rPr>
              <w:t>i</w:t>
            </w:r>
            <w:r w:rsidR="00B40CCD">
              <w:rPr>
                <w:sz w:val="20"/>
                <w:szCs w:val="20"/>
              </w:rPr>
              <w:t>m</w:t>
            </w:r>
            <w:r w:rsidRPr="00D07F65">
              <w:rPr>
                <w:sz w:val="20"/>
                <w:szCs w:val="20"/>
              </w:rPr>
              <w:t xml:space="preserve"> najmenej 2 % pre jednotlivé komodity alebo 4 %, ak ide o komodity, ktoré sú produktmi ekologickej poľnohospodárskej výroby. Na základe indikatívnej analýzy Komisie (zdroj Eurostat, FAOstat, Komisia - DG Agri atď.) Slovenská republika dosahuje uvedený limit len pri niektorých rastlinných komoditách, ako sú napr</w:t>
            </w:r>
            <w:r w:rsidR="00B40CCD">
              <w:rPr>
                <w:sz w:val="20"/>
                <w:szCs w:val="20"/>
              </w:rPr>
              <w:t>íklad</w:t>
            </w:r>
            <w:r w:rsidR="00B40CCD" w:rsidRPr="00D07F65">
              <w:rPr>
                <w:sz w:val="20"/>
                <w:szCs w:val="20"/>
              </w:rPr>
              <w:t xml:space="preserve"> </w:t>
            </w:r>
            <w:r w:rsidRPr="00D07F65">
              <w:rPr>
                <w:sz w:val="20"/>
                <w:szCs w:val="20"/>
              </w:rPr>
              <w:t xml:space="preserve">sójové bôby, semená slnečnice, semená repky. 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V</w:t>
            </w:r>
            <w:r w:rsidR="006E50D5">
              <w:rPr>
                <w:sz w:val="20"/>
                <w:szCs w:val="20"/>
              </w:rPr>
              <w:t>o</w:t>
            </w:r>
            <w:r w:rsidRPr="00D07F65">
              <w:rPr>
                <w:sz w:val="20"/>
                <w:szCs w:val="20"/>
              </w:rPr>
              <w:t> </w:t>
            </w:r>
            <w:r w:rsidR="006E50D5">
              <w:rPr>
                <w:sz w:val="20"/>
                <w:szCs w:val="20"/>
              </w:rPr>
              <w:t>vykonávacom nariadení (EÚ) 2019/1746</w:t>
            </w:r>
            <w:r w:rsidRPr="00D07F65">
              <w:rPr>
                <w:sz w:val="20"/>
                <w:szCs w:val="20"/>
              </w:rPr>
              <w:t xml:space="preserve"> sú zároveň ustanovené aj povinné oznámenia, ktoré nie sú viazané na podiel členského štátu</w:t>
            </w:r>
            <w:r w:rsidR="00B40CCD">
              <w:rPr>
                <w:sz w:val="20"/>
                <w:szCs w:val="20"/>
              </w:rPr>
              <w:t xml:space="preserve"> Európske</w:t>
            </w:r>
            <w:r w:rsidR="001266DA">
              <w:rPr>
                <w:sz w:val="20"/>
                <w:szCs w:val="20"/>
              </w:rPr>
              <w:t>j</w:t>
            </w:r>
            <w:r w:rsidR="00B40CCD">
              <w:rPr>
                <w:sz w:val="20"/>
                <w:szCs w:val="20"/>
              </w:rPr>
              <w:t xml:space="preserve"> únie</w:t>
            </w:r>
            <w:r w:rsidRPr="00D07F65">
              <w:rPr>
                <w:sz w:val="20"/>
                <w:szCs w:val="20"/>
              </w:rPr>
              <w:t xml:space="preserve"> na produkcii </w:t>
            </w:r>
            <w:r w:rsidR="00B40CCD">
              <w:rPr>
                <w:sz w:val="20"/>
                <w:szCs w:val="20"/>
              </w:rPr>
              <w:t>Európskej únie</w:t>
            </w:r>
            <w:r w:rsidRPr="00D07F65">
              <w:rPr>
                <w:sz w:val="20"/>
                <w:szCs w:val="20"/>
              </w:rPr>
              <w:t xml:space="preserve">. 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Pre mnohé z uvedených ustanovení sa už zber údajov na vnútroštátnej úrovni a aj ich oznamovanie Komisii vykonáva</w:t>
            </w:r>
            <w:r w:rsidR="00B40CCD">
              <w:rPr>
                <w:sz w:val="20"/>
                <w:szCs w:val="20"/>
              </w:rPr>
              <w:t xml:space="preserve"> </w:t>
            </w:r>
            <w:r w:rsidRPr="00D07F65">
              <w:rPr>
                <w:sz w:val="20"/>
                <w:szCs w:val="20"/>
              </w:rPr>
              <w:t>(napr</w:t>
            </w:r>
            <w:r w:rsidR="00B40CCD">
              <w:rPr>
                <w:sz w:val="20"/>
                <w:szCs w:val="20"/>
              </w:rPr>
              <w:t>íklad</w:t>
            </w:r>
            <w:r w:rsidRPr="00D07F65">
              <w:rPr>
                <w:sz w:val="20"/>
                <w:szCs w:val="20"/>
              </w:rPr>
              <w:t xml:space="preserve"> cena a množstvá dodaného surového kravského mlieka prvonákupcom), t.j. väčšina podnikateľských subjektov si už v súčasnosti plní povinnosti spravodajských jednotiek.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Keďže </w:t>
            </w:r>
            <w:r w:rsidR="00B40CCD">
              <w:rPr>
                <w:sz w:val="20"/>
                <w:szCs w:val="20"/>
              </w:rPr>
              <w:t>platobnej agentúre</w:t>
            </w:r>
            <w:r w:rsidRPr="00D07F65">
              <w:rPr>
                <w:sz w:val="20"/>
                <w:szCs w:val="20"/>
              </w:rPr>
              <w:t xml:space="preserve"> pribudnú nové oznámenia (ceny semien repky, slnečnice a sójových bôbov, surového repkového oleja, repkových výliskov, šrotov), bude musieť rozšíriť okruh spravodajských jednotiek </w:t>
            </w:r>
            <w:r w:rsidR="001266DA">
              <w:rPr>
                <w:bCs/>
                <w:sz w:val="20"/>
                <w:szCs w:val="20"/>
              </w:rPr>
              <w:t xml:space="preserve">približne </w:t>
            </w:r>
            <w:r w:rsidRPr="00D07F65">
              <w:rPr>
                <w:bCs/>
                <w:sz w:val="20"/>
                <w:szCs w:val="20"/>
              </w:rPr>
              <w:t>o 100 jednotiek</w:t>
            </w:r>
            <w:r w:rsidRPr="00D07F65">
              <w:rPr>
                <w:sz w:val="20"/>
                <w:szCs w:val="20"/>
              </w:rPr>
              <w:t xml:space="preserve"> tak</w:t>
            </w:r>
            <w:r w:rsidR="0091526E">
              <w:rPr>
                <w:sz w:val="20"/>
                <w:szCs w:val="20"/>
              </w:rPr>
              <w:t>,</w:t>
            </w:r>
            <w:r w:rsidRPr="00D07F65">
              <w:rPr>
                <w:sz w:val="20"/>
                <w:szCs w:val="20"/>
              </w:rPr>
              <w:t xml:space="preserve"> aby bola splnená podmienka relevantnosti 20 % pokrytia trhu.</w:t>
            </w:r>
          </w:p>
          <w:p w:rsidR="00D07F65" w:rsidRPr="00D07F65" w:rsidRDefault="00B40CCD" w:rsidP="00B5245C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Platobná agentúra</w:t>
            </w:r>
            <w:r w:rsidRPr="00D07F65">
              <w:rPr>
                <w:sz w:val="20"/>
                <w:szCs w:val="20"/>
              </w:rPr>
              <w:t xml:space="preserve"> </w:t>
            </w:r>
            <w:r w:rsidR="00D07F65" w:rsidRPr="00D07F6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 výskumný ústav</w:t>
            </w:r>
            <w:r w:rsidR="00D07F65" w:rsidRPr="00D07F65">
              <w:rPr>
                <w:sz w:val="20"/>
                <w:szCs w:val="20"/>
              </w:rPr>
              <w:t xml:space="preserve"> priebežne aktualizujú zoznam spravodajských jednotiek, pričom vychádzajú z registrov schválených podnikateľských subjektov na vnútroštátnej úrovni v zmysle platných právnych predpisov, napr</w:t>
            </w:r>
            <w:r w:rsidR="00F029F2">
              <w:rPr>
                <w:sz w:val="20"/>
                <w:szCs w:val="20"/>
              </w:rPr>
              <w:t>íklad</w:t>
            </w:r>
            <w:r w:rsidR="00D07F65" w:rsidRPr="00D07F65">
              <w:rPr>
                <w:sz w:val="20"/>
                <w:szCs w:val="20"/>
              </w:rPr>
              <w:t xml:space="preserve"> zoznamov schválených potravinárskych prevádzkarní vedených Štátnou veterinárnou a potravinovou správou Slovenskej republiky</w:t>
            </w:r>
            <w:r w:rsidR="001266DA">
              <w:rPr>
                <w:sz w:val="20"/>
                <w:szCs w:val="20"/>
              </w:rPr>
              <w:t>:</w:t>
            </w:r>
          </w:p>
          <w:p w:rsidR="00D07F65" w:rsidRPr="00D07F65" w:rsidRDefault="00D07F65" w:rsidP="00B5245C">
            <w:pPr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</w:t>
            </w:r>
            <w:hyperlink r:id="rId7" w:history="1">
              <w:r w:rsidRPr="00D07F65">
                <w:rPr>
                  <w:rStyle w:val="Hypertextovprepojenie"/>
                  <w:sz w:val="20"/>
                  <w:szCs w:val="20"/>
                </w:rPr>
                <w:t>https://www.svps.sk/potraviny/zoznamy_potraviny.asp?LANG=SK</w:t>
              </w:r>
            </w:hyperlink>
            <w:r w:rsidRPr="00D07F65">
              <w:rPr>
                <w:sz w:val="20"/>
                <w:szCs w:val="20"/>
              </w:rPr>
              <w:t xml:space="preserve">  </w:t>
            </w:r>
          </w:p>
          <w:p w:rsidR="00C90CFA" w:rsidRPr="006E50D5" w:rsidRDefault="00D07F65" w:rsidP="00C90CFA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Z širšieho hľadiska sú návrhom zákona nepriamo pozitívne dotknuté všetky podnikateľské subjekty v sektore poľnohospodárstva, potravinárstva a obchodu vzhľadom na dostupnosť širokého spektra výsledných cenných štatistických informácií (bližšie vysvetlenie v bode 3.4).</w:t>
            </w:r>
            <w:r w:rsidR="00C90CFA">
              <w:t xml:space="preserve"> </w:t>
            </w:r>
            <w:r w:rsidR="00C90CFA" w:rsidRPr="006E50D5">
              <w:rPr>
                <w:sz w:val="20"/>
                <w:szCs w:val="20"/>
              </w:rPr>
              <w:t>Podľa Štatistického úradu Slovenskej republiky bolo koncom 3. Q roka 2020 v Slovenskej republike 24 320 podnikateľských subjektov v poľnohospodárstve, lesníctve alebo rybolove a 5 234 podnikateľských subjektov v oblasti výroby potravín</w:t>
            </w:r>
            <w:r w:rsidR="001266DA">
              <w:rPr>
                <w:sz w:val="20"/>
                <w:szCs w:val="20"/>
              </w:rPr>
              <w:t>, nápojov a tabakových výrobkov:</w:t>
            </w:r>
          </w:p>
          <w:p w:rsidR="00D07F65" w:rsidRDefault="00C90CFA" w:rsidP="00C90CFA">
            <w:pPr>
              <w:ind w:firstLine="284"/>
              <w:jc w:val="both"/>
              <w:rPr>
                <w:sz w:val="20"/>
                <w:szCs w:val="20"/>
              </w:rPr>
            </w:pPr>
            <w:r w:rsidRPr="006E50D5">
              <w:rPr>
                <w:sz w:val="20"/>
                <w:szCs w:val="20"/>
              </w:rPr>
              <w:t xml:space="preserve"> </w:t>
            </w:r>
            <w:hyperlink r:id="rId8" w:anchor="!/view/sk/VBD_SLOVSTAT/og2021qs/v_og2021qs_00_00_00_sk" w:history="1">
              <w:r w:rsidRPr="006E50D5">
                <w:rPr>
                  <w:rStyle w:val="Hypertextovprepojenie"/>
                  <w:sz w:val="20"/>
                  <w:szCs w:val="20"/>
                </w:rPr>
                <w:t>http://datacube.statistics.sk/#!/view/sk/VBD_SLOVSTAT/og2021qs/v_og2021qs_00_00_00_sk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A07DF" w:rsidRPr="00D07F65" w:rsidRDefault="007A07DF" w:rsidP="003255F6">
            <w:pPr>
              <w:ind w:firstLine="284"/>
              <w:jc w:val="both"/>
              <w:rPr>
                <w:sz w:val="20"/>
                <w:szCs w:val="20"/>
              </w:rPr>
            </w:pPr>
            <w:r w:rsidRPr="007A07DF">
              <w:rPr>
                <w:sz w:val="20"/>
                <w:szCs w:val="20"/>
              </w:rPr>
              <w:t>Vzhľadom na to, že návrho</w:t>
            </w:r>
            <w:r>
              <w:rPr>
                <w:sz w:val="20"/>
                <w:szCs w:val="20"/>
              </w:rPr>
              <w:t xml:space="preserve">m zákona sa okrem iného zavádza tzv. vylúčenie odkladného účinku, bude mať tento pozitívny </w:t>
            </w:r>
            <w:r w:rsidR="00F029F2">
              <w:rPr>
                <w:sz w:val="20"/>
                <w:szCs w:val="20"/>
              </w:rPr>
              <w:t xml:space="preserve">vplyv </w:t>
            </w:r>
            <w:r>
              <w:rPr>
                <w:sz w:val="20"/>
                <w:szCs w:val="20"/>
              </w:rPr>
              <w:t xml:space="preserve">na </w:t>
            </w:r>
            <w:r w:rsidRPr="007A07DF">
              <w:rPr>
                <w:sz w:val="20"/>
                <w:szCs w:val="20"/>
              </w:rPr>
              <w:t>likviditu poľnohospodárov</w:t>
            </w:r>
            <w:r>
              <w:rPr>
                <w:sz w:val="20"/>
                <w:szCs w:val="20"/>
              </w:rPr>
              <w:t>.</w:t>
            </w:r>
          </w:p>
        </w:tc>
      </w:tr>
      <w:tr w:rsidR="00D07F65" w:rsidRPr="00D07F65" w:rsidTr="00B5245C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3.2 Vyhodnotenie konzultácií</w:t>
            </w:r>
          </w:p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     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Ako dlho trvali konzultácie?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D07F65" w:rsidRPr="00D07F65" w:rsidTr="00B5245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lastRenderedPageBreak/>
              <w:t>Predbežná informácia bola dňa 14.</w:t>
            </w:r>
            <w:r w:rsidR="00BD07AE">
              <w:rPr>
                <w:sz w:val="20"/>
                <w:szCs w:val="20"/>
              </w:rPr>
              <w:t xml:space="preserve"> </w:t>
            </w:r>
            <w:r w:rsidR="00F029F2">
              <w:rPr>
                <w:sz w:val="20"/>
                <w:szCs w:val="20"/>
              </w:rPr>
              <w:t xml:space="preserve">mája </w:t>
            </w:r>
            <w:r w:rsidRPr="00D07F65">
              <w:rPr>
                <w:sz w:val="20"/>
                <w:szCs w:val="20"/>
              </w:rPr>
              <w:t>2020 uverejnená na portáli Slov-lex pod číslom PI/2020/79 s trvaním pripomienkového konania  do 27.</w:t>
            </w:r>
            <w:r w:rsidR="00F029F2">
              <w:rPr>
                <w:sz w:val="20"/>
                <w:szCs w:val="20"/>
              </w:rPr>
              <w:t xml:space="preserve"> mája </w:t>
            </w:r>
            <w:r w:rsidRPr="00D07F65">
              <w:rPr>
                <w:sz w:val="20"/>
                <w:szCs w:val="20"/>
              </w:rPr>
              <w:t>2020. V priebehu procesu neboli vznesené pripomienky.</w:t>
            </w:r>
          </w:p>
          <w:p w:rsidR="00D07F65" w:rsidRPr="00D07F65" w:rsidRDefault="00D07F65" w:rsidP="00F029F2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Podklad na konzultácie bol zároveň uverejnený dňa 14.</w:t>
            </w:r>
            <w:r w:rsidR="00F029F2">
              <w:rPr>
                <w:sz w:val="20"/>
                <w:szCs w:val="20"/>
              </w:rPr>
              <w:t xml:space="preserve"> mája </w:t>
            </w:r>
            <w:r w:rsidRPr="00D07F65">
              <w:rPr>
                <w:sz w:val="20"/>
                <w:szCs w:val="20"/>
              </w:rPr>
              <w:t xml:space="preserve">2020 na webovom sídle </w:t>
            </w:r>
            <w:r w:rsidR="00F029F2">
              <w:rPr>
                <w:sz w:val="20"/>
                <w:szCs w:val="20"/>
              </w:rPr>
              <w:t>Ministerstva pôdohospodárstva a rozvoja vidieka Slovenskej republiky</w:t>
            </w:r>
            <w:r w:rsidR="00F029F2" w:rsidRPr="00D07F65">
              <w:rPr>
                <w:sz w:val="20"/>
                <w:szCs w:val="20"/>
              </w:rPr>
              <w:t xml:space="preserve"> </w:t>
            </w:r>
            <w:r w:rsidRPr="00D07F65">
              <w:rPr>
                <w:sz w:val="20"/>
                <w:szCs w:val="20"/>
              </w:rPr>
              <w:t>s dobou trvania konzultácií od 15.</w:t>
            </w:r>
            <w:r w:rsidR="00F029F2">
              <w:rPr>
                <w:sz w:val="20"/>
                <w:szCs w:val="20"/>
              </w:rPr>
              <w:t xml:space="preserve"> mája 2020</w:t>
            </w:r>
            <w:r w:rsidRPr="00D07F65">
              <w:rPr>
                <w:sz w:val="20"/>
                <w:szCs w:val="20"/>
              </w:rPr>
              <w:t xml:space="preserve"> do 12.</w:t>
            </w:r>
            <w:r w:rsidR="00F029F2">
              <w:rPr>
                <w:sz w:val="20"/>
                <w:szCs w:val="20"/>
              </w:rPr>
              <w:t xml:space="preserve"> júna </w:t>
            </w:r>
            <w:r w:rsidRPr="00D07F65">
              <w:rPr>
                <w:sz w:val="20"/>
                <w:szCs w:val="20"/>
              </w:rPr>
              <w:t xml:space="preserve">2020. </w:t>
            </w:r>
            <w:r w:rsidRPr="007A07DF">
              <w:rPr>
                <w:sz w:val="20"/>
                <w:szCs w:val="20"/>
              </w:rPr>
              <w:t xml:space="preserve">O konzultáciu </w:t>
            </w:r>
            <w:r w:rsidR="007A07DF">
              <w:rPr>
                <w:sz w:val="20"/>
                <w:szCs w:val="20"/>
              </w:rPr>
              <w:t>nepožiadali</w:t>
            </w:r>
            <w:r w:rsidRPr="007A07DF">
              <w:rPr>
                <w:sz w:val="20"/>
                <w:szCs w:val="20"/>
              </w:rPr>
              <w:t xml:space="preserve"> </w:t>
            </w:r>
            <w:r w:rsidR="007A07DF">
              <w:rPr>
                <w:sz w:val="20"/>
                <w:szCs w:val="20"/>
              </w:rPr>
              <w:t>žiadne subjekty.</w:t>
            </w: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3.3 Náklady regulácie</w:t>
            </w:r>
          </w:p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    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</w:p>
          <w:p w:rsidR="00D07F65" w:rsidRPr="00D07F65" w:rsidRDefault="00D07F65" w:rsidP="00B5245C">
            <w:pPr>
              <w:ind w:firstLine="284"/>
              <w:rPr>
                <w:b/>
                <w:i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Návrh zákona nezakladá priame finančné vplyvy na podnikateľské prostredie.</w:t>
            </w:r>
          </w:p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sz w:val="20"/>
                <w:szCs w:val="20"/>
              </w:rPr>
            </w:pP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Nepredpoklad</w:t>
            </w:r>
            <w:r w:rsidR="00D0764D">
              <w:rPr>
                <w:sz w:val="20"/>
                <w:szCs w:val="20"/>
              </w:rPr>
              <w:t>ajú sa</w:t>
            </w:r>
            <w:r w:rsidRPr="00D07F65">
              <w:rPr>
                <w:sz w:val="20"/>
                <w:szCs w:val="20"/>
              </w:rPr>
              <w:t xml:space="preserve"> žiadne významné dosahy návrhu zákona, pokiaľ ide o finančné náklady na nákup tovarov či služieb</w:t>
            </w:r>
            <w:r w:rsidR="00BD07AE">
              <w:rPr>
                <w:sz w:val="20"/>
                <w:szCs w:val="20"/>
              </w:rPr>
              <w:t>,</w:t>
            </w:r>
            <w:r w:rsidRPr="00D07F65">
              <w:rPr>
                <w:sz w:val="20"/>
                <w:szCs w:val="20"/>
              </w:rPr>
              <w:t xml:space="preserve"> ani pokiaľ ide o náklady súvisiace so zamestnávaním. 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Na strane spravodajských jednotiek je administratívna záťaž (pravidelné vypĺňanie formulára) podľa doterajších skúseností prenesená spravidla na jednu zodpovednú osobu, pričom nejde o rozsah prác, ktoré by si vyžadovali zriadenie nového pracovného miesta.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Pokiaľ ide o súčinnosť pri kontrole na mieste </w:t>
            </w:r>
            <w:r w:rsidR="00D0764D">
              <w:rPr>
                <w:sz w:val="20"/>
                <w:szCs w:val="20"/>
              </w:rPr>
              <w:t>platobnou agentúrou</w:t>
            </w:r>
            <w:r w:rsidRPr="00D07F65">
              <w:rPr>
                <w:sz w:val="20"/>
                <w:szCs w:val="20"/>
              </w:rPr>
              <w:t xml:space="preserve"> (ďalej len „kontrola“), zo strany kontrolovaného podnikateľa sa vyžaduje prítomnosť osoby oprávnenej podávať informácie a ďalšej osoby, ktorá sa na kontrole zúčastňuje (t.j. zvyčajne dve osoby za kontrolovaný subjekt). Dĺžka kontroly spravidla nepresahuje dve hodiny. Kontrolované subjekty, ktoré nemali pri kontrole zistené chyby, sa v nasledujúcom roku do výberu spravodajských jednotiek nezaradia. Frekvencia kontrol pri subjektoch, ktoré si plnia povinnosti, teda predstavuje menej ako 1 kontrolu ročne. (Viac informácií o organizácii kontrol uvádzame v bode 3.3.3.)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Pokiaľ ide o finančné náklady na nákup tovarov či služieb, predpokladá sa, že nové dotknuté jednotky budú právnické osoby, ktoré v zmysle platných právnych predpisov účtujú v systéme podvojného účtovníctva. Z uvedeného systému budú vychádzať aj pri vypĺňaní údajov do formulárov </w:t>
            </w:r>
            <w:r w:rsidR="00D0764D">
              <w:rPr>
                <w:sz w:val="20"/>
                <w:szCs w:val="20"/>
              </w:rPr>
              <w:t>platobnej agentúry</w:t>
            </w:r>
            <w:r w:rsidR="00353903">
              <w:rPr>
                <w:sz w:val="20"/>
                <w:szCs w:val="20"/>
              </w:rPr>
              <w:t xml:space="preserve">, t.j. údaje budú vypĺňať </w:t>
            </w:r>
            <w:r w:rsidRPr="00D07F65">
              <w:rPr>
                <w:sz w:val="20"/>
                <w:szCs w:val="20"/>
              </w:rPr>
              <w:t xml:space="preserve">na základe vystavených faktúr za konkrétne obdobie. Nákup osobitného softvéru pre účely vypĺňania formulárov zasielaných na </w:t>
            </w:r>
            <w:r w:rsidR="00D0764D">
              <w:rPr>
                <w:sz w:val="20"/>
                <w:szCs w:val="20"/>
              </w:rPr>
              <w:t>platobnú agentúru</w:t>
            </w:r>
            <w:r w:rsidRPr="00D07F65">
              <w:rPr>
                <w:sz w:val="20"/>
                <w:szCs w:val="20"/>
              </w:rPr>
              <w:t xml:space="preserve"> sa nevyžaduje. Postačuje, aby mala spravodajská jednotka v PC nainštalovaný kancelársky balík MS OFFICE a prístup na internet. Predpokladá sa, že takýmto vybavením už dotknuté podnikateľské subjekty disponujú.</w:t>
            </w:r>
          </w:p>
          <w:p w:rsidR="00D07F65" w:rsidRPr="00D07F65" w:rsidRDefault="00D07F65" w:rsidP="00B5245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b/>
                <w:i/>
                <w:sz w:val="20"/>
                <w:szCs w:val="20"/>
              </w:rPr>
            </w:pP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Zvýšenie administratívnych dosahov na podnikateľov, ktorí sú už v súčasnosti spravodajskými jednotkami v zmysle zákona č. 280/2017 Z. z.</w:t>
            </w:r>
            <w:r w:rsidRPr="00D07F65">
              <w:rPr>
                <w:rStyle w:val="Odkaznapoznmkupodiarou"/>
                <w:sz w:val="20"/>
                <w:szCs w:val="20"/>
              </w:rPr>
              <w:footnoteReference w:id="1"/>
            </w:r>
            <w:r w:rsidRPr="00D07F65">
              <w:rPr>
                <w:sz w:val="20"/>
                <w:szCs w:val="20"/>
              </w:rPr>
              <w:t xml:space="preserve">), bude uplatňovaním </w:t>
            </w:r>
            <w:r w:rsidR="006E50D5">
              <w:rPr>
                <w:sz w:val="20"/>
                <w:szCs w:val="20"/>
              </w:rPr>
              <w:t xml:space="preserve"> vykonávacieho </w:t>
            </w:r>
            <w:r w:rsidRPr="00D07F65">
              <w:rPr>
                <w:sz w:val="20"/>
                <w:szCs w:val="20"/>
              </w:rPr>
              <w:t xml:space="preserve">nariadenia </w:t>
            </w:r>
            <w:r w:rsidR="006E50D5">
              <w:rPr>
                <w:sz w:val="20"/>
                <w:szCs w:val="20"/>
              </w:rPr>
              <w:t>(EÚ) 2019/1746</w:t>
            </w:r>
            <w:r w:rsidRPr="00D07F65">
              <w:rPr>
                <w:sz w:val="20"/>
                <w:szCs w:val="20"/>
              </w:rPr>
              <w:t xml:space="preserve"> a uplatňovaním návrhu zákona minimálne a bude spočívať v oznamovaní niektorých nových informácií podnikateľských subjektov </w:t>
            </w:r>
            <w:r w:rsidR="004519A1">
              <w:rPr>
                <w:sz w:val="20"/>
                <w:szCs w:val="20"/>
              </w:rPr>
              <w:t>platobnej agentúre</w:t>
            </w:r>
            <w:r w:rsidR="00072DBD">
              <w:rPr>
                <w:sz w:val="20"/>
                <w:szCs w:val="20"/>
              </w:rPr>
              <w:t xml:space="preserve"> </w:t>
            </w:r>
            <w:r w:rsidRPr="00D07F65">
              <w:rPr>
                <w:sz w:val="20"/>
                <w:szCs w:val="20"/>
              </w:rPr>
              <w:t xml:space="preserve">a </w:t>
            </w:r>
            <w:r w:rsidR="004519A1">
              <w:rPr>
                <w:sz w:val="20"/>
                <w:szCs w:val="20"/>
              </w:rPr>
              <w:t>výskumnému ústavu</w:t>
            </w:r>
            <w:r w:rsidRPr="00D07F65">
              <w:rPr>
                <w:sz w:val="20"/>
                <w:szCs w:val="20"/>
              </w:rPr>
              <w:t>. Nepredpoklad</w:t>
            </w:r>
            <w:r w:rsidR="004519A1">
              <w:rPr>
                <w:sz w:val="20"/>
                <w:szCs w:val="20"/>
              </w:rPr>
              <w:t>ajú sa</w:t>
            </w:r>
            <w:r w:rsidRPr="00D07F65">
              <w:rPr>
                <w:sz w:val="20"/>
                <w:szCs w:val="20"/>
              </w:rPr>
              <w:t xml:space="preserve"> však zmeny systému komunikácie medzi podnikateľskými subjektmi a</w:t>
            </w:r>
            <w:r w:rsidR="004519A1">
              <w:rPr>
                <w:sz w:val="20"/>
                <w:szCs w:val="20"/>
              </w:rPr>
              <w:t> platobnou agentúrou</w:t>
            </w:r>
            <w:r w:rsidRPr="00D07F65">
              <w:rPr>
                <w:sz w:val="20"/>
                <w:szCs w:val="20"/>
              </w:rPr>
              <w:t xml:space="preserve">, resp. </w:t>
            </w:r>
            <w:r w:rsidR="004519A1">
              <w:rPr>
                <w:sz w:val="20"/>
                <w:szCs w:val="20"/>
              </w:rPr>
              <w:t>výskumným ústavom</w:t>
            </w:r>
            <w:r w:rsidRPr="00D07F65">
              <w:rPr>
                <w:sz w:val="20"/>
                <w:szCs w:val="20"/>
              </w:rPr>
              <w:t xml:space="preserve">, požadované nové informácie budú zreteľne zavedené v doteraz používaných formulároch. 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Napríklad </w:t>
            </w:r>
            <w:r w:rsidR="006E50D5">
              <w:rPr>
                <w:sz w:val="20"/>
                <w:szCs w:val="20"/>
              </w:rPr>
              <w:t xml:space="preserve">vykonávacie </w:t>
            </w:r>
            <w:r w:rsidRPr="00D07F65">
              <w:rPr>
                <w:sz w:val="20"/>
                <w:szCs w:val="20"/>
              </w:rPr>
              <w:t xml:space="preserve">nariadenie </w:t>
            </w:r>
            <w:r w:rsidR="006E50D5">
              <w:rPr>
                <w:sz w:val="20"/>
                <w:szCs w:val="20"/>
              </w:rPr>
              <w:t>(EÚ) 2019/1746</w:t>
            </w:r>
            <w:r w:rsidRPr="00D07F65">
              <w:rPr>
                <w:sz w:val="20"/>
                <w:szCs w:val="20"/>
              </w:rPr>
              <w:t xml:space="preserve"> ustanovuje nové povinné oznamovanie ceny surového kravského mlieka z ekologickej výroby. Prvonákupcovia </w:t>
            </w:r>
            <w:r w:rsidR="00A32E9C" w:rsidRPr="00D07F65">
              <w:rPr>
                <w:sz w:val="20"/>
                <w:szCs w:val="20"/>
              </w:rPr>
              <w:t xml:space="preserve">surového kravského mlieka </w:t>
            </w:r>
            <w:r w:rsidRPr="00D07F65">
              <w:rPr>
                <w:sz w:val="20"/>
                <w:szCs w:val="20"/>
              </w:rPr>
              <w:t xml:space="preserve">z ekologickej výroby v súčasnosti neoznamujú cenu </w:t>
            </w:r>
            <w:r w:rsidR="00A32E9C" w:rsidRPr="00D07F65">
              <w:rPr>
                <w:sz w:val="20"/>
                <w:szCs w:val="20"/>
              </w:rPr>
              <w:t>surového kravského mlieka</w:t>
            </w:r>
            <w:r w:rsidRPr="00D07F65">
              <w:rPr>
                <w:sz w:val="20"/>
                <w:szCs w:val="20"/>
              </w:rPr>
              <w:t xml:space="preserve"> z ekologickej výroby zvlášť, je zahrnutá v rámci oznamovanej celkovej ceny všetkého nakúpeného </w:t>
            </w:r>
            <w:r w:rsidR="00A32E9C" w:rsidRPr="00D07F65">
              <w:rPr>
                <w:sz w:val="20"/>
                <w:szCs w:val="20"/>
              </w:rPr>
              <w:t>surového kravského mlieka</w:t>
            </w:r>
            <w:r w:rsidRPr="00D07F65">
              <w:rPr>
                <w:sz w:val="20"/>
                <w:szCs w:val="20"/>
              </w:rPr>
              <w:t xml:space="preserve">. Od 1. </w:t>
            </w:r>
            <w:r w:rsidR="00C37032">
              <w:rPr>
                <w:sz w:val="20"/>
                <w:szCs w:val="20"/>
              </w:rPr>
              <w:t>januára</w:t>
            </w:r>
            <w:r w:rsidRPr="00D07F65">
              <w:rPr>
                <w:sz w:val="20"/>
                <w:szCs w:val="20"/>
              </w:rPr>
              <w:t xml:space="preserve"> 2021 už budú prvonákupcovia </w:t>
            </w:r>
            <w:r w:rsidR="00A32E9C" w:rsidRPr="00D07F65">
              <w:rPr>
                <w:sz w:val="20"/>
                <w:szCs w:val="20"/>
              </w:rPr>
              <w:t xml:space="preserve">surového kravského mlieka </w:t>
            </w:r>
            <w:r w:rsidRPr="00D07F65">
              <w:rPr>
                <w:sz w:val="20"/>
                <w:szCs w:val="20"/>
              </w:rPr>
              <w:t xml:space="preserve">oznamovať zvlášť cenu všetkého nakúpeného </w:t>
            </w:r>
            <w:r w:rsidR="00A32E9C" w:rsidRPr="00D07F65">
              <w:rPr>
                <w:sz w:val="20"/>
                <w:szCs w:val="20"/>
              </w:rPr>
              <w:t>surového kravského mlieka</w:t>
            </w:r>
            <w:r w:rsidRPr="00D07F65">
              <w:rPr>
                <w:sz w:val="20"/>
                <w:szCs w:val="20"/>
              </w:rPr>
              <w:t xml:space="preserve"> a z toho zvlášť cenu </w:t>
            </w:r>
            <w:r w:rsidR="00A32E9C" w:rsidRPr="00D07F65">
              <w:rPr>
                <w:sz w:val="20"/>
                <w:szCs w:val="20"/>
              </w:rPr>
              <w:t>surového kravského mlieka</w:t>
            </w:r>
            <w:r w:rsidRPr="00D07F65">
              <w:rPr>
                <w:sz w:val="20"/>
                <w:szCs w:val="20"/>
              </w:rPr>
              <w:t xml:space="preserve"> z ekologickej výroby.</w:t>
            </w:r>
          </w:p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lastRenderedPageBreak/>
              <w:t xml:space="preserve">Pokiaľ ide o nové dotknuté podnikateľské subjekty, predpokladá sa, že všetky dotknuté jednotky budú zasielať informácie na </w:t>
            </w:r>
            <w:r w:rsidR="004519A1">
              <w:rPr>
                <w:sz w:val="20"/>
                <w:szCs w:val="20"/>
              </w:rPr>
              <w:t>platobnú agentúru</w:t>
            </w:r>
            <w:r w:rsidR="004519A1" w:rsidRPr="00D07F65">
              <w:rPr>
                <w:sz w:val="20"/>
                <w:szCs w:val="20"/>
              </w:rPr>
              <w:t xml:space="preserve"> </w:t>
            </w:r>
            <w:r w:rsidRPr="00D07F65">
              <w:rPr>
                <w:sz w:val="20"/>
                <w:szCs w:val="20"/>
              </w:rPr>
              <w:t xml:space="preserve">elektronicky (mailom, výnimočne faxom). Nepredpokladá sa zasielanie informácií poštou vzhľadom na frekvenciu oznámení (podľa druhu údajov najmä jedenkrát týždenne (ceny), ale sú aj oznámenia s mesačnou a ročnou frekvenciou) a potrebu dodržania termínov zo strany spravodajskej jednotky voči </w:t>
            </w:r>
            <w:r w:rsidR="004519A1">
              <w:rPr>
                <w:sz w:val="20"/>
                <w:szCs w:val="20"/>
              </w:rPr>
              <w:t>platobnej agentúre</w:t>
            </w:r>
            <w:r w:rsidR="00A32E9C">
              <w:rPr>
                <w:sz w:val="20"/>
                <w:szCs w:val="20"/>
              </w:rPr>
              <w:t>,</w:t>
            </w:r>
            <w:r w:rsidR="004519A1" w:rsidRPr="00D07F65">
              <w:rPr>
                <w:sz w:val="20"/>
                <w:szCs w:val="20"/>
              </w:rPr>
              <w:t xml:space="preserve"> </w:t>
            </w:r>
            <w:r w:rsidRPr="00D07F65">
              <w:rPr>
                <w:sz w:val="20"/>
                <w:szCs w:val="20"/>
              </w:rPr>
              <w:t xml:space="preserve">ako aj zo strany </w:t>
            </w:r>
            <w:r w:rsidR="004519A1">
              <w:rPr>
                <w:sz w:val="20"/>
                <w:szCs w:val="20"/>
              </w:rPr>
              <w:t>platobnej agentúry</w:t>
            </w:r>
            <w:r w:rsidRPr="00D07F65">
              <w:rPr>
                <w:sz w:val="20"/>
                <w:szCs w:val="20"/>
              </w:rPr>
              <w:t xml:space="preserve"> voči Komisii.</w:t>
            </w:r>
          </w:p>
          <w:p w:rsidR="00D07F65" w:rsidRPr="00D07F65" w:rsidRDefault="00D07F65" w:rsidP="00B5245C">
            <w:pPr>
              <w:pStyle w:val="Odsekzoznamu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07F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Záťaž podnikateľov z pohľadu povinnosti súčinnosti pri kontrolách spočíva najmä v poskytnutí podkladov vyžiadaných zo strany </w:t>
            </w:r>
            <w:r w:rsidR="00E36C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platobnej agentúry</w:t>
            </w:r>
            <w:r w:rsidR="00E36C98" w:rsidRPr="00D07F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D07F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v zodpovedaní doplňujúcich otázok. Podľa súčasných pravidiel počet vybraných spravodajských jednotiek s ohľadom na chybovosť predkladaných údajov pokrýva minimálne 5 % vzorky respondentov. Pri počte 100 nových spravodajských jednotiek ide o 5 kontrolovaných subjektov ročne. Kontrolované subjekty, ktoré nemali pri kontrolách zistené chyby, sa v nasledujúcom roku do výberu kontrolovaných spravodajských jednotiek nezaradia. </w:t>
            </w:r>
          </w:p>
          <w:p w:rsidR="00D07F65" w:rsidRPr="00D07F65" w:rsidRDefault="00D07F65" w:rsidP="00B5245C">
            <w:pPr>
              <w:pStyle w:val="Odsekzoznamu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7F65" w:rsidRPr="00D07F65" w:rsidTr="00B5245C">
        <w:trPr>
          <w:trHeight w:val="19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b/>
                <w:i/>
                <w:sz w:val="20"/>
                <w:szCs w:val="20"/>
              </w:rPr>
              <w:lastRenderedPageBreak/>
              <w:t>3.3.4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07F65" w:rsidRPr="00D07F65" w:rsidTr="00B5245C">
              <w:tc>
                <w:tcPr>
                  <w:tcW w:w="2993" w:type="dxa"/>
                </w:tcPr>
                <w:p w:rsidR="00D07F65" w:rsidRPr="00D07F65" w:rsidRDefault="00D07F65" w:rsidP="00B5245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D07F65" w:rsidRPr="00D07F65" w:rsidTr="00B5245C">
              <w:tc>
                <w:tcPr>
                  <w:tcW w:w="2993" w:type="dxa"/>
                </w:tcPr>
                <w:p w:rsidR="00D07F65" w:rsidRPr="00D07F65" w:rsidRDefault="00D07F65" w:rsidP="00B5245C">
                  <w:pPr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D07F65" w:rsidRPr="00D07F65" w:rsidTr="00B5245C">
              <w:tc>
                <w:tcPr>
                  <w:tcW w:w="2993" w:type="dxa"/>
                </w:tcPr>
                <w:p w:rsidR="00D07F65" w:rsidRPr="00D07F65" w:rsidRDefault="00D07F65" w:rsidP="00B5245C">
                  <w:pPr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D07F65" w:rsidRPr="00D07F65" w:rsidTr="00B5245C">
              <w:tc>
                <w:tcPr>
                  <w:tcW w:w="2993" w:type="dxa"/>
                </w:tcPr>
                <w:p w:rsidR="00D07F65" w:rsidRPr="00D07F65" w:rsidRDefault="00D07F65" w:rsidP="00B5245C">
                  <w:pPr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Nemožno vyčísliť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F65">
                    <w:rPr>
                      <w:i/>
                      <w:sz w:val="20"/>
                      <w:szCs w:val="20"/>
                    </w:rPr>
                    <w:t>Nemožno vyčísliť</w:t>
                  </w:r>
                </w:p>
              </w:tc>
            </w:tr>
            <w:tr w:rsidR="00D07F65" w:rsidRPr="00D07F65" w:rsidTr="00B5245C">
              <w:tc>
                <w:tcPr>
                  <w:tcW w:w="2993" w:type="dxa"/>
                </w:tcPr>
                <w:p w:rsidR="00D07F65" w:rsidRPr="00D07F65" w:rsidRDefault="00D07F65" w:rsidP="00B5245C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D07F65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07F65">
                    <w:rPr>
                      <w:b/>
                      <w:i/>
                      <w:sz w:val="20"/>
                      <w:szCs w:val="20"/>
                    </w:rPr>
                    <w:t>Nemožno vyčísliť</w:t>
                  </w:r>
                </w:p>
              </w:tc>
              <w:tc>
                <w:tcPr>
                  <w:tcW w:w="2994" w:type="dxa"/>
                </w:tcPr>
                <w:p w:rsidR="00D07F65" w:rsidRPr="00D07F65" w:rsidRDefault="00D07F65" w:rsidP="00B5245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07F65">
                    <w:rPr>
                      <w:b/>
                      <w:i/>
                      <w:sz w:val="20"/>
                      <w:szCs w:val="20"/>
                    </w:rPr>
                    <w:t>Nemožno vyčísliť</w:t>
                  </w:r>
                </w:p>
              </w:tc>
            </w:tr>
          </w:tbl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>3.4 Konkurencieschopnosť a správanie sa podnikov na trhu</w:t>
            </w:r>
          </w:p>
          <w:p w:rsidR="00D07F65" w:rsidRPr="00D07F65" w:rsidRDefault="00D07F65" w:rsidP="00B5245C">
            <w:pPr>
              <w:rPr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 xml:space="preserve">       </w:t>
            </w:r>
            <w:r w:rsidRPr="00D07F65">
              <w:rPr>
                <w:sz w:val="20"/>
                <w:szCs w:val="20"/>
              </w:rPr>
              <w:t xml:space="preserve">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D07F65" w:rsidRPr="00D07F65" w:rsidTr="00B5245C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D07F65" w:rsidRP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Predpokladá</w:t>
            </w:r>
            <w:r w:rsidR="00E36C98">
              <w:rPr>
                <w:sz w:val="20"/>
                <w:szCs w:val="20"/>
              </w:rPr>
              <w:t xml:space="preserve"> sa</w:t>
            </w:r>
            <w:r w:rsidRPr="00D07F65">
              <w:rPr>
                <w:sz w:val="20"/>
                <w:szCs w:val="20"/>
              </w:rPr>
              <w:t xml:space="preserve"> pozitívny vplyv návrhu zákona na konkurencieschopnosť podnikov vyplývajúci z rovnakého prístupu podnikateľských subjektov v sektore poľnohospodárstva, potravinárstva a obchodu k informáciám o produkcii a cenách jednotlivých surovín z poľnohospodárskej produkcie a výrobkov z nich </w:t>
            </w:r>
            <w:r w:rsidR="00A32E9C">
              <w:rPr>
                <w:sz w:val="20"/>
                <w:szCs w:val="20"/>
              </w:rPr>
              <w:t>a ďalším súvisiacim informáciám</w:t>
            </w:r>
            <w:r w:rsidRPr="00D07F65">
              <w:rPr>
                <w:sz w:val="20"/>
                <w:szCs w:val="20"/>
              </w:rPr>
              <w:t xml:space="preserve"> na vnútroštátnej úrovni, ako aj na úrovni </w:t>
            </w:r>
            <w:r w:rsidR="00E36C98">
              <w:rPr>
                <w:sz w:val="20"/>
                <w:szCs w:val="20"/>
              </w:rPr>
              <w:t>Európskej ú</w:t>
            </w:r>
            <w:r w:rsidRPr="00D07F65">
              <w:rPr>
                <w:sz w:val="20"/>
                <w:szCs w:val="20"/>
              </w:rPr>
              <w:t xml:space="preserve">nie. Uvedené informácie sú pre podnikateľov nevyhnutnosťou pre zhodnotenie situácie na trhu a následné plánovanie druhu a objemu produkcie a obchodných aktivít. Na vnútroštátnej úrovni bude naďalej informácie v podobe priemerných údajov uverejňovať </w:t>
            </w:r>
            <w:r w:rsidR="00E36C98">
              <w:rPr>
                <w:sz w:val="20"/>
                <w:szCs w:val="20"/>
              </w:rPr>
              <w:t>platobná agentúra</w:t>
            </w:r>
            <w:r w:rsidRPr="00D07F65">
              <w:rPr>
                <w:sz w:val="20"/>
                <w:szCs w:val="20"/>
              </w:rPr>
              <w:t xml:space="preserve"> (správy o trhu, cenové prehľady) a </w:t>
            </w:r>
            <w:r w:rsidR="00E36C98">
              <w:rPr>
                <w:sz w:val="20"/>
                <w:szCs w:val="20"/>
              </w:rPr>
              <w:t>výskumný ústav</w:t>
            </w:r>
            <w:r w:rsidR="00E36C98" w:rsidRPr="00D07F65">
              <w:rPr>
                <w:sz w:val="20"/>
                <w:szCs w:val="20"/>
              </w:rPr>
              <w:t xml:space="preserve"> </w:t>
            </w:r>
            <w:r w:rsidRPr="00D07F65">
              <w:rPr>
                <w:sz w:val="20"/>
                <w:szCs w:val="20"/>
              </w:rPr>
              <w:t>(rezortná štatistika). V podobe priemerných údajov za jednotlivé členské štáty</w:t>
            </w:r>
            <w:r w:rsidR="00A32E9C">
              <w:rPr>
                <w:sz w:val="20"/>
                <w:szCs w:val="20"/>
              </w:rPr>
              <w:t xml:space="preserve"> Európskej únie</w:t>
            </w:r>
            <w:r w:rsidRPr="00D07F65">
              <w:rPr>
                <w:sz w:val="20"/>
                <w:szCs w:val="20"/>
              </w:rPr>
              <w:t xml:space="preserve"> a za celú</w:t>
            </w:r>
            <w:r w:rsidR="00E36C98">
              <w:rPr>
                <w:sz w:val="20"/>
                <w:szCs w:val="20"/>
              </w:rPr>
              <w:t xml:space="preserve"> Európsku</w:t>
            </w:r>
            <w:r w:rsidRPr="00D07F65">
              <w:rPr>
                <w:sz w:val="20"/>
                <w:szCs w:val="20"/>
              </w:rPr>
              <w:t xml:space="preserve"> </w:t>
            </w:r>
            <w:r w:rsidR="00E36C98">
              <w:rPr>
                <w:sz w:val="20"/>
                <w:szCs w:val="20"/>
              </w:rPr>
              <w:t>ú</w:t>
            </w:r>
            <w:r w:rsidRPr="00D07F65">
              <w:rPr>
                <w:sz w:val="20"/>
                <w:szCs w:val="20"/>
              </w:rPr>
              <w:t xml:space="preserve">niu uverejňuje predmetné informácie Komisia. </w:t>
            </w:r>
          </w:p>
          <w:p w:rsidR="00D07F65" w:rsidRDefault="00D07F65" w:rsidP="00B5245C">
            <w:pPr>
              <w:ind w:firstLine="284"/>
              <w:jc w:val="both"/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Informácie budú uplatňovaním </w:t>
            </w:r>
            <w:r w:rsidR="006E50D5">
              <w:rPr>
                <w:sz w:val="20"/>
                <w:szCs w:val="20"/>
              </w:rPr>
              <w:t xml:space="preserve">vykonávacieho </w:t>
            </w:r>
            <w:r w:rsidRPr="00D07F65">
              <w:rPr>
                <w:sz w:val="20"/>
                <w:szCs w:val="20"/>
              </w:rPr>
              <w:t xml:space="preserve">nariadenia </w:t>
            </w:r>
            <w:r w:rsidR="006E50D5">
              <w:rPr>
                <w:sz w:val="20"/>
                <w:szCs w:val="20"/>
              </w:rPr>
              <w:t>(EÚ) 2019/1746</w:t>
            </w:r>
            <w:r w:rsidRPr="00D07F65">
              <w:rPr>
                <w:sz w:val="20"/>
                <w:szCs w:val="20"/>
              </w:rPr>
              <w:t xml:space="preserve"> a návrhu zákona početnejšie, so širším záberom v rámci dodávateľsko-odberateľského reťazca. Informácie budú zároveň na úrovni Komisie a jednotlivých členských štátov</w:t>
            </w:r>
            <w:r w:rsidR="00E36C98">
              <w:rPr>
                <w:sz w:val="20"/>
                <w:szCs w:val="20"/>
              </w:rPr>
              <w:t xml:space="preserve"> Európskej únie</w:t>
            </w:r>
            <w:r w:rsidRPr="00D07F65">
              <w:rPr>
                <w:sz w:val="20"/>
                <w:szCs w:val="20"/>
              </w:rPr>
              <w:t xml:space="preserve"> aj transparentnejšie v porovnaní so súčasným stavom vzhľadom na ich oznamovanie spracovateľmi aj nákupcami (predajné a nákupné ceny).</w:t>
            </w:r>
          </w:p>
          <w:p w:rsidR="007A07DF" w:rsidRPr="00D07F65" w:rsidRDefault="007A07DF" w:rsidP="00E36C98">
            <w:pPr>
              <w:ind w:firstLine="284"/>
              <w:jc w:val="both"/>
              <w:rPr>
                <w:sz w:val="20"/>
                <w:szCs w:val="20"/>
              </w:rPr>
            </w:pPr>
            <w:r w:rsidRPr="007A07DF">
              <w:rPr>
                <w:sz w:val="20"/>
                <w:szCs w:val="20"/>
              </w:rPr>
              <w:t>Predpokladá</w:t>
            </w:r>
            <w:r w:rsidR="00E36C98">
              <w:rPr>
                <w:sz w:val="20"/>
                <w:szCs w:val="20"/>
              </w:rPr>
              <w:t xml:space="preserve"> sa</w:t>
            </w:r>
            <w:r w:rsidRPr="007A07DF">
              <w:rPr>
                <w:sz w:val="20"/>
                <w:szCs w:val="20"/>
              </w:rPr>
              <w:t xml:space="preserve"> pozitívny vplyv návrhu zákona na konkurencies</w:t>
            </w:r>
            <w:r>
              <w:rPr>
                <w:sz w:val="20"/>
                <w:szCs w:val="20"/>
              </w:rPr>
              <w:t xml:space="preserve">chopnosť podnikov vyplývajúci zo zavedenia </w:t>
            </w:r>
            <w:r w:rsidRPr="007A07DF">
              <w:rPr>
                <w:sz w:val="20"/>
                <w:szCs w:val="20"/>
              </w:rPr>
              <w:t>tzv. vylúčenie odkladného účinku</w:t>
            </w:r>
            <w:r>
              <w:rPr>
                <w:sz w:val="20"/>
                <w:szCs w:val="20"/>
              </w:rPr>
              <w:t>.</w:t>
            </w:r>
          </w:p>
        </w:tc>
      </w:tr>
      <w:tr w:rsidR="00D07F65" w:rsidRPr="00D07F65" w:rsidTr="00B5245C">
        <w:tc>
          <w:tcPr>
            <w:tcW w:w="9212" w:type="dxa"/>
            <w:shd w:val="clear" w:color="auto" w:fill="D9D9D9" w:themeFill="background1" w:themeFillShade="D9"/>
          </w:tcPr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b/>
                <w:sz w:val="20"/>
                <w:szCs w:val="20"/>
              </w:rPr>
              <w:t xml:space="preserve">3.5 Inovácie </w:t>
            </w:r>
          </w:p>
          <w:p w:rsidR="00D07F65" w:rsidRPr="00D07F65" w:rsidRDefault="00D07F65" w:rsidP="00B5245C">
            <w:pPr>
              <w:rPr>
                <w:b/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 xml:space="preserve">       - </w:t>
            </w:r>
            <w:r w:rsidRPr="00D07F65">
              <w:rPr>
                <w:b/>
                <w:sz w:val="20"/>
                <w:szCs w:val="20"/>
              </w:rPr>
              <w:t>z toho MSP</w:t>
            </w:r>
          </w:p>
        </w:tc>
      </w:tr>
      <w:tr w:rsidR="00D07F65" w:rsidRPr="00D07F65" w:rsidTr="00B5245C">
        <w:tc>
          <w:tcPr>
            <w:tcW w:w="9212" w:type="dxa"/>
          </w:tcPr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D07F65" w:rsidRPr="00D07F65" w:rsidRDefault="00D07F65" w:rsidP="00B5245C">
            <w:pPr>
              <w:rPr>
                <w:i/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D07F65" w:rsidRPr="00D07F65" w:rsidRDefault="00D07F65" w:rsidP="00B5245C">
            <w:pPr>
              <w:rPr>
                <w:sz w:val="20"/>
                <w:szCs w:val="20"/>
              </w:rPr>
            </w:pPr>
            <w:r w:rsidRPr="00D07F65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D07F65" w:rsidRPr="00D07F65" w:rsidTr="00B5245C">
        <w:trPr>
          <w:trHeight w:val="767"/>
        </w:trPr>
        <w:tc>
          <w:tcPr>
            <w:tcW w:w="9212" w:type="dxa"/>
          </w:tcPr>
          <w:p w:rsidR="00D07F65" w:rsidRPr="00D07F65" w:rsidRDefault="00D07F65" w:rsidP="00B5245C">
            <w:pPr>
              <w:rPr>
                <w:sz w:val="20"/>
                <w:szCs w:val="20"/>
              </w:rPr>
            </w:pPr>
          </w:p>
          <w:p w:rsidR="00D07F65" w:rsidRPr="00D07F65" w:rsidRDefault="00D07F65" w:rsidP="00B5245C">
            <w:pPr>
              <w:rPr>
                <w:sz w:val="20"/>
                <w:szCs w:val="20"/>
              </w:rPr>
            </w:pPr>
            <w:r w:rsidRPr="00D07F65">
              <w:rPr>
                <w:sz w:val="20"/>
                <w:szCs w:val="20"/>
              </w:rPr>
              <w:t>Návrh záko</w:t>
            </w:r>
            <w:r w:rsidR="007148A1">
              <w:rPr>
                <w:sz w:val="20"/>
                <w:szCs w:val="20"/>
              </w:rPr>
              <w:t>na nebude mať vplyv na inovácie</w:t>
            </w:r>
            <w:r w:rsidR="00550493">
              <w:rPr>
                <w:sz w:val="20"/>
                <w:szCs w:val="20"/>
              </w:rPr>
              <w:t>.</w:t>
            </w:r>
          </w:p>
        </w:tc>
      </w:tr>
    </w:tbl>
    <w:p w:rsidR="00D07F65" w:rsidRPr="00D07F65" w:rsidRDefault="00D07F65" w:rsidP="00D07F65">
      <w:pPr>
        <w:rPr>
          <w:sz w:val="20"/>
          <w:szCs w:val="20"/>
        </w:rPr>
      </w:pPr>
    </w:p>
    <w:p w:rsidR="002D09B0" w:rsidRPr="00D07F65" w:rsidRDefault="002D09B0" w:rsidP="00D07F65">
      <w:pPr>
        <w:rPr>
          <w:sz w:val="20"/>
          <w:szCs w:val="20"/>
        </w:rPr>
      </w:pPr>
    </w:p>
    <w:sectPr w:rsidR="002D09B0" w:rsidRPr="00D07F65" w:rsidSect="0030180E">
      <w:footerReference w:type="default" r:id="rId9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36" w:rsidRDefault="00692236">
      <w:r>
        <w:separator/>
      </w:r>
    </w:p>
  </w:endnote>
  <w:endnote w:type="continuationSeparator" w:id="0">
    <w:p w:rsidR="00692236" w:rsidRDefault="0069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7126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92370" w:rsidRPr="00D36C6F" w:rsidRDefault="004150E5">
        <w:pPr>
          <w:pStyle w:val="Pta"/>
          <w:jc w:val="center"/>
          <w:rPr>
            <w:sz w:val="22"/>
            <w:szCs w:val="22"/>
          </w:rPr>
        </w:pPr>
        <w:r w:rsidRPr="00D36C6F">
          <w:rPr>
            <w:sz w:val="22"/>
            <w:szCs w:val="22"/>
          </w:rPr>
          <w:fldChar w:fldCharType="begin"/>
        </w:r>
        <w:r w:rsidR="001444E9" w:rsidRPr="00D36C6F">
          <w:rPr>
            <w:sz w:val="22"/>
            <w:szCs w:val="22"/>
          </w:rPr>
          <w:instrText>PAGE   \* MERGEFORMAT</w:instrText>
        </w:r>
        <w:r w:rsidRPr="00D36C6F">
          <w:rPr>
            <w:sz w:val="22"/>
            <w:szCs w:val="22"/>
          </w:rPr>
          <w:fldChar w:fldCharType="separate"/>
        </w:r>
        <w:r w:rsidR="0030180E">
          <w:rPr>
            <w:noProof/>
            <w:sz w:val="22"/>
            <w:szCs w:val="22"/>
          </w:rPr>
          <w:t>17</w:t>
        </w:r>
        <w:r w:rsidRPr="00D36C6F">
          <w:rPr>
            <w:sz w:val="22"/>
            <w:szCs w:val="22"/>
          </w:rPr>
          <w:fldChar w:fldCharType="end"/>
        </w:r>
      </w:p>
    </w:sdtContent>
  </w:sdt>
  <w:p w:rsidR="00D92370" w:rsidRDefault="003018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36" w:rsidRDefault="00692236">
      <w:r>
        <w:separator/>
      </w:r>
    </w:p>
  </w:footnote>
  <w:footnote w:type="continuationSeparator" w:id="0">
    <w:p w:rsidR="00692236" w:rsidRDefault="00692236">
      <w:r>
        <w:continuationSeparator/>
      </w:r>
    </w:p>
  </w:footnote>
  <w:footnote w:id="1">
    <w:p w:rsidR="00D07F65" w:rsidRDefault="00D07F65" w:rsidP="00D07F65">
      <w:pPr>
        <w:pStyle w:val="Textpoznmkypodiarou"/>
      </w:pPr>
      <w:r>
        <w:rPr>
          <w:rStyle w:val="Odkaznapoznmkupodiarou"/>
        </w:rPr>
        <w:footnoteRef/>
      </w:r>
      <w:r>
        <w:t xml:space="preserve">) Zákon č. 280/2017 Z. z. z 12. októbra 2017 </w:t>
      </w:r>
      <w:r w:rsidRPr="00F036DB">
        <w:t xml:space="preserve">o poskytovaní podpory a dotácie v pôdohospodárstve a rozvoji vidieka a o zmene zákona č. 292/2014 Z. z. o príspevku poskytovanom z európskych štrukturálnych </w:t>
      </w:r>
      <w:r>
        <w:br/>
      </w:r>
      <w:r w:rsidRPr="00F036DB">
        <w:t>a investičných fondov a o zmene a doplnení niektorých zákonov v znení neskorších predpisov (</w:t>
      </w:r>
      <w:r>
        <w:t xml:space="preserve">predpis, ktorý sa má novelizovať návrhom </w:t>
      </w:r>
      <w:r w:rsidRPr="00F036DB">
        <w:t>zákon</w:t>
      </w:r>
      <w:r>
        <w:t>a</w:t>
      </w:r>
      <w:r w:rsidRPr="00F036DB">
        <w:t>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61543"/>
    <w:rsid w:val="00072DBD"/>
    <w:rsid w:val="000F07AC"/>
    <w:rsid w:val="001266DA"/>
    <w:rsid w:val="001444E9"/>
    <w:rsid w:val="00177C6D"/>
    <w:rsid w:val="0020033F"/>
    <w:rsid w:val="002C1165"/>
    <w:rsid w:val="002D09B0"/>
    <w:rsid w:val="0030180E"/>
    <w:rsid w:val="00316DFA"/>
    <w:rsid w:val="003255F6"/>
    <w:rsid w:val="00353903"/>
    <w:rsid w:val="004150E5"/>
    <w:rsid w:val="004519A1"/>
    <w:rsid w:val="004C4922"/>
    <w:rsid w:val="00550493"/>
    <w:rsid w:val="00692236"/>
    <w:rsid w:val="006A063D"/>
    <w:rsid w:val="006E50D5"/>
    <w:rsid w:val="007148A1"/>
    <w:rsid w:val="00715DA3"/>
    <w:rsid w:val="00755375"/>
    <w:rsid w:val="00760F99"/>
    <w:rsid w:val="007A07DF"/>
    <w:rsid w:val="007C084B"/>
    <w:rsid w:val="008658E1"/>
    <w:rsid w:val="008B4A81"/>
    <w:rsid w:val="0091526E"/>
    <w:rsid w:val="00920A3A"/>
    <w:rsid w:val="00A00EE7"/>
    <w:rsid w:val="00A32E9C"/>
    <w:rsid w:val="00A42580"/>
    <w:rsid w:val="00A87901"/>
    <w:rsid w:val="00AB65CB"/>
    <w:rsid w:val="00AE6755"/>
    <w:rsid w:val="00B04C5C"/>
    <w:rsid w:val="00B40CCD"/>
    <w:rsid w:val="00B667E3"/>
    <w:rsid w:val="00BA577C"/>
    <w:rsid w:val="00BB527A"/>
    <w:rsid w:val="00BD07AE"/>
    <w:rsid w:val="00C37032"/>
    <w:rsid w:val="00C90CFA"/>
    <w:rsid w:val="00C95E7A"/>
    <w:rsid w:val="00D0764D"/>
    <w:rsid w:val="00D07F65"/>
    <w:rsid w:val="00E36C98"/>
    <w:rsid w:val="00EA0BA4"/>
    <w:rsid w:val="00EA54DB"/>
    <w:rsid w:val="00F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C86F-F22A-4CD0-BEAB-BE62357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444E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1444E9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44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67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E67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AE6755"/>
    <w:rPr>
      <w:rFonts w:cs="Times New Roman"/>
    </w:rPr>
  </w:style>
  <w:style w:type="table" w:styleId="Mriekatabuky">
    <w:name w:val="Table Grid"/>
    <w:basedOn w:val="Normlnatabuka"/>
    <w:uiPriority w:val="59"/>
    <w:rsid w:val="00D0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7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F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F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F6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cube.statistics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ps.sk/potraviny/zoznamy_potraviny.asp?LANG=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703D-C6BC-49F1-BB70-1439F42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28</cp:revision>
  <cp:lastPrinted>2021-05-06T09:54:00Z</cp:lastPrinted>
  <dcterms:created xsi:type="dcterms:W3CDTF">2020-12-14T08:57:00Z</dcterms:created>
  <dcterms:modified xsi:type="dcterms:W3CDTF">2021-05-06T09:54:00Z</dcterms:modified>
</cp:coreProperties>
</file>