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45" w:rsidRDefault="00B24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Analýza vplyvov na rozpočet verejnej správy,</w:t>
      </w:r>
    </w:p>
    <w:p w:rsidR="00757B45" w:rsidRDefault="00B24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zamestnanosť vo verej</w:t>
      </w:r>
      <w:r w:rsidR="007C057B">
        <w:rPr>
          <w:b/>
          <w:bCs/>
          <w:sz w:val="28"/>
          <w:szCs w:val="28"/>
        </w:rPr>
        <w:t>nej správe a financovanie návrh</w:t>
      </w:r>
      <w:r w:rsidR="009D6EC3">
        <w:rPr>
          <w:b/>
          <w:bCs/>
          <w:sz w:val="28"/>
          <w:szCs w:val="28"/>
        </w:rPr>
        <w:t>u</w:t>
      </w:r>
    </w:p>
    <w:p w:rsidR="00757B45" w:rsidRDefault="00757B45">
      <w:pPr>
        <w:jc w:val="right"/>
        <w:rPr>
          <w:b/>
          <w:bCs/>
        </w:rPr>
      </w:pPr>
    </w:p>
    <w:p w:rsidR="00757B45" w:rsidRDefault="00757B45">
      <w:pPr>
        <w:rPr>
          <w:b/>
          <w:bCs/>
        </w:rPr>
      </w:pPr>
    </w:p>
    <w:p w:rsidR="00757B45" w:rsidRDefault="00B24457">
      <w:pPr>
        <w:rPr>
          <w:b/>
          <w:bCs/>
        </w:rPr>
      </w:pPr>
      <w:r>
        <w:rPr>
          <w:b/>
          <w:bCs/>
        </w:rPr>
        <w:t>2.1 Zhrnutie vplyvov na rozpočet verejnej správy v návrhu</w:t>
      </w:r>
    </w:p>
    <w:p w:rsidR="00757B45" w:rsidRDefault="00757B45">
      <w:pPr>
        <w:jc w:val="right"/>
        <w:rPr>
          <w:sz w:val="20"/>
          <w:szCs w:val="20"/>
        </w:rPr>
      </w:pPr>
    </w:p>
    <w:p w:rsidR="00757B45" w:rsidRDefault="00B2445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Tabuľka č. 1 </w:t>
      </w:r>
    </w:p>
    <w:tbl>
      <w:tblPr>
        <w:tblW w:w="997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481"/>
        <w:gridCol w:w="1266"/>
        <w:gridCol w:w="1267"/>
        <w:gridCol w:w="1301"/>
      </w:tblGrid>
      <w:tr w:rsidR="00757B45">
        <w:trPr>
          <w:cantSplit/>
          <w:trHeight w:val="194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Vplyvy na rozpočet verejnej správy</w:t>
            </w:r>
          </w:p>
        </w:tc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Vplyv na rozpočet verejnej správy (v eurách)</w:t>
            </w:r>
          </w:p>
        </w:tc>
      </w:tr>
      <w:tr w:rsidR="00757B45">
        <w:trPr>
          <w:cantSplit/>
          <w:trHeight w:val="70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757B45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9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9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9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9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B97282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7282" w:rsidRDefault="00B97282" w:rsidP="00B97282">
            <w:r>
              <w:rPr>
                <w:b/>
                <w:bCs/>
              </w:rPr>
              <w:t>Príjmy verejnej správy celkom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B97282">
        <w:trPr>
          <w:trHeight w:val="132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r>
              <w:t>v tom: za MPRV SR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1 000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2 000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2 000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2 000</w:t>
            </w:r>
          </w:p>
        </w:tc>
      </w:tr>
      <w:tr w:rsidR="00B97282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</w:p>
        </w:tc>
      </w:tr>
      <w:tr w:rsidR="00B97282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B97282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B97282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ind w:left="259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EÚ zdroje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</w:pPr>
            <w:r>
              <w:t>0</w:t>
            </w:r>
          </w:p>
        </w:tc>
      </w:tr>
      <w:tr w:rsidR="00B97282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B97282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B97282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282" w:rsidRDefault="00B97282" w:rsidP="00B9728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127BC7" w:rsidTr="00E65307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27BC7" w:rsidRDefault="00127BC7" w:rsidP="00127BC7">
            <w:pPr>
              <w:rPr>
                <w:b/>
                <w:bCs/>
              </w:rPr>
            </w:pPr>
            <w:r>
              <w:rPr>
                <w:b/>
                <w:bCs/>
              </w:rPr>
              <w:t>Výdavky verejnej správy celkom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BC7" w:rsidRPr="007C340E" w:rsidRDefault="007C340E" w:rsidP="00127BC7">
            <w:pPr>
              <w:jc w:val="right"/>
              <w:rPr>
                <w:b/>
              </w:rPr>
            </w:pPr>
            <w:r w:rsidRPr="007C340E">
              <w:rPr>
                <w:b/>
              </w:rPr>
              <w:t>42 775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BC7" w:rsidRPr="007C340E" w:rsidRDefault="007C340E" w:rsidP="00127BC7">
            <w:pPr>
              <w:jc w:val="right"/>
              <w:rPr>
                <w:b/>
              </w:rPr>
            </w:pPr>
            <w:r w:rsidRPr="007C340E">
              <w:rPr>
                <w:b/>
              </w:rPr>
              <w:t>86 170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BC7" w:rsidRPr="007C340E" w:rsidRDefault="007C340E" w:rsidP="00127BC7">
            <w:pPr>
              <w:jc w:val="right"/>
              <w:rPr>
                <w:b/>
              </w:rPr>
            </w:pPr>
            <w:r w:rsidRPr="007C340E">
              <w:rPr>
                <w:b/>
              </w:rPr>
              <w:t>86 170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BC7" w:rsidRPr="007C340E" w:rsidRDefault="007C340E" w:rsidP="00127BC7">
            <w:pPr>
              <w:jc w:val="right"/>
              <w:rPr>
                <w:b/>
              </w:rPr>
            </w:pPr>
            <w:r w:rsidRPr="007C340E">
              <w:rPr>
                <w:b/>
              </w:rPr>
              <w:t>86 170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r>
              <w:t>v tom: za MPRV SR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Pr="007C340E" w:rsidRDefault="007C340E" w:rsidP="007C340E">
            <w:pPr>
              <w:jc w:val="right"/>
            </w:pPr>
            <w:r w:rsidRPr="007C340E">
              <w:t>42 775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Pr="007C340E" w:rsidRDefault="007C340E" w:rsidP="007C340E">
            <w:pPr>
              <w:jc w:val="right"/>
            </w:pPr>
            <w:r w:rsidRPr="007C340E">
              <w:t>86 170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Pr="007C340E" w:rsidRDefault="007C340E" w:rsidP="007C340E">
            <w:pPr>
              <w:jc w:val="right"/>
            </w:pPr>
            <w:r w:rsidRPr="007C340E">
              <w:t>86 170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Pr="007C340E" w:rsidRDefault="007C340E" w:rsidP="007C340E">
            <w:pPr>
              <w:jc w:val="right"/>
            </w:pPr>
            <w:r w:rsidRPr="007C340E">
              <w:t>86 170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rPr>
                <w:b/>
              </w:rPr>
              <w:t>42 775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rPr>
                <w:b/>
              </w:rPr>
              <w:t>86 170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rPr>
                <w:b/>
              </w:rPr>
              <w:t>86 170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rPr>
                <w:b/>
              </w:rPr>
              <w:t>86 170</w:t>
            </w:r>
          </w:p>
        </w:tc>
      </w:tr>
      <w:tr w:rsidR="007C340E" w:rsidTr="00E65307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</w:pPr>
            <w: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7C340E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12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</w:pPr>
            <w:r>
              <w:rPr>
                <w:b/>
                <w:bCs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</w:pPr>
            <w:r>
              <w:rPr>
                <w:b/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</w:pPr>
            <w:r>
              <w:rPr>
                <w:b/>
                <w:bCs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</w:pPr>
            <w:r>
              <w:rPr>
                <w:b/>
                <w:bCs/>
              </w:rPr>
              <w:t>4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Pr="00B97282" w:rsidRDefault="007C340E" w:rsidP="007C340E">
            <w:pPr>
              <w:jc w:val="right"/>
            </w:pPr>
            <w:r w:rsidRPr="00B97282">
              <w:rPr>
                <w:bCs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Pr="00B97282" w:rsidRDefault="007C340E" w:rsidP="007C340E">
            <w:pPr>
              <w:jc w:val="right"/>
            </w:pPr>
            <w:r w:rsidRPr="00B97282">
              <w:rPr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Pr="00B97282" w:rsidRDefault="007C340E" w:rsidP="007C340E">
            <w:pPr>
              <w:jc w:val="right"/>
            </w:pPr>
            <w:r w:rsidRPr="00B97282">
              <w:rPr>
                <w:bCs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Pr="00B97282" w:rsidRDefault="007C340E" w:rsidP="007C340E">
            <w:pPr>
              <w:jc w:val="right"/>
            </w:pPr>
            <w:r w:rsidRPr="00B97282">
              <w:rPr>
                <w:bCs/>
              </w:rPr>
              <w:t>4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rPr>
                <w:b/>
              </w:rPr>
            </w:pPr>
            <w:r>
              <w:rPr>
                <w:b/>
              </w:rPr>
              <w:t>Vplyv na mzdové výdavky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FE098F" w:rsidP="007C340E">
            <w:pPr>
              <w:jc w:val="right"/>
            </w:pPr>
            <w:r>
              <w:rPr>
                <w:b/>
              </w:rPr>
              <w:t>1</w:t>
            </w:r>
            <w:r w:rsidR="007C340E">
              <w:rPr>
                <w:b/>
              </w:rPr>
              <w:t>5 000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</w:pPr>
            <w:r>
              <w:rPr>
                <w:b/>
              </w:rPr>
              <w:t>60 000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</w:pPr>
            <w:r>
              <w:rPr>
                <w:b/>
              </w:rPr>
              <w:t>60 000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</w:pPr>
            <w:r>
              <w:rPr>
                <w:b/>
              </w:rPr>
              <w:t>60 000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FE098F" w:rsidP="007C340E">
            <w:pPr>
              <w:jc w:val="right"/>
            </w:pPr>
            <w:r>
              <w:t>1</w:t>
            </w:r>
            <w:r w:rsidR="007C340E">
              <w:t>5 000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</w:pPr>
            <w:r>
              <w:t>60 000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</w:pPr>
            <w:r>
              <w:t>60 000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</w:pPr>
            <w:r>
              <w:t>60 000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FE098F" w:rsidTr="00E65307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098F" w:rsidRDefault="00FE098F" w:rsidP="00FE098F">
            <w:pPr>
              <w:rPr>
                <w:b/>
                <w:bCs/>
              </w:rPr>
            </w:pPr>
            <w:r>
              <w:rPr>
                <w:b/>
                <w:bCs/>
              </w:rPr>
              <w:t>Financovanie zabezpečené v rozpočte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8F" w:rsidRPr="007C340E" w:rsidRDefault="00FE098F" w:rsidP="00FE098F">
            <w:pPr>
              <w:jc w:val="right"/>
              <w:rPr>
                <w:b/>
              </w:rPr>
            </w:pPr>
            <w:r w:rsidRPr="007C340E">
              <w:rPr>
                <w:b/>
              </w:rPr>
              <w:t>42 775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8F" w:rsidRPr="007C340E" w:rsidRDefault="00FE098F" w:rsidP="00FE098F">
            <w:pPr>
              <w:jc w:val="right"/>
              <w:rPr>
                <w:b/>
              </w:rPr>
            </w:pPr>
            <w:r w:rsidRPr="007C340E">
              <w:rPr>
                <w:b/>
              </w:rPr>
              <w:t>86 170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8F" w:rsidRPr="007C340E" w:rsidRDefault="00FE098F" w:rsidP="00FE098F">
            <w:pPr>
              <w:jc w:val="right"/>
              <w:rPr>
                <w:b/>
              </w:rPr>
            </w:pPr>
            <w:r w:rsidRPr="007C340E">
              <w:rPr>
                <w:b/>
              </w:rPr>
              <w:t>86 170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8F" w:rsidRPr="007C340E" w:rsidRDefault="00FE098F" w:rsidP="00FE098F">
            <w:pPr>
              <w:jc w:val="right"/>
              <w:rPr>
                <w:b/>
              </w:rPr>
            </w:pPr>
            <w:r w:rsidRPr="007C340E">
              <w:rPr>
                <w:b/>
              </w:rPr>
              <w:t>86 170</w:t>
            </w:r>
          </w:p>
        </w:tc>
      </w:tr>
      <w:tr w:rsidR="00FE098F" w:rsidTr="00E65307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98F" w:rsidRDefault="00FE098F" w:rsidP="00FE098F">
            <w:r>
              <w:t>v tom: za MPRV SR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8F" w:rsidRPr="00FE098F" w:rsidRDefault="00FE098F" w:rsidP="00FE098F">
            <w:pPr>
              <w:jc w:val="right"/>
            </w:pPr>
            <w:r w:rsidRPr="00FE098F">
              <w:t>42 775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8F" w:rsidRPr="00FE098F" w:rsidRDefault="00FE098F" w:rsidP="00FE098F">
            <w:pPr>
              <w:jc w:val="right"/>
            </w:pPr>
            <w:r w:rsidRPr="00FE098F">
              <w:t>86 170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8F" w:rsidRPr="00FE098F" w:rsidRDefault="00FE098F" w:rsidP="00FE098F">
            <w:pPr>
              <w:jc w:val="right"/>
            </w:pPr>
            <w:r w:rsidRPr="00FE098F">
              <w:t>86 170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8F" w:rsidRPr="00FE098F" w:rsidRDefault="00FE098F" w:rsidP="00FE098F">
            <w:pPr>
              <w:jc w:val="right"/>
            </w:pPr>
            <w:r w:rsidRPr="00FE098F">
              <w:t>86 170</w:t>
            </w:r>
          </w:p>
        </w:tc>
      </w:tr>
      <w:tr w:rsidR="007C340E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rPr>
                <w:b/>
              </w:rPr>
            </w:pPr>
            <w:r>
              <w:rPr>
                <w:b/>
              </w:rPr>
              <w:t>Iné ako rozpočtové zdroje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C340E" w:rsidRDefault="007C340E" w:rsidP="007C34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C340E" w:rsidTr="00E65307">
        <w:trPr>
          <w:trHeight w:val="7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C340E" w:rsidRDefault="007C340E" w:rsidP="007C340E">
            <w:pPr>
              <w:rPr>
                <w:b/>
                <w:bCs/>
              </w:rPr>
            </w:pPr>
            <w:r>
              <w:rPr>
                <w:b/>
                <w:bCs/>
              </w:rPr>
              <w:t>Rozpočtovo nekrytý vplyv / úspora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C340E" w:rsidRPr="00FE098F" w:rsidRDefault="00FE098F" w:rsidP="007C340E">
            <w:pPr>
              <w:jc w:val="right"/>
              <w:rPr>
                <w:b/>
              </w:rPr>
            </w:pPr>
            <w:r w:rsidRPr="00FE098F">
              <w:rPr>
                <w:b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C340E" w:rsidRPr="00FE098F" w:rsidRDefault="00FE098F" w:rsidP="007C340E">
            <w:pPr>
              <w:jc w:val="right"/>
              <w:rPr>
                <w:b/>
              </w:rPr>
            </w:pPr>
            <w:r w:rsidRPr="00FE098F"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C340E" w:rsidRPr="00FE098F" w:rsidRDefault="00FE098F" w:rsidP="007C340E">
            <w:pPr>
              <w:jc w:val="right"/>
              <w:rPr>
                <w:b/>
              </w:rPr>
            </w:pPr>
            <w:r w:rsidRPr="00FE098F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C340E" w:rsidRPr="00FE098F" w:rsidRDefault="00FE098F" w:rsidP="007C340E">
            <w:pPr>
              <w:jc w:val="right"/>
              <w:rPr>
                <w:b/>
              </w:rPr>
            </w:pPr>
            <w:r w:rsidRPr="00FE098F">
              <w:rPr>
                <w:b/>
              </w:rPr>
              <w:t>0</w:t>
            </w:r>
          </w:p>
        </w:tc>
      </w:tr>
    </w:tbl>
    <w:p w:rsidR="00757B45" w:rsidRDefault="00757B45">
      <w:pPr>
        <w:jc w:val="both"/>
        <w:rPr>
          <w:b/>
          <w:bCs/>
        </w:rPr>
      </w:pPr>
    </w:p>
    <w:p w:rsidR="00757B45" w:rsidRDefault="00757B45">
      <w:pPr>
        <w:jc w:val="both"/>
        <w:rPr>
          <w:b/>
          <w:bCs/>
        </w:rPr>
      </w:pPr>
    </w:p>
    <w:p w:rsidR="00757B45" w:rsidRDefault="00757B45">
      <w:pPr>
        <w:jc w:val="both"/>
        <w:rPr>
          <w:b/>
          <w:bCs/>
        </w:rPr>
      </w:pPr>
    </w:p>
    <w:p w:rsidR="00757B45" w:rsidRDefault="00757B45">
      <w:pPr>
        <w:jc w:val="both"/>
        <w:rPr>
          <w:b/>
          <w:bCs/>
        </w:rPr>
      </w:pPr>
    </w:p>
    <w:p w:rsidR="00757B45" w:rsidRDefault="00757B45">
      <w:pPr>
        <w:jc w:val="both"/>
        <w:rPr>
          <w:b/>
          <w:bCs/>
        </w:rPr>
      </w:pPr>
    </w:p>
    <w:p w:rsidR="00757B45" w:rsidRDefault="00757B45">
      <w:pPr>
        <w:jc w:val="both"/>
        <w:rPr>
          <w:b/>
          <w:bCs/>
        </w:rPr>
      </w:pPr>
    </w:p>
    <w:p w:rsidR="00757B45" w:rsidRDefault="00B24457">
      <w:pPr>
        <w:jc w:val="both"/>
        <w:rPr>
          <w:b/>
          <w:bCs/>
        </w:rPr>
      </w:pPr>
      <w:r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57B45" w:rsidRDefault="00757B45">
      <w:pPr>
        <w:jc w:val="both"/>
        <w:rPr>
          <w:bCs/>
        </w:rPr>
      </w:pPr>
    </w:p>
    <w:p w:rsidR="00F97953" w:rsidRDefault="00B24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u w:val="single"/>
        </w:rPr>
        <w:t>Negatívne vplyvy:</w:t>
      </w:r>
      <w:r>
        <w:t xml:space="preserve"> V rámci návrhu zákona j</w:t>
      </w:r>
      <w:r w:rsidR="0067463C">
        <w:t>e</w:t>
      </w:r>
      <w:r>
        <w:t xml:space="preserve"> potrebné personálne posilniť (v roku 2021 </w:t>
      </w:r>
      <w:r w:rsidR="00F97953">
        <w:t>štyroch</w:t>
      </w:r>
      <w:r>
        <w:t xml:space="preserve"> nových zamestnancov) a materiálne zabezpečiť (výpočtová technika, mobilné telefóny a pod.) príslušný orgán administrujúci oznámenia a vykonávajúci kontroly na mieste, ktorým je rozpočtová organizácia Pôdohospodárska platobná agentúra (ďalej len „</w:t>
      </w:r>
      <w:r w:rsidR="0067463C">
        <w:t>platobná agentúra</w:t>
      </w:r>
      <w:r>
        <w:t xml:space="preserve">“). </w:t>
      </w:r>
    </w:p>
    <w:p w:rsidR="00F97953" w:rsidRPr="00F97953" w:rsidRDefault="00F97953" w:rsidP="00F979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F97953">
        <w:t xml:space="preserve">V rámci organizačnej zmeny </w:t>
      </w:r>
      <w:r w:rsidR="00103427">
        <w:t>platobnej agentúry</w:t>
      </w:r>
      <w:r w:rsidRPr="00F97953">
        <w:t xml:space="preserve"> v zmysle požiadaviek nadriadeného služobného úradu a za účelom odstránenia nedostatkov zistených certifikačným auditom sa navýšil k 1. 3. 2021 počet zamestnancov útvaru ATIS o 2 zamestnancov ich presunom z iného útvaru </w:t>
      </w:r>
      <w:r w:rsidR="00AE3790">
        <w:t>platobnej agentúry</w:t>
      </w:r>
      <w:r w:rsidR="00A2027A">
        <w:t>;</w:t>
      </w:r>
      <w:r w:rsidRPr="00F97953">
        <w:t xml:space="preserve"> vzhľadom na uvedené sa pôvodná požiadavka na 6 zamestnancov upravila na 4.</w:t>
      </w:r>
    </w:p>
    <w:p w:rsidR="00924B2F" w:rsidRDefault="00B24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Náplňou práce </w:t>
      </w:r>
      <w:r w:rsidR="00F97953">
        <w:t>4</w:t>
      </w:r>
      <w:r>
        <w:t xml:space="preserve"> nových zamestnancov bude najmä pravidelná aktualizácia zoznamu spravodajských jednotiek, komunikácia s nimi, zber a spracovanie oznámení, kalkulácie reprezentatívnych údajov za S</w:t>
      </w:r>
      <w:r w:rsidR="003330C3">
        <w:t xml:space="preserve">lovenskú republiku, komunikácia </w:t>
      </w:r>
      <w:r>
        <w:t>s Európskou komisiou, uverejňovanie údajov (správy o trhu, cenové prehľady) a aktualizácia príslušnej metodiky na zákla</w:t>
      </w:r>
      <w:r w:rsidR="00F97953">
        <w:t xml:space="preserve">de platných právnych predpisov, </w:t>
      </w:r>
      <w:r>
        <w:t xml:space="preserve">zabezpečovanie konania o priamych podporách a zabezpečovanie očakávaného zvýšeného počtu odvolacích konaní voči rozhodnutiam o priamych podporách v dôsledku zavedenia tzv. vylúčenia odkladného účinku. </w:t>
      </w:r>
    </w:p>
    <w:p w:rsidR="00924B2F" w:rsidRDefault="00924B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DD59EB" w:rsidRDefault="00B24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Potrebné vplyvy na zamestnanosť </w:t>
      </w:r>
      <w:r w:rsidR="00DD59EB">
        <w:t>a zodpove</w:t>
      </w:r>
      <w:r w:rsidR="00CF2DE5">
        <w:t xml:space="preserve">dajúce finančné prostriedky </w:t>
      </w:r>
      <w:r w:rsidR="00DD59EB">
        <w:t>sú</w:t>
      </w:r>
      <w:r>
        <w:t xml:space="preserve"> zabezpečené v </w:t>
      </w:r>
      <w:r w:rsidR="00DD59EB">
        <w:t xml:space="preserve">rámci rozpočtu kapitoly </w:t>
      </w:r>
      <w:r w:rsidR="0067463C">
        <w:t>Ministerstva pôdohospodárstva a rozvoja vidieka Slovenskej republiky</w:t>
      </w:r>
      <w:r w:rsidR="00DD59EB">
        <w:t xml:space="preserve"> na rok 2021 a nasledujúce roky.</w:t>
      </w:r>
    </w:p>
    <w:p w:rsidR="00DD59EB" w:rsidRDefault="00DD59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757B45" w:rsidRDefault="00B24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u w:val="single"/>
        </w:rPr>
        <w:t>Pozitívne vplyvy</w:t>
      </w:r>
      <w:r>
        <w:t xml:space="preserve"> na rozpočet verejnej správy sa predpokladajú v súvislosti so sankci</w:t>
      </w:r>
      <w:r w:rsidR="00A2027A">
        <w:t>ami</w:t>
      </w:r>
      <w:r>
        <w:t xml:space="preserve"> za nedodržanie povinností ustanovených v návrhu zákona, ktoré sú príjmom do štátneho rozpočtu. Nie je však možné vopred presne kvantifikovať očakávané zvýšenie príjmov do štátneho rozpočtu, pretože doteraz sa predmetné pokuty spravodajským jednotkám neuložili. </w:t>
      </w:r>
    </w:p>
    <w:p w:rsidR="003D645A" w:rsidRDefault="003D6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73054D">
        <w:t>V bode 2.1 preto uvádzame vyčíslenie v minimálnej výške a v bode 2.2.1 odôvodňujeme uvedené sumy.</w:t>
      </w:r>
    </w:p>
    <w:p w:rsidR="00757B45" w:rsidRDefault="00757B45">
      <w:pPr>
        <w:rPr>
          <w:b/>
          <w:bCs/>
        </w:rPr>
      </w:pPr>
    </w:p>
    <w:p w:rsidR="00984F54" w:rsidRDefault="00984F54">
      <w:pPr>
        <w:rPr>
          <w:b/>
          <w:bCs/>
        </w:rPr>
      </w:pPr>
    </w:p>
    <w:p w:rsidR="00757B45" w:rsidRDefault="00B24457">
      <w:pPr>
        <w:rPr>
          <w:b/>
          <w:bCs/>
        </w:rPr>
      </w:pPr>
      <w:r>
        <w:rPr>
          <w:b/>
          <w:bCs/>
        </w:rPr>
        <w:t>2.2. Popis a charakteristika návrhu</w:t>
      </w:r>
    </w:p>
    <w:p w:rsidR="00757B45" w:rsidRDefault="00757B45"/>
    <w:p w:rsidR="00757B45" w:rsidRDefault="00B24457">
      <w:pPr>
        <w:jc w:val="both"/>
        <w:rPr>
          <w:b/>
          <w:bCs/>
        </w:rPr>
      </w:pPr>
      <w:r>
        <w:rPr>
          <w:b/>
          <w:bCs/>
        </w:rPr>
        <w:t>2.2.1. Popis návrhu:</w:t>
      </w:r>
    </w:p>
    <w:p w:rsidR="00757B45" w:rsidRDefault="00757B45">
      <w:pPr>
        <w:jc w:val="both"/>
      </w:pPr>
    </w:p>
    <w:p w:rsidR="00757B45" w:rsidRDefault="00B24457">
      <w:pPr>
        <w:jc w:val="both"/>
        <w:rPr>
          <w:b/>
        </w:rPr>
      </w:pPr>
      <w:r>
        <w:rPr>
          <w:b/>
        </w:rPr>
        <w:t>Negatívny dosah:</w:t>
      </w:r>
    </w:p>
    <w:p w:rsidR="00757B45" w:rsidRDefault="00757B45">
      <w:pPr>
        <w:jc w:val="both"/>
        <w:rPr>
          <w:u w:val="single"/>
        </w:rPr>
      </w:pPr>
    </w:p>
    <w:p w:rsidR="00757B45" w:rsidRDefault="00A015A8">
      <w:pPr>
        <w:spacing w:after="120"/>
        <w:ind w:left="357"/>
      </w:pPr>
      <w:r>
        <w:t>Odhad nákladov vo vzťahu k 4</w:t>
      </w:r>
      <w:r w:rsidR="00B24457">
        <w:t xml:space="preserve"> novým pracovníkom v roku 2021</w:t>
      </w:r>
      <w:r w:rsidR="00CF2DE5">
        <w:t xml:space="preserve"> od 1.10</w:t>
      </w:r>
      <w:r w:rsidR="005B3690">
        <w:t>.2021</w:t>
      </w:r>
      <w:r w:rsidR="00B24457">
        <w:t>:</w:t>
      </w:r>
    </w:p>
    <w:p w:rsidR="00757B45" w:rsidRDefault="00B24457">
      <w:pPr>
        <w:ind w:left="360"/>
      </w:pPr>
      <w:r>
        <w:t>Mzdy (610)</w:t>
      </w:r>
      <w:r>
        <w:tab/>
      </w:r>
      <w:r>
        <w:tab/>
      </w:r>
      <w:r>
        <w:tab/>
      </w:r>
      <w:r>
        <w:tab/>
      </w:r>
      <w:r w:rsidR="00CF2DE5">
        <w:t>15</w:t>
      </w:r>
      <w:r>
        <w:t xml:space="preserve"> 000 Eur</w:t>
      </w:r>
    </w:p>
    <w:p w:rsidR="00757B45" w:rsidRDefault="00B24457">
      <w:pPr>
        <w:jc w:val="both"/>
      </w:pPr>
      <w:r>
        <w:t xml:space="preserve">      Odvody do poisťovní (620)</w:t>
      </w:r>
      <w:r>
        <w:tab/>
      </w:r>
      <w:r>
        <w:tab/>
      </w:r>
      <w:r w:rsidR="00CF2DE5">
        <w:t xml:space="preserve">  5 243</w:t>
      </w:r>
      <w:r>
        <w:t xml:space="preserve"> Eur</w:t>
      </w:r>
    </w:p>
    <w:p w:rsidR="00757B45" w:rsidRDefault="00A015A8">
      <w:pPr>
        <w:ind w:left="360"/>
      </w:pPr>
      <w:r>
        <w:t>Tovary a služby (630)</w:t>
      </w:r>
      <w:r>
        <w:tab/>
      </w:r>
      <w:r>
        <w:tab/>
      </w:r>
      <w:r>
        <w:tab/>
      </w:r>
      <w:r w:rsidR="00F6253E">
        <w:t>22 532</w:t>
      </w:r>
      <w:r w:rsidR="00B24457">
        <w:t xml:space="preserve"> Eur </w:t>
      </w:r>
    </w:p>
    <w:p w:rsidR="00757B45" w:rsidRDefault="00B24457">
      <w:pPr>
        <w:ind w:left="360"/>
      </w:pPr>
      <w:r w:rsidRPr="002C2547">
        <w:rPr>
          <w:u w:val="single"/>
        </w:rPr>
        <w:t>Spolu výdavky na rok 2021:</w:t>
      </w:r>
      <w:r>
        <w:tab/>
      </w:r>
      <w:r>
        <w:tab/>
      </w:r>
      <w:r w:rsidR="00CF2DE5">
        <w:t>42 775</w:t>
      </w:r>
      <w:r>
        <w:t xml:space="preserve"> Eur</w:t>
      </w:r>
    </w:p>
    <w:p w:rsidR="00757B45" w:rsidRDefault="00757B45"/>
    <w:p w:rsidR="00F6253E" w:rsidRDefault="002C2547" w:rsidP="00F6253E">
      <w:pPr>
        <w:jc w:val="both"/>
      </w:pPr>
      <w:r>
        <w:t xml:space="preserve">V kategórii 630 – na IT výdavky sa požaduje s objemom prostriedkov </w:t>
      </w:r>
      <w:r w:rsidR="00F6253E">
        <w:t>22 532</w:t>
      </w:r>
      <w:r>
        <w:t xml:space="preserve"> eur</w:t>
      </w:r>
      <w:r w:rsidR="00D02083">
        <w:t xml:space="preserve">, </w:t>
      </w:r>
      <w:r w:rsidR="009D4898">
        <w:t xml:space="preserve">ktorá zahŕňa </w:t>
      </w:r>
      <w:r>
        <w:t>výpočtov</w:t>
      </w:r>
      <w:r w:rsidR="009D4898">
        <w:t>ú</w:t>
      </w:r>
      <w:r>
        <w:t xml:space="preserve"> technik</w:t>
      </w:r>
      <w:r w:rsidR="009D4898">
        <w:t>u</w:t>
      </w:r>
      <w:r>
        <w:t>, mo</w:t>
      </w:r>
      <w:r w:rsidR="009D4898">
        <w:t xml:space="preserve">bilné </w:t>
      </w:r>
      <w:r>
        <w:t xml:space="preserve">telefóny, platby operátorovi pre 4 zamestnancov v objeme 17 332 eur. Suma </w:t>
      </w:r>
      <w:r w:rsidR="00F6253E">
        <w:t>5 200</w:t>
      </w:r>
      <w:r>
        <w:t xml:space="preserve"> eur na IT rezervu bola stanovovaná hrubým odhadom a zahŕňa finančné krytie ďalších úprav IS v súvislosti s monitoringom trhu</w:t>
      </w:r>
      <w:r w:rsidR="00D66F4E">
        <w:t xml:space="preserve"> a implementáci</w:t>
      </w:r>
      <w:r w:rsidR="009D4898">
        <w:t>ou</w:t>
      </w:r>
      <w:r w:rsidR="00D66F4E">
        <w:t xml:space="preserve"> </w:t>
      </w:r>
      <w:r w:rsidR="00D66F4E">
        <w:lastRenderedPageBreak/>
        <w:t>zmien v systémoch SAP_B1V a SAP_B1P</w:t>
      </w:r>
      <w:r>
        <w:t xml:space="preserve"> </w:t>
      </w:r>
      <w:r w:rsidR="00D26A8E">
        <w:t xml:space="preserve">Cenové hlásenia </w:t>
      </w:r>
      <w:r>
        <w:t>(úpravy v oblasti reportov</w:t>
      </w:r>
      <w:r w:rsidR="00D66F4E">
        <w:t xml:space="preserve"> ATIS 1,4,5,6,8</w:t>
      </w:r>
      <w:r>
        <w:t>, formulárov, výstupov pri komoditách hovädzieho dobytka, ošípaných, jahňatách, mliečnych výrobkoch, bielkovinových plodoch, hydine, vajciach, cukru)</w:t>
      </w:r>
      <w:r w:rsidR="009D4898">
        <w:t xml:space="preserve"> </w:t>
      </w:r>
      <w:r w:rsidR="00F6253E">
        <w:t xml:space="preserve">(výpočet: 81,25 eur bez DPH hodina senior konzultant *64 hodín prác (t.j. 8 človekodni*650 eur) = </w:t>
      </w:r>
      <w:r w:rsidR="00F6253E" w:rsidRPr="00F6253E">
        <w:t>5 200 eur</w:t>
      </w:r>
      <w:r w:rsidR="00F6253E">
        <w:t xml:space="preserve"> bez DPH.</w:t>
      </w:r>
    </w:p>
    <w:p w:rsidR="00F6253E" w:rsidRDefault="00F6253E" w:rsidP="00F6253E">
      <w:pPr>
        <w:ind w:firstLine="567"/>
        <w:jc w:val="both"/>
      </w:pPr>
      <w:r>
        <w:t xml:space="preserve">V ďalších rokoch (2022 a 2024) sa nezapočítavajú náklady na výpočtovú techniku a mobilné telefóny, počíta sa len s rezervou na IT výdavky v objeme </w:t>
      </w:r>
      <w:r w:rsidRPr="00F6253E">
        <w:t>5 200</w:t>
      </w:r>
      <w:r>
        <w:t xml:space="preserve"> eur ročne, takže ročné náklady predstavujú pre 4 zamestnancov </w:t>
      </w:r>
      <w:r w:rsidRPr="00F6253E">
        <w:t>objem 86 170 eur</w:t>
      </w:r>
      <w:r>
        <w:t>.</w:t>
      </w:r>
    </w:p>
    <w:p w:rsidR="00757B45" w:rsidRDefault="00757B45" w:rsidP="00F6253E">
      <w:pPr>
        <w:jc w:val="both"/>
      </w:pPr>
    </w:p>
    <w:p w:rsidR="009452A5" w:rsidRDefault="009452A5"/>
    <w:p w:rsidR="009452A5" w:rsidRDefault="009452A5"/>
    <w:p w:rsidR="00757B45" w:rsidRDefault="00B24457">
      <w:pPr>
        <w:rPr>
          <w:b/>
        </w:rPr>
      </w:pPr>
      <w:r>
        <w:rPr>
          <w:b/>
        </w:rPr>
        <w:t>Pozitívny dosah:</w:t>
      </w:r>
    </w:p>
    <w:p w:rsidR="00757B45" w:rsidRDefault="00757B45">
      <w:pPr>
        <w:rPr>
          <w:b/>
          <w:u w:val="single"/>
        </w:rPr>
      </w:pPr>
    </w:p>
    <w:p w:rsidR="00757B45" w:rsidRDefault="00B24457">
      <w:pPr>
        <w:spacing w:after="120"/>
        <w:rPr>
          <w:u w:val="single"/>
        </w:rPr>
      </w:pPr>
      <w:r>
        <w:rPr>
          <w:u w:val="single"/>
        </w:rPr>
        <w:t xml:space="preserve">Príjem z uložených pokút na základe výsledkov kontrol na mieste vykonaných </w:t>
      </w:r>
      <w:r w:rsidR="0067463C">
        <w:rPr>
          <w:u w:val="single"/>
        </w:rPr>
        <w:t>platobnou agentúrou</w:t>
      </w:r>
    </w:p>
    <w:p w:rsidR="00757B45" w:rsidRDefault="003D645A">
      <w:pPr>
        <w:spacing w:after="120"/>
        <w:jc w:val="both"/>
        <w:rPr>
          <w:color w:val="000000" w:themeColor="text1"/>
        </w:rPr>
      </w:pPr>
      <w:r w:rsidRPr="0073054D">
        <w:rPr>
          <w:color w:val="000000" w:themeColor="text1"/>
        </w:rPr>
        <w:t>Uvádzame len približný odhad, pretože dosah nebolo možné presnejšie vyčísliť</w:t>
      </w:r>
      <w:r>
        <w:rPr>
          <w:color w:val="000000" w:themeColor="text1"/>
        </w:rPr>
        <w:t xml:space="preserve"> </w:t>
      </w:r>
      <w:r w:rsidR="00B24457">
        <w:rPr>
          <w:color w:val="000000" w:themeColor="text1"/>
        </w:rPr>
        <w:t>na základe doterajších skúseností, keďže doteraz sa pokuty za porušenie oznamovacích povinností vyplývajúcich zo zákona č. 280/2017 Z. z. neuložili.</w:t>
      </w:r>
    </w:p>
    <w:p w:rsidR="00757B45" w:rsidRDefault="00B24457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V prvom roku uplatňovania navrhovanej právnej úpravy predpokladáme, že porušenia v prípade nových subjektov budú vyplývať skôr z nedostatku skúseností a že subjekty budú schopné napraviť zistené nedostatky v krátkom čase na základe uložených opatrení, resp. vysvetlenia a poučenia v priamom kontakte so zamestnancami </w:t>
      </w:r>
      <w:r w:rsidR="0067463C">
        <w:rPr>
          <w:color w:val="000000" w:themeColor="text1"/>
        </w:rPr>
        <w:t>platobnej agentúry.</w:t>
      </w:r>
      <w:r>
        <w:rPr>
          <w:color w:val="000000" w:themeColor="text1"/>
        </w:rPr>
        <w:t xml:space="preserve"> Z toho dôvodu predpokladáme uplatňovanie spodných hraníc rozpätí pokút a príjem z uložených pokút v roku 2021 odhadujeme na 1 000 eur. V ďalších rokoch sa najmä v prípade opakovaných porušení môže výber pokút zvýšiť odhadom na  2 000 eur ročne.  </w:t>
      </w:r>
    </w:p>
    <w:p w:rsidR="00757B45" w:rsidRDefault="00757B45">
      <w:pPr>
        <w:rPr>
          <w:b/>
          <w:u w:val="single"/>
        </w:rPr>
      </w:pPr>
    </w:p>
    <w:p w:rsidR="00757B45" w:rsidRDefault="00B24457">
      <w:pPr>
        <w:rPr>
          <w:b/>
          <w:bCs/>
        </w:rPr>
      </w:pPr>
      <w:r>
        <w:rPr>
          <w:b/>
          <w:bCs/>
        </w:rPr>
        <w:t>2.2.2. Charakteristika návrhu:</w:t>
      </w:r>
    </w:p>
    <w:p w:rsidR="00757B45" w:rsidRDefault="00757B45"/>
    <w:p w:rsidR="00757B45" w:rsidRDefault="00B24457">
      <w:r>
        <w:rPr>
          <w:b/>
          <w:bdr w:val="single" w:sz="4" w:space="0" w:color="000000"/>
        </w:rPr>
        <w:t xml:space="preserve">     </w:t>
      </w:r>
      <w:r>
        <w:rPr>
          <w:b/>
        </w:rPr>
        <w:t xml:space="preserve">  </w:t>
      </w:r>
      <w:r>
        <w:t>zmena sadzby</w:t>
      </w:r>
    </w:p>
    <w:p w:rsidR="00757B45" w:rsidRDefault="00B24457">
      <w:r>
        <w:rPr>
          <w:bdr w:val="single" w:sz="4" w:space="0" w:color="000000"/>
        </w:rPr>
        <w:t xml:space="preserve">     </w:t>
      </w:r>
      <w:r>
        <w:t xml:space="preserve">  zmena v nároku</w:t>
      </w:r>
    </w:p>
    <w:p w:rsidR="00757B45" w:rsidRDefault="00B24457">
      <w:r>
        <w:rPr>
          <w:bdr w:val="single" w:sz="4" w:space="0" w:color="000000"/>
        </w:rPr>
        <w:t xml:space="preserve">     </w:t>
      </w:r>
      <w:r>
        <w:t xml:space="preserve">  nová služba alebo nariadenie (alebo ich zrušenie)</w:t>
      </w:r>
    </w:p>
    <w:p w:rsidR="00757B45" w:rsidRDefault="00B24457">
      <w:r>
        <w:rPr>
          <w:bdr w:val="single" w:sz="4" w:space="0" w:color="000000"/>
        </w:rPr>
        <w:t xml:space="preserve">     </w:t>
      </w:r>
      <w:r>
        <w:t xml:space="preserve">  kombinovaný návrh</w:t>
      </w:r>
    </w:p>
    <w:p w:rsidR="00757B45" w:rsidRDefault="00B24457">
      <w:r>
        <w:rPr>
          <w:bdr w:val="single" w:sz="4" w:space="0" w:color="000000"/>
        </w:rPr>
        <w:t xml:space="preserve">  x </w:t>
      </w:r>
      <w:r>
        <w:t xml:space="preserve">iné </w:t>
      </w:r>
    </w:p>
    <w:p w:rsidR="00757B45" w:rsidRDefault="00757B45"/>
    <w:p w:rsidR="00757B45" w:rsidRDefault="00757B45"/>
    <w:p w:rsidR="00757B45" w:rsidRDefault="00B24457">
      <w:r>
        <w:rPr>
          <w:b/>
          <w:bCs/>
        </w:rPr>
        <w:t>2.2.3. Predpoklady vývoja objemu aktivít:</w:t>
      </w:r>
    </w:p>
    <w:p w:rsidR="00757B45" w:rsidRDefault="00757B45"/>
    <w:p w:rsidR="00757B45" w:rsidRDefault="00B24457">
      <w:pPr>
        <w:ind w:firstLine="708"/>
        <w:jc w:val="both"/>
      </w:pPr>
      <w:r>
        <w:t>Jasne popíšte, v prípade potreby použite nižšie uvedenú tabuľku. Uveďte aj odhady základov daní a/alebo poplatkov, ak sa ich táto zmena týka.</w:t>
      </w:r>
    </w:p>
    <w:p w:rsidR="00757B45" w:rsidRDefault="00B2445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Tabuľka č. 2 </w:t>
      </w:r>
    </w:p>
    <w:tbl>
      <w:tblPr>
        <w:tblW w:w="906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29"/>
        <w:gridCol w:w="1134"/>
        <w:gridCol w:w="1134"/>
        <w:gridCol w:w="1134"/>
        <w:gridCol w:w="1134"/>
      </w:tblGrid>
      <w:tr w:rsidR="00757B45">
        <w:trPr>
          <w:cantSplit/>
          <w:trHeight w:val="70"/>
        </w:trPr>
        <w:tc>
          <w:tcPr>
            <w:tcW w:w="4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Odhadované objemy</w:t>
            </w:r>
          </w:p>
        </w:tc>
      </w:tr>
      <w:tr w:rsidR="00757B45">
        <w:trPr>
          <w:cantSplit/>
          <w:trHeight w:val="70"/>
        </w:trPr>
        <w:tc>
          <w:tcPr>
            <w:tcW w:w="4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757B4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 + 3</w:t>
            </w:r>
          </w:p>
        </w:tc>
      </w:tr>
      <w:tr w:rsidR="00757B45">
        <w:trPr>
          <w:trHeight w:val="7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color w:val="000000"/>
              </w:rPr>
            </w:pPr>
            <w:r>
              <w:rPr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</w:tr>
      <w:tr w:rsidR="00757B45">
        <w:trPr>
          <w:trHeight w:val="7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color w:val="000000"/>
              </w:rPr>
            </w:pPr>
            <w:r>
              <w:rPr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</w:tr>
      <w:tr w:rsidR="00757B45">
        <w:trPr>
          <w:trHeight w:val="7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color w:val="000000"/>
              </w:rPr>
            </w:pPr>
            <w:r>
              <w:rPr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right"/>
              <w:rPr>
                <w:color w:val="000000"/>
              </w:rPr>
            </w:pPr>
          </w:p>
        </w:tc>
      </w:tr>
    </w:tbl>
    <w:p w:rsidR="00757B45" w:rsidRDefault="00757B45"/>
    <w:p w:rsidR="00757B45" w:rsidRDefault="00757B45"/>
    <w:p w:rsidR="00757B45" w:rsidRDefault="00757B45"/>
    <w:p w:rsidR="00757B45" w:rsidRDefault="00757B45">
      <w:pPr>
        <w:sectPr w:rsidR="00757B45">
          <w:footerReference w:type="default" r:id="rId7"/>
          <w:pgSz w:w="11906" w:h="16838"/>
          <w:pgMar w:top="1417" w:right="1417" w:bottom="1276" w:left="1417" w:header="0" w:footer="708" w:gutter="0"/>
          <w:pgNumType w:start="11"/>
          <w:cols w:space="708"/>
          <w:formProt w:val="0"/>
          <w:docGrid w:linePitch="360"/>
        </w:sectPr>
      </w:pPr>
    </w:p>
    <w:p w:rsidR="00757B45" w:rsidRDefault="00B24457">
      <w:pPr>
        <w:tabs>
          <w:tab w:val="left" w:pos="1080"/>
        </w:tabs>
        <w:rPr>
          <w:bCs/>
        </w:rPr>
      </w:pPr>
      <w:r>
        <w:rPr>
          <w:b/>
          <w:bCs/>
        </w:rPr>
        <w:lastRenderedPageBreak/>
        <w:t>2.2.4. Výpočty vplyvov na verejné financie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Tabuľka č. 3 </w:t>
      </w:r>
    </w:p>
    <w:p w:rsidR="00757B45" w:rsidRDefault="00757B45">
      <w:pPr>
        <w:tabs>
          <w:tab w:val="left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1500"/>
        <w:gridCol w:w="1499"/>
        <w:gridCol w:w="1500"/>
        <w:gridCol w:w="1501"/>
        <w:gridCol w:w="3002"/>
      </w:tblGrid>
      <w:tr w:rsidR="00757B45">
        <w:trPr>
          <w:cantSplit/>
          <w:trHeight w:val="255"/>
          <w:jc w:val="center"/>
        </w:trPr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757B45">
        <w:trPr>
          <w:cantSplit/>
          <w:trHeight w:val="255"/>
          <w:jc w:val="center"/>
        </w:trPr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B29B6">
              <w:rPr>
                <w:b/>
                <w:bCs/>
              </w:rPr>
              <w:t>1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B29B6">
              <w:rPr>
                <w:b/>
                <w:bCs/>
              </w:rPr>
              <w:t>2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B29B6">
              <w:rPr>
                <w:b/>
                <w:bCs/>
              </w:rPr>
              <w:t>3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B29B6">
              <w:rPr>
                <w:b/>
                <w:bCs/>
              </w:rPr>
              <w:t>4</w:t>
            </w: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rPr>
                <w:b/>
                <w:bCs/>
                <w:color w:val="FFFFFF"/>
              </w:rPr>
            </w:pPr>
          </w:p>
        </w:tc>
      </w:tr>
      <w:tr w:rsidR="00757B45">
        <w:trPr>
          <w:trHeight w:val="255"/>
          <w:jc w:val="center"/>
        </w:trPr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Daňové príjmy (100)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757B45">
            <w:pPr>
              <w:jc w:val="center"/>
              <w:rPr>
                <w:b/>
                <w:bCs/>
              </w:rPr>
            </w:pP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45" w:rsidRDefault="00B24457">
            <w:r>
              <w:t> </w:t>
            </w:r>
          </w:p>
        </w:tc>
      </w:tr>
      <w:tr w:rsidR="00757B45">
        <w:trPr>
          <w:trHeight w:val="255"/>
          <w:jc w:val="center"/>
        </w:trPr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b/>
                <w:bCs/>
              </w:rPr>
            </w:pPr>
            <w:r>
              <w:rPr>
                <w:b/>
                <w:bCs/>
              </w:rPr>
              <w:t>Nedaňové príjmy (200)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z toho pokuty, penále a iné sankcie (222)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BB2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BB29B6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B24457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B24457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45" w:rsidRDefault="00B24457">
            <w:r>
              <w:t> </w:t>
            </w:r>
          </w:p>
        </w:tc>
      </w:tr>
      <w:tr w:rsidR="00757B45">
        <w:trPr>
          <w:trHeight w:val="255"/>
          <w:jc w:val="center"/>
        </w:trPr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b/>
                <w:bCs/>
              </w:rPr>
            </w:pPr>
            <w:r>
              <w:rPr>
                <w:b/>
                <w:bCs/>
              </w:rPr>
              <w:t>Granty a transfery (300)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Cs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jc w:val="center"/>
              <w:rPr>
                <w:b/>
              </w:rPr>
            </w:pP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45" w:rsidRDefault="00B24457">
            <w:r>
              <w:t> </w:t>
            </w:r>
          </w:p>
        </w:tc>
      </w:tr>
      <w:tr w:rsidR="00757B45">
        <w:trPr>
          <w:trHeight w:val="255"/>
          <w:jc w:val="center"/>
        </w:trPr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b/>
                <w:bCs/>
              </w:rPr>
            </w:pPr>
            <w:r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45" w:rsidRDefault="00B24457">
            <w:r>
              <w:t> </w:t>
            </w:r>
          </w:p>
        </w:tc>
      </w:tr>
      <w:tr w:rsidR="00757B45">
        <w:trPr>
          <w:trHeight w:val="255"/>
          <w:jc w:val="center"/>
        </w:trPr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5" w:rsidRDefault="00B24457">
            <w:pPr>
              <w:rPr>
                <w:b/>
                <w:bCs/>
              </w:rPr>
            </w:pPr>
            <w:r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45" w:rsidRDefault="00B24457">
            <w:r>
              <w:t> </w:t>
            </w:r>
          </w:p>
        </w:tc>
      </w:tr>
      <w:tr w:rsidR="00757B45">
        <w:trPr>
          <w:trHeight w:val="255"/>
          <w:jc w:val="center"/>
        </w:trPr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rPr>
                <w:b/>
                <w:bCs/>
              </w:rPr>
            </w:pPr>
            <w:r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B29B6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B29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4457">
              <w:rPr>
                <w:b/>
              </w:rPr>
              <w:t xml:space="preserve"> 000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757B45" w:rsidRDefault="00B24457">
            <w:r>
              <w:t> </w:t>
            </w:r>
          </w:p>
        </w:tc>
      </w:tr>
    </w:tbl>
    <w:p w:rsidR="00757B45" w:rsidRDefault="00757B45">
      <w:pPr>
        <w:tabs>
          <w:tab w:val="left" w:pos="1080"/>
        </w:tabs>
        <w:jc w:val="both"/>
        <w:rPr>
          <w:bCs/>
          <w:szCs w:val="20"/>
        </w:rPr>
      </w:pPr>
    </w:p>
    <w:p w:rsidR="00757B45" w:rsidRDefault="00B24457">
      <w:pPr>
        <w:tabs>
          <w:tab w:val="left" w:pos="1080"/>
        </w:tabs>
        <w:ind w:right="-578"/>
        <w:jc w:val="right"/>
        <w:rPr>
          <w:bCs/>
        </w:rPr>
      </w:pPr>
      <w:r>
        <w:rPr>
          <w:bCs/>
        </w:rPr>
        <w:t xml:space="preserve"> </w:t>
      </w: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  <w:bookmarkStart w:id="0" w:name="_GoBack"/>
      <w:bookmarkEnd w:id="0"/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757B45">
      <w:pPr>
        <w:tabs>
          <w:tab w:val="left" w:pos="1080"/>
        </w:tabs>
        <w:ind w:right="-578"/>
        <w:jc w:val="right"/>
        <w:rPr>
          <w:bCs/>
        </w:rPr>
      </w:pPr>
    </w:p>
    <w:p w:rsidR="00757B45" w:rsidRDefault="00B24457">
      <w:pPr>
        <w:tabs>
          <w:tab w:val="left" w:pos="1080"/>
        </w:tabs>
        <w:ind w:right="-32"/>
        <w:jc w:val="right"/>
        <w:rPr>
          <w:bCs/>
        </w:rPr>
      </w:pPr>
      <w:r>
        <w:rPr>
          <w:bCs/>
        </w:rPr>
        <w:t xml:space="preserve">Tabuľka č. 4 </w:t>
      </w:r>
    </w:p>
    <w:p w:rsidR="00757B45" w:rsidRDefault="00757B45">
      <w:pPr>
        <w:tabs>
          <w:tab w:val="left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068"/>
        <w:gridCol w:w="1541"/>
        <w:gridCol w:w="1540"/>
        <w:gridCol w:w="1541"/>
        <w:gridCol w:w="1540"/>
        <w:gridCol w:w="2220"/>
      </w:tblGrid>
      <w:tr w:rsidR="00757B45" w:rsidTr="00E514AF">
        <w:trPr>
          <w:cantSplit/>
          <w:trHeight w:val="255"/>
        </w:trPr>
        <w:tc>
          <w:tcPr>
            <w:tcW w:w="7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757B45" w:rsidTr="00E514AF">
        <w:trPr>
          <w:cantSplit/>
          <w:trHeight w:val="255"/>
        </w:trPr>
        <w:tc>
          <w:tcPr>
            <w:tcW w:w="7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E5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E5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E5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E5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45" w:rsidRDefault="00757B45">
            <w:pPr>
              <w:rPr>
                <w:b/>
                <w:bCs/>
                <w:color w:val="FFFFFF"/>
              </w:rPr>
            </w:pP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Default="001D5FB1" w:rsidP="00E51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42 775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Pr="00E514AF" w:rsidRDefault="00245AD4" w:rsidP="00E51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86 170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Pr="00E514AF" w:rsidRDefault="00E514AF" w:rsidP="00E514AF">
            <w:pPr>
              <w:jc w:val="center"/>
              <w:rPr>
                <w:b/>
                <w:sz w:val="20"/>
                <w:szCs w:val="20"/>
              </w:rPr>
            </w:pPr>
            <w:r w:rsidRPr="00E514AF">
              <w:rPr>
                <w:b/>
                <w:sz w:val="20"/>
                <w:szCs w:val="20"/>
              </w:rPr>
              <w:t>8</w:t>
            </w:r>
            <w:r w:rsidR="00245AD4">
              <w:rPr>
                <w:b/>
                <w:sz w:val="20"/>
                <w:szCs w:val="20"/>
              </w:rPr>
              <w:t>6 170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Pr="00E514AF" w:rsidRDefault="00E514AF" w:rsidP="00E514AF">
            <w:pPr>
              <w:jc w:val="center"/>
              <w:rPr>
                <w:b/>
                <w:sz w:val="20"/>
                <w:szCs w:val="20"/>
              </w:rPr>
            </w:pPr>
            <w:r w:rsidRPr="00E514AF">
              <w:rPr>
                <w:b/>
                <w:sz w:val="20"/>
                <w:szCs w:val="20"/>
              </w:rPr>
              <w:t>8</w:t>
            </w:r>
            <w:r w:rsidR="00245AD4">
              <w:rPr>
                <w:b/>
                <w:sz w:val="20"/>
                <w:szCs w:val="20"/>
              </w:rPr>
              <w:t>6 170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1D5FB1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4AF">
              <w:rPr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E514AF" w:rsidP="00E514AF">
            <w:pPr>
              <w:jc w:val="center"/>
              <w:rPr>
                <w:sz w:val="20"/>
                <w:szCs w:val="20"/>
              </w:rPr>
            </w:pPr>
            <w:r w:rsidRPr="00E514AF">
              <w:rPr>
                <w:sz w:val="20"/>
                <w:szCs w:val="20"/>
              </w:rPr>
              <w:t>60 000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E514AF" w:rsidP="00E514AF">
            <w:pPr>
              <w:jc w:val="center"/>
              <w:rPr>
                <w:sz w:val="20"/>
                <w:szCs w:val="20"/>
              </w:rPr>
            </w:pPr>
            <w:r w:rsidRPr="00E514AF">
              <w:rPr>
                <w:sz w:val="20"/>
                <w:szCs w:val="20"/>
              </w:rPr>
              <w:t>60 000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E514AF" w:rsidP="00E514AF">
            <w:pPr>
              <w:jc w:val="center"/>
              <w:rPr>
                <w:sz w:val="20"/>
                <w:szCs w:val="20"/>
              </w:rPr>
            </w:pPr>
            <w:r w:rsidRPr="00E514AF">
              <w:rPr>
                <w:sz w:val="20"/>
                <w:szCs w:val="20"/>
              </w:rPr>
              <w:t>60 000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1D5FB1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E514AF" w:rsidP="00E514AF">
            <w:pPr>
              <w:jc w:val="center"/>
              <w:rPr>
                <w:sz w:val="20"/>
                <w:szCs w:val="20"/>
              </w:rPr>
            </w:pPr>
            <w:r w:rsidRPr="00E514AF">
              <w:rPr>
                <w:sz w:val="20"/>
                <w:szCs w:val="20"/>
              </w:rPr>
              <w:t>20 970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E514AF" w:rsidP="00E514AF">
            <w:pPr>
              <w:jc w:val="center"/>
              <w:rPr>
                <w:sz w:val="20"/>
                <w:szCs w:val="20"/>
              </w:rPr>
            </w:pPr>
            <w:r w:rsidRPr="00E514AF">
              <w:rPr>
                <w:sz w:val="20"/>
                <w:szCs w:val="20"/>
              </w:rPr>
              <w:t>20 970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E514AF" w:rsidP="00E514AF">
            <w:pPr>
              <w:jc w:val="center"/>
              <w:rPr>
                <w:sz w:val="20"/>
                <w:szCs w:val="20"/>
              </w:rPr>
            </w:pPr>
            <w:r w:rsidRPr="00E514AF">
              <w:rPr>
                <w:sz w:val="20"/>
                <w:szCs w:val="20"/>
              </w:rPr>
              <w:t>20 970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Tovary a služby (630)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245AD4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22 532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245AD4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245AD4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Pr="00E514AF" w:rsidRDefault="00245AD4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Bežné transfery (640)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Default="00E514AF" w:rsidP="00E514AF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Default="00E514AF" w:rsidP="00E514AF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Default="00E514AF" w:rsidP="00E514AF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AF" w:rsidRDefault="00E514AF" w:rsidP="00E5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</w:pP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/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7D676C" w:rsidP="00E5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Obstarávanie kapitálových aktív (710)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7D676C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Kapitálové transfery (720)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jc w:val="center"/>
            </w:pP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4AF" w:rsidRDefault="00E514AF" w:rsidP="00E51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14AF" w:rsidRDefault="00E514AF" w:rsidP="00E514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14AF" w:rsidRDefault="00E514AF" w:rsidP="00E5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14AF" w:rsidRDefault="00E514AF" w:rsidP="00E5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514AF" w:rsidRDefault="00E514AF" w:rsidP="00E5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4AF" w:rsidRDefault="00E514AF" w:rsidP="00E514AF">
            <w:r>
              <w:t> </w:t>
            </w:r>
          </w:p>
        </w:tc>
      </w:tr>
      <w:tr w:rsidR="00E514AF" w:rsidTr="00E514AF">
        <w:trPr>
          <w:trHeight w:val="255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14AF" w:rsidRDefault="00E514AF" w:rsidP="00E51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14AF" w:rsidRPr="00E514AF" w:rsidRDefault="001D5FB1" w:rsidP="00E514AF">
            <w:pPr>
              <w:jc w:val="center"/>
              <w:rPr>
                <w:b/>
              </w:rPr>
            </w:pPr>
            <w:r>
              <w:rPr>
                <w:b/>
              </w:rPr>
              <w:t>42 775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14AF" w:rsidRPr="00E514AF" w:rsidRDefault="00E514AF" w:rsidP="00E514AF">
            <w:pPr>
              <w:jc w:val="center"/>
              <w:rPr>
                <w:b/>
              </w:rPr>
            </w:pPr>
            <w:r w:rsidRPr="00E514AF">
              <w:rPr>
                <w:b/>
              </w:rPr>
              <w:t>8</w:t>
            </w:r>
            <w:r w:rsidR="00245AD4">
              <w:rPr>
                <w:b/>
              </w:rPr>
              <w:t>6 170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14AF" w:rsidRPr="00E514AF" w:rsidRDefault="00E514AF" w:rsidP="00E514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45AD4">
              <w:rPr>
                <w:b/>
              </w:rPr>
              <w:t>6 170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14AF" w:rsidRPr="00E514AF" w:rsidRDefault="00E514AF" w:rsidP="00E514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45AD4">
              <w:rPr>
                <w:b/>
              </w:rPr>
              <w:t>6 170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514AF" w:rsidRDefault="00E514AF" w:rsidP="00E514AF">
            <w:r>
              <w:t> </w:t>
            </w:r>
          </w:p>
        </w:tc>
      </w:tr>
    </w:tbl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757B45">
      <w:pPr>
        <w:tabs>
          <w:tab w:val="left" w:pos="1080"/>
        </w:tabs>
        <w:ind w:left="-900"/>
        <w:jc w:val="both"/>
        <w:rPr>
          <w:bCs/>
          <w:sz w:val="20"/>
          <w:szCs w:val="20"/>
        </w:rPr>
      </w:pPr>
    </w:p>
    <w:p w:rsidR="00757B45" w:rsidRDefault="00B24457">
      <w:pPr>
        <w:tabs>
          <w:tab w:val="left" w:pos="1080"/>
        </w:tabs>
        <w:jc w:val="right"/>
        <w:rPr>
          <w:bCs/>
        </w:rPr>
      </w:pPr>
      <w:r>
        <w:rPr>
          <w:bCs/>
        </w:rPr>
        <w:t xml:space="preserve">                 Tabuľka č. 5 </w:t>
      </w:r>
    </w:p>
    <w:p w:rsidR="00757B45" w:rsidRDefault="00757B45">
      <w:pPr>
        <w:tabs>
          <w:tab w:val="left" w:pos="1080"/>
        </w:tabs>
        <w:jc w:val="both"/>
        <w:rPr>
          <w:bCs/>
          <w:szCs w:val="20"/>
        </w:rPr>
      </w:pPr>
    </w:p>
    <w:tbl>
      <w:tblPr>
        <w:tblW w:w="15434" w:type="dxa"/>
        <w:tblInd w:w="-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87"/>
        <w:gridCol w:w="1698"/>
        <w:gridCol w:w="1789"/>
        <w:gridCol w:w="720"/>
        <w:gridCol w:w="1232"/>
        <w:gridCol w:w="466"/>
        <w:gridCol w:w="1722"/>
        <w:gridCol w:w="630"/>
        <w:gridCol w:w="990"/>
      </w:tblGrid>
      <w:tr w:rsidR="00757B45" w:rsidTr="00467966">
        <w:trPr>
          <w:cantSplit/>
          <w:trHeight w:val="255"/>
        </w:trPr>
        <w:tc>
          <w:tcPr>
            <w:tcW w:w="6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Zamestnanosť</w:t>
            </w:r>
          </w:p>
        </w:tc>
        <w:tc>
          <w:tcPr>
            <w:tcW w:w="762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B24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757B45" w:rsidTr="00467966">
        <w:trPr>
          <w:cantSplit/>
          <w:trHeight w:val="255"/>
        </w:trPr>
        <w:tc>
          <w:tcPr>
            <w:tcW w:w="6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757B45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7B45" w:rsidRDefault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7B45" w:rsidRDefault="00757B45">
            <w:pPr>
              <w:rPr>
                <w:b/>
                <w:bCs/>
                <w:color w:val="FFFFFF"/>
              </w:rPr>
            </w:pP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>
            <w: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Pr="00467966" w:rsidRDefault="00467966" w:rsidP="00467966">
            <w:pPr>
              <w:jc w:val="center"/>
              <w:rPr>
                <w:bCs/>
              </w:rPr>
            </w:pPr>
            <w:r w:rsidRPr="00467966">
              <w:rPr>
                <w:bCs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Pr="00467966" w:rsidRDefault="00467966" w:rsidP="00467966">
            <w:pPr>
              <w:jc w:val="center"/>
              <w:rPr>
                <w:bCs/>
              </w:rPr>
            </w:pPr>
            <w:r w:rsidRPr="00467966">
              <w:rPr>
                <w:bCs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Pr="00467966" w:rsidRDefault="00467966" w:rsidP="00467966">
            <w:pPr>
              <w:jc w:val="center"/>
              <w:rPr>
                <w:bCs/>
              </w:rPr>
            </w:pPr>
            <w:r w:rsidRPr="00467966">
              <w:rPr>
                <w:bCs/>
              </w:rPr>
              <w:t>4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Pr="00467966" w:rsidRDefault="00467966" w:rsidP="00467966">
            <w:pPr>
              <w:jc w:val="center"/>
              <w:rPr>
                <w:bCs/>
              </w:rPr>
            </w:pPr>
            <w:r w:rsidRPr="00467966">
              <w:rPr>
                <w:bCs/>
              </w:rPr>
              <w:t>4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/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1 250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1 250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>
            <w: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r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1 250 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1 250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1 250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1 250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>
            <w: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966" w:rsidRDefault="00FE30ED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20 243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966" w:rsidRPr="00467966" w:rsidRDefault="00467966" w:rsidP="00467966">
            <w:pPr>
              <w:jc w:val="center"/>
              <w:rPr>
                <w:b/>
              </w:rPr>
            </w:pPr>
            <w:r w:rsidRPr="00467966">
              <w:rPr>
                <w:b/>
              </w:rPr>
              <w:t>80 970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966" w:rsidRPr="00467966" w:rsidRDefault="00467966" w:rsidP="00467966">
            <w:pPr>
              <w:jc w:val="center"/>
              <w:rPr>
                <w:b/>
              </w:rPr>
            </w:pPr>
            <w:r w:rsidRPr="00467966">
              <w:rPr>
                <w:b/>
              </w:rPr>
              <w:t>80 970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966" w:rsidRPr="00467966" w:rsidRDefault="00467966" w:rsidP="00467966">
            <w:pPr>
              <w:jc w:val="center"/>
              <w:rPr>
                <w:b/>
              </w:rPr>
            </w:pPr>
            <w:r w:rsidRPr="00467966">
              <w:rPr>
                <w:b/>
              </w:rPr>
              <w:t>80 970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FE30ED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7966">
              <w:rPr>
                <w:b/>
                <w:bCs/>
              </w:rPr>
              <w:t>5 000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r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FE30ED" w:rsidP="00467966">
            <w:pPr>
              <w:jc w:val="center"/>
            </w:pPr>
            <w:r>
              <w:t>1</w:t>
            </w:r>
            <w:r w:rsidR="00467966">
              <w:t>5 000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60 000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60 000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60 000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>
            <w: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FE30ED" w:rsidP="0046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5 243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Pr="00467966" w:rsidRDefault="00467966" w:rsidP="00467966">
            <w:pPr>
              <w:jc w:val="center"/>
              <w:rPr>
                <w:b/>
              </w:rPr>
            </w:pPr>
            <w:r w:rsidRPr="00467966">
              <w:rPr>
                <w:b/>
              </w:rPr>
              <w:t>20 970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Pr="00467966" w:rsidRDefault="00467966" w:rsidP="00467966">
            <w:pPr>
              <w:jc w:val="center"/>
              <w:rPr>
                <w:b/>
              </w:rPr>
            </w:pPr>
            <w:r w:rsidRPr="00467966">
              <w:rPr>
                <w:b/>
              </w:rPr>
              <w:t>20 970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Pr="00467966" w:rsidRDefault="00467966" w:rsidP="00467966">
            <w:pPr>
              <w:jc w:val="center"/>
              <w:rPr>
                <w:b/>
              </w:rPr>
            </w:pPr>
            <w:r w:rsidRPr="00467966">
              <w:rPr>
                <w:b/>
              </w:rPr>
              <w:t>20 970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r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FE30ED" w:rsidP="00467966">
            <w:pPr>
              <w:jc w:val="center"/>
            </w:pPr>
            <w:r>
              <w:t>5 243</w:t>
            </w:r>
          </w:p>
        </w:tc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20 970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20 970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966" w:rsidRDefault="00467966" w:rsidP="00467966">
            <w:pPr>
              <w:jc w:val="center"/>
            </w:pPr>
            <w:r>
              <w:t>20 970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966" w:rsidRDefault="00467966" w:rsidP="00467966">
            <w:r>
              <w:t> </w:t>
            </w:r>
          </w:p>
        </w:tc>
      </w:tr>
      <w:tr w:rsidR="00467966" w:rsidTr="00467966">
        <w:trPr>
          <w:trHeight w:val="255"/>
        </w:trPr>
        <w:tc>
          <w:tcPr>
            <w:tcW w:w="6187" w:type="dxa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1698" w:type="dxa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1789" w:type="dxa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1952" w:type="dxa"/>
            <w:gridSpan w:val="2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2188" w:type="dxa"/>
            <w:gridSpan w:val="2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67966" w:rsidRDefault="00467966" w:rsidP="00467966"/>
        </w:tc>
      </w:tr>
      <w:tr w:rsidR="00467966" w:rsidTr="00467966">
        <w:trPr>
          <w:trHeight w:val="255"/>
        </w:trPr>
        <w:tc>
          <w:tcPr>
            <w:tcW w:w="6187" w:type="dxa"/>
            <w:shd w:val="clear" w:color="auto" w:fill="auto"/>
          </w:tcPr>
          <w:p w:rsidR="00467966" w:rsidRDefault="00467966" w:rsidP="00467966">
            <w:pPr>
              <w:rPr>
                <w:b/>
                <w:bCs/>
              </w:rPr>
            </w:pPr>
            <w:r>
              <w:rPr>
                <w:b/>
                <w:bCs/>
              </w:rPr>
              <w:t>Poznámky: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1789" w:type="dxa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1952" w:type="dxa"/>
            <w:gridSpan w:val="2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2188" w:type="dxa"/>
            <w:gridSpan w:val="2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67966" w:rsidRDefault="00467966" w:rsidP="00467966"/>
        </w:tc>
      </w:tr>
      <w:tr w:rsidR="00467966" w:rsidTr="00467966">
        <w:trPr>
          <w:trHeight w:val="255"/>
        </w:trPr>
        <w:tc>
          <w:tcPr>
            <w:tcW w:w="13814" w:type="dxa"/>
            <w:gridSpan w:val="7"/>
            <w:shd w:val="clear" w:color="auto" w:fill="auto"/>
          </w:tcPr>
          <w:p w:rsidR="00467966" w:rsidRDefault="00467966" w:rsidP="00467966">
            <w:pPr>
              <w:tabs>
                <w:tab w:val="left" w:pos="1080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67966" w:rsidRDefault="00467966" w:rsidP="00467966">
            <w: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67966" w:rsidRDefault="00467966" w:rsidP="00467966"/>
        </w:tc>
      </w:tr>
      <w:tr w:rsidR="00467966" w:rsidTr="00467966">
        <w:trPr>
          <w:trHeight w:val="255"/>
        </w:trPr>
        <w:tc>
          <w:tcPr>
            <w:tcW w:w="10394" w:type="dxa"/>
            <w:gridSpan w:val="4"/>
            <w:shd w:val="clear" w:color="auto" w:fill="auto"/>
            <w:vAlign w:val="bottom"/>
          </w:tcPr>
          <w:p w:rsidR="00467966" w:rsidRDefault="00467966" w:rsidP="00467966">
            <w: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2352" w:type="dxa"/>
            <w:gridSpan w:val="2"/>
            <w:shd w:val="clear" w:color="auto" w:fill="auto"/>
            <w:vAlign w:val="bottom"/>
          </w:tcPr>
          <w:p w:rsidR="00467966" w:rsidRDefault="00467966" w:rsidP="00467966"/>
        </w:tc>
        <w:tc>
          <w:tcPr>
            <w:tcW w:w="990" w:type="dxa"/>
            <w:shd w:val="clear" w:color="auto" w:fill="auto"/>
            <w:vAlign w:val="bottom"/>
          </w:tcPr>
          <w:p w:rsidR="00467966" w:rsidRDefault="00467966" w:rsidP="00467966"/>
        </w:tc>
      </w:tr>
    </w:tbl>
    <w:p w:rsidR="00757B45" w:rsidRDefault="00757B45"/>
    <w:p w:rsidR="00757B45" w:rsidRDefault="00757B45"/>
    <w:sectPr w:rsidR="00757B45" w:rsidSect="00B17697">
      <w:footerReference w:type="default" r:id="rId8"/>
      <w:pgSz w:w="16838" w:h="11906" w:orient="landscape"/>
      <w:pgMar w:top="1417" w:right="1417" w:bottom="1417" w:left="1417" w:header="0" w:footer="708" w:gutter="0"/>
      <w:pgNumType w:start="1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11" w:rsidRDefault="00105111">
      <w:r>
        <w:separator/>
      </w:r>
    </w:p>
  </w:endnote>
  <w:endnote w:type="continuationSeparator" w:id="0">
    <w:p w:rsidR="00105111" w:rsidRDefault="001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539661"/>
      <w:docPartObj>
        <w:docPartGallery w:val="Page Numbers (Bottom of Page)"/>
        <w:docPartUnique/>
      </w:docPartObj>
    </w:sdtPr>
    <w:sdtContent>
      <w:p w:rsidR="00757B45" w:rsidRDefault="00B17697" w:rsidP="00B176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883158"/>
      <w:docPartObj>
        <w:docPartGallery w:val="Page Numbers (Bottom of Page)"/>
        <w:docPartUnique/>
      </w:docPartObj>
    </w:sdtPr>
    <w:sdtContent>
      <w:p w:rsidR="00757B45" w:rsidRDefault="00B17697" w:rsidP="00B176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11" w:rsidRDefault="00105111">
      <w:r>
        <w:separator/>
      </w:r>
    </w:p>
  </w:footnote>
  <w:footnote w:type="continuationSeparator" w:id="0">
    <w:p w:rsidR="00105111" w:rsidRDefault="0010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45"/>
    <w:rsid w:val="000013C9"/>
    <w:rsid w:val="00025536"/>
    <w:rsid w:val="00103427"/>
    <w:rsid w:val="00105111"/>
    <w:rsid w:val="00127BC7"/>
    <w:rsid w:val="001734BE"/>
    <w:rsid w:val="001A146E"/>
    <w:rsid w:val="001D5FB1"/>
    <w:rsid w:val="002234DD"/>
    <w:rsid w:val="00245AD4"/>
    <w:rsid w:val="002C2547"/>
    <w:rsid w:val="002F66A3"/>
    <w:rsid w:val="003330C3"/>
    <w:rsid w:val="00334D00"/>
    <w:rsid w:val="00342F74"/>
    <w:rsid w:val="0035053C"/>
    <w:rsid w:val="003B1630"/>
    <w:rsid w:val="003B2F1E"/>
    <w:rsid w:val="003B5E3D"/>
    <w:rsid w:val="003B7193"/>
    <w:rsid w:val="003D645A"/>
    <w:rsid w:val="004166CB"/>
    <w:rsid w:val="00467966"/>
    <w:rsid w:val="00492EF0"/>
    <w:rsid w:val="004F7465"/>
    <w:rsid w:val="0052630D"/>
    <w:rsid w:val="00540A0A"/>
    <w:rsid w:val="00557AF7"/>
    <w:rsid w:val="005658E6"/>
    <w:rsid w:val="005B3690"/>
    <w:rsid w:val="00654372"/>
    <w:rsid w:val="0067463C"/>
    <w:rsid w:val="006B3FD4"/>
    <w:rsid w:val="006E76C7"/>
    <w:rsid w:val="00712BAB"/>
    <w:rsid w:val="0073054D"/>
    <w:rsid w:val="00741241"/>
    <w:rsid w:val="00757B45"/>
    <w:rsid w:val="00775232"/>
    <w:rsid w:val="00783A2B"/>
    <w:rsid w:val="007C057B"/>
    <w:rsid w:val="007C3195"/>
    <w:rsid w:val="007C340E"/>
    <w:rsid w:val="007D676C"/>
    <w:rsid w:val="008B6918"/>
    <w:rsid w:val="00920B97"/>
    <w:rsid w:val="00924B2F"/>
    <w:rsid w:val="009452A5"/>
    <w:rsid w:val="009730CA"/>
    <w:rsid w:val="00984F54"/>
    <w:rsid w:val="009C6182"/>
    <w:rsid w:val="009D4898"/>
    <w:rsid w:val="009D6EC3"/>
    <w:rsid w:val="00A015A8"/>
    <w:rsid w:val="00A2027A"/>
    <w:rsid w:val="00A220B5"/>
    <w:rsid w:val="00A74BAB"/>
    <w:rsid w:val="00AE3790"/>
    <w:rsid w:val="00AF62E3"/>
    <w:rsid w:val="00B17697"/>
    <w:rsid w:val="00B24457"/>
    <w:rsid w:val="00B71792"/>
    <w:rsid w:val="00B97282"/>
    <w:rsid w:val="00BB29B6"/>
    <w:rsid w:val="00BD1908"/>
    <w:rsid w:val="00C41FCF"/>
    <w:rsid w:val="00C916B0"/>
    <w:rsid w:val="00CB2970"/>
    <w:rsid w:val="00CD26D1"/>
    <w:rsid w:val="00CD3873"/>
    <w:rsid w:val="00CF2DE5"/>
    <w:rsid w:val="00D02083"/>
    <w:rsid w:val="00D26A8E"/>
    <w:rsid w:val="00D26E58"/>
    <w:rsid w:val="00D46C91"/>
    <w:rsid w:val="00D643BD"/>
    <w:rsid w:val="00D66F4E"/>
    <w:rsid w:val="00DD59EB"/>
    <w:rsid w:val="00E426F1"/>
    <w:rsid w:val="00E514AF"/>
    <w:rsid w:val="00E61618"/>
    <w:rsid w:val="00E63541"/>
    <w:rsid w:val="00ED7BC0"/>
    <w:rsid w:val="00F6253E"/>
    <w:rsid w:val="00F97953"/>
    <w:rsid w:val="00FE098F"/>
    <w:rsid w:val="00FE30ED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DFE515"/>
  <w15:docId w15:val="{98601626-9073-4FCA-A8ED-4B161BE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1444E9"/>
    <w:rPr>
      <w:color w:val="0563C1" w:themeColor="hyperlink"/>
      <w:u w:val="single"/>
    </w:rPr>
  </w:style>
  <w:style w:type="character" w:customStyle="1" w:styleId="PtaChar">
    <w:name w:val="Päta Char"/>
    <w:basedOn w:val="Predvolenpsmoodseku"/>
    <w:link w:val="Pta"/>
    <w:uiPriority w:val="99"/>
    <w:qFormat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AE67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qFormat/>
    <w:rsid w:val="00AE6755"/>
    <w:rPr>
      <w:rFonts w:cs="Times New Roman"/>
    </w:rPr>
  </w:style>
  <w:style w:type="paragraph" w:customStyle="1" w:styleId="Nadpis">
    <w:name w:val="Nadpis"/>
    <w:basedOn w:val="Normlny"/>
    <w:next w:val="Zkladntext"/>
    <w:qFormat/>
    <w:rsid w:val="00334D0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rsid w:val="00334D00"/>
    <w:pPr>
      <w:spacing w:after="140" w:line="276" w:lineRule="auto"/>
    </w:pPr>
  </w:style>
  <w:style w:type="paragraph" w:styleId="Zoznam">
    <w:name w:val="List"/>
    <w:basedOn w:val="Zkladntext"/>
    <w:rsid w:val="00334D00"/>
    <w:rPr>
      <w:rFonts w:cs="Lohit Devanagari"/>
    </w:rPr>
  </w:style>
  <w:style w:type="paragraph" w:styleId="Popis">
    <w:name w:val="caption"/>
    <w:basedOn w:val="Normlny"/>
    <w:qFormat/>
    <w:rsid w:val="00334D00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rsid w:val="00334D00"/>
    <w:pPr>
      <w:suppressLineNumbers/>
    </w:pPr>
    <w:rPr>
      <w:rFonts w:cs="Lohit Devanagari"/>
    </w:rPr>
  </w:style>
  <w:style w:type="paragraph" w:styleId="Normlnywebov">
    <w:name w:val="Normal (Web)"/>
    <w:basedOn w:val="Normlny"/>
    <w:uiPriority w:val="99"/>
    <w:qFormat/>
    <w:rsid w:val="001444E9"/>
    <w:pPr>
      <w:spacing w:beforeAutospacing="1" w:afterAutospacing="1"/>
    </w:pPr>
  </w:style>
  <w:style w:type="paragraph" w:styleId="Pta">
    <w:name w:val="footer"/>
    <w:basedOn w:val="Normlny"/>
    <w:link w:val="PtaChar"/>
    <w:uiPriority w:val="99"/>
    <w:unhideWhenUsed/>
    <w:rsid w:val="001444E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rsid w:val="00AE67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8CAE-1C21-4940-91FB-18DF4E52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Tímea</cp:lastModifiedBy>
  <cp:revision>7</cp:revision>
  <cp:lastPrinted>2021-05-06T09:54:00Z</cp:lastPrinted>
  <dcterms:created xsi:type="dcterms:W3CDTF">2021-05-04T09:54:00Z</dcterms:created>
  <dcterms:modified xsi:type="dcterms:W3CDTF">2021-05-06T09:54:00Z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