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456"/>
      </w:tblGrid>
      <w:tr w:rsidR="007D5748" w:rsidRPr="007D5748" w:rsidTr="00E63E8A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57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63E8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814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814C3" w:rsidP="008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814C3" w:rsidP="0088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7D5748" w:rsidRPr="007D5748" w:rsidRDefault="008814C3" w:rsidP="00AB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63E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63E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C52465" w:rsidTr="00E63E8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820EFD" w:rsidRDefault="00AB6F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A341E6" w:rsidRDefault="00A341E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C52465" w:rsidRDefault="00C52465" w:rsidP="00C5246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18 086 550</w:t>
            </w:r>
          </w:p>
        </w:tc>
        <w:tc>
          <w:tcPr>
            <w:tcW w:w="1456" w:type="dxa"/>
            <w:shd w:val="clear" w:color="auto" w:fill="C0C0C0"/>
            <w:noWrap/>
            <w:vAlign w:val="center"/>
          </w:tcPr>
          <w:p w:rsidR="007D5748" w:rsidRPr="00C52465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13 077 240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88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8814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MIRRI SR/ </w:t>
            </w:r>
            <w:r w:rsidR="008814C3" w:rsidRPr="008814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0ET06</w:t>
            </w:r>
          </w:p>
        </w:tc>
        <w:tc>
          <w:tcPr>
            <w:tcW w:w="1267" w:type="dxa"/>
            <w:noWrap/>
            <w:vAlign w:val="center"/>
          </w:tcPr>
          <w:p w:rsidR="007D5748" w:rsidRPr="00820EFD" w:rsidRDefault="00AB6F54" w:rsidP="00187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267" w:type="dxa"/>
            <w:noWrap/>
            <w:vAlign w:val="center"/>
          </w:tcPr>
          <w:p w:rsidR="007D5748" w:rsidRPr="00105A75" w:rsidRDefault="00A341E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267" w:type="dxa"/>
            <w:noWrap/>
            <w:vAlign w:val="center"/>
          </w:tcPr>
          <w:p w:rsidR="007D5748" w:rsidRPr="008879FA" w:rsidRDefault="008879FA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524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18 086 550</w:t>
            </w:r>
          </w:p>
        </w:tc>
        <w:tc>
          <w:tcPr>
            <w:tcW w:w="1456" w:type="dxa"/>
            <w:noWrap/>
            <w:vAlign w:val="center"/>
          </w:tcPr>
          <w:p w:rsidR="007D5748" w:rsidRPr="00C52465" w:rsidRDefault="00C52465" w:rsidP="00187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k-SK"/>
              </w:rPr>
            </w:pPr>
            <w:r w:rsidRPr="00C524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13 077 240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820EF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green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105A7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105A75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56" w:type="dxa"/>
            <w:noWrap/>
            <w:vAlign w:val="center"/>
          </w:tcPr>
          <w:p w:rsidR="007D5748" w:rsidRPr="00820EF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green"/>
                <w:lang w:eastAsia="sk-SK"/>
              </w:rPr>
            </w:pPr>
          </w:p>
        </w:tc>
      </w:tr>
      <w:tr w:rsidR="00C52465" w:rsidRPr="007D5748" w:rsidTr="00EC7F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465" w:rsidRPr="007D5748" w:rsidRDefault="00C52465" w:rsidP="00C5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2465" w:rsidRPr="00820EFD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green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267" w:type="dxa"/>
            <w:noWrap/>
          </w:tcPr>
          <w:p w:rsidR="00C52465" w:rsidRPr="00A341E6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267" w:type="dxa"/>
            <w:noWrap/>
            <w:vAlign w:val="bottom"/>
          </w:tcPr>
          <w:p w:rsidR="00C52465" w:rsidRPr="00C52465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18 086 550</w:t>
            </w:r>
          </w:p>
        </w:tc>
        <w:tc>
          <w:tcPr>
            <w:tcW w:w="1456" w:type="dxa"/>
            <w:noWrap/>
          </w:tcPr>
          <w:p w:rsidR="00C52465" w:rsidRPr="00820EFD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green"/>
                <w:lang w:eastAsia="sk-SK"/>
              </w:rPr>
            </w:pPr>
            <w:r w:rsidRPr="0090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13 077 240</w:t>
            </w:r>
          </w:p>
        </w:tc>
      </w:tr>
      <w:tr w:rsidR="00C52465" w:rsidRPr="007D5748" w:rsidTr="00EC7F7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2465" w:rsidRPr="007D5748" w:rsidRDefault="00C52465" w:rsidP="00C5246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2465" w:rsidRPr="00820EFD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green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267" w:type="dxa"/>
            <w:noWrap/>
          </w:tcPr>
          <w:p w:rsidR="00C52465" w:rsidRPr="00A341E6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A3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267" w:type="dxa"/>
            <w:noWrap/>
            <w:vAlign w:val="bottom"/>
          </w:tcPr>
          <w:p w:rsidR="00C52465" w:rsidRPr="00C52465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18 086 550</w:t>
            </w:r>
          </w:p>
        </w:tc>
        <w:tc>
          <w:tcPr>
            <w:tcW w:w="1456" w:type="dxa"/>
            <w:noWrap/>
          </w:tcPr>
          <w:p w:rsidR="00C52465" w:rsidRPr="00820EFD" w:rsidRDefault="00C52465" w:rsidP="00C52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green"/>
                <w:lang w:eastAsia="sk-SK"/>
              </w:rPr>
            </w:pPr>
            <w:r w:rsidRPr="00903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13 077 240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B6F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B6F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B6F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8 895 650</w:t>
            </w:r>
          </w:p>
        </w:tc>
        <w:tc>
          <w:tcPr>
            <w:tcW w:w="1456" w:type="dxa"/>
            <w:shd w:val="clear" w:color="auto" w:fill="C0C0C0"/>
            <w:noWrap/>
            <w:vAlign w:val="center"/>
          </w:tcPr>
          <w:p w:rsidR="007D5748" w:rsidRPr="007D5748" w:rsidRDefault="005314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8 895 650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8814C3" w:rsidRPr="008814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MIRRI SR/ 0ET06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B6F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B6F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B6F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8 895 650</w:t>
            </w:r>
          </w:p>
        </w:tc>
        <w:tc>
          <w:tcPr>
            <w:tcW w:w="1456" w:type="dxa"/>
            <w:noWrap/>
            <w:vAlign w:val="center"/>
          </w:tcPr>
          <w:p w:rsidR="007D5748" w:rsidRPr="007D5748" w:rsidRDefault="005314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8 895 650</w:t>
            </w:r>
          </w:p>
        </w:tc>
      </w:tr>
      <w:tr w:rsidR="007D5748" w:rsidRPr="007D5748" w:rsidTr="00E63E8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9C77E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56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20EFD">
        <w:trPr>
          <w:trHeight w:val="109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820EFD" w:rsidRDefault="00AB6F5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k-SK"/>
              </w:rPr>
            </w:pPr>
            <w:r w:rsidRPr="0082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820EFD" w:rsidRDefault="005314C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820EFD" w:rsidRDefault="00A341E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9 190 900</w:t>
            </w:r>
          </w:p>
        </w:tc>
        <w:tc>
          <w:tcPr>
            <w:tcW w:w="1456" w:type="dxa"/>
            <w:shd w:val="clear" w:color="auto" w:fill="A6A6A6" w:themeFill="background1" w:themeFillShade="A6"/>
            <w:noWrap/>
            <w:vAlign w:val="center"/>
          </w:tcPr>
          <w:p w:rsidR="007D5748" w:rsidRPr="00820EFD" w:rsidRDefault="00C52465" w:rsidP="00187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k-SK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4 181 590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546434" w:rsidRDefault="009458FC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458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predpokladá financovanie 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NRO (</w:t>
      </w:r>
      <w:r w:rsidRPr="009458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Lučenec;  Poltár;  Revúca;  Rimavská Sobota;  </w:t>
      </w:r>
      <w:r w:rsidR="00625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Pr="009458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ežmarok;  Sabinov;  Svidník;  Vranov nad Topľou;  Rožňava;  Sobrance;  Trebišov;  Stará </w:t>
      </w:r>
      <w:r w:rsidR="00625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Ľ</w:t>
      </w:r>
      <w:r w:rsidRPr="009458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ubovňa;  Košice okolie;  Bardejov;  Levoča;  Medzilaborce;  Gelnica;  Stropkov;  Michalovce</w:t>
      </w:r>
      <w:r w:rsidR="00625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 na roky 202</w:t>
      </w:r>
      <w:r w:rsidR="003C47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625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</w:t>
      </w:r>
      <w:r w:rsidR="00EC7F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2028, viď. </w:t>
      </w:r>
      <w:r w:rsidR="00C471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č.1. A</w:t>
      </w:r>
      <w:r w:rsidR="00F75E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lokácia </w:t>
      </w:r>
      <w:r w:rsidR="003C47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potrebná na financovanie návrhu </w:t>
      </w:r>
      <w:r w:rsidR="00F75E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rovnaká s alokáciou určenou na súčasné </w:t>
      </w:r>
      <w:r w:rsidR="00EC7F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alebo už ukončené </w:t>
      </w:r>
      <w:r w:rsidR="00F75E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akčné plány </w:t>
      </w:r>
      <w:r w:rsidR="00EC7F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roky </w:t>
      </w:r>
      <w:r w:rsidR="00F75E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201</w:t>
      </w:r>
      <w:r w:rsidR="0054643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F75E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-202</w:t>
      </w:r>
      <w:r w:rsidR="003C47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625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0E6A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C47186" w:rsidRDefault="00C47186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458FC" w:rsidRDefault="00546434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č.1 </w:t>
      </w:r>
      <w:r w:rsidR="00625A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458FC" w:rsidRPr="009458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9678A8" w:rsidRDefault="009678A8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78A8">
        <w:rPr>
          <w:noProof/>
          <w:lang w:eastAsia="sk-SK"/>
        </w:rPr>
        <w:drawing>
          <wp:inline distT="0" distB="0" distL="0" distR="0" wp14:anchorId="222FDCA1" wp14:editId="164ACF80">
            <wp:extent cx="2038350" cy="3995527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18" cy="40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C" w:rsidRDefault="009458FC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46434" w:rsidRDefault="00546434" w:rsidP="00546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návrhu </w:t>
      </w:r>
      <w:r w:rsidR="007655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bode 2.1</w:t>
      </w:r>
      <w:r w:rsidR="00C471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doložky vplyvov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aj alokácia, ktorá je rozpočtovo krytá a je určená na dobeh súčasných akčných plánov</w:t>
      </w:r>
      <w:r w:rsidR="007655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roky 2021-2023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546434" w:rsidRDefault="00546434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93983" w:rsidRDefault="00093983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Výdavky:</w:t>
      </w:r>
    </w:p>
    <w:p w:rsidR="001F0F12" w:rsidRDefault="001F0F12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Rozpočtovo nekrytý vplyv </w:t>
      </w:r>
      <w:r w:rsidR="000827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roky 202</w:t>
      </w:r>
      <w:r w:rsidR="00323A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0827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2024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bude predmetom rokovania o príprave rozpočtu </w:t>
      </w:r>
      <w:r w:rsidR="000827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 MFSR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1F0F12" w:rsidRDefault="001F0F12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93983" w:rsidRDefault="00093983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Príjmy: </w:t>
      </w:r>
    </w:p>
    <w:p w:rsidR="007D5748" w:rsidRPr="00E63E8A" w:rsidRDefault="00093983" w:rsidP="00E63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zabezpečení financovania návrhu sa očakávajú p</w:t>
      </w:r>
      <w:r w:rsidR="0059207B" w:rsidRPr="00E63E8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ozitívne efekty najmä na strane príjmov štátneho rozpočtu plynúcich z tvorby nových pracovných miest a podpory realizácie investícií. Pôjde predovšetkým o príjmy z priamych daní a nepriamych daní. Zároveň v spojitosti s nárastom zamestnanosti možno očakávať pozitívny vplyv na rozpočet verejnej správy v podobe poklesu výdavkov na podporu sociálne odkázaných domácností v najmenej rozvinutých okresoch. Výšku príjmov v súčasnosti nie je možné vyčísliť.</w:t>
      </w:r>
    </w:p>
    <w:p w:rsidR="00DE4B59" w:rsidRDefault="00DE4B5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E4B59" w:rsidRDefault="00DE4B5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E4B59" w:rsidRDefault="00DE4B5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E4B59" w:rsidRDefault="00DE4B59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" w:name="_GoBack"/>
      <w:bookmarkEnd w:id="1"/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FF33C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F33C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E63E8A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FF33C4" w:rsidRPr="00FF33C4" w:rsidRDefault="00FF33C4" w:rsidP="00FF33C4">
      <w:pPr>
        <w:pStyle w:val="TableParagraph"/>
        <w:spacing w:line="270" w:lineRule="exact"/>
        <w:ind w:left="64" w:firstLine="644"/>
        <w:jc w:val="both"/>
      </w:pPr>
      <w:r w:rsidRPr="00FF33C4">
        <w:t xml:space="preserve">Návrh zákona v rámci plánovania podpory najmenej rozvinutých okresov na Slovensku nahrádza model tvorby abstraktného akčného plánu a na to nadväzujúcich ročných priorít modelom tvorby jedného plánovacieho </w:t>
      </w:r>
      <w:r w:rsidR="00F45850">
        <w:t>d</w:t>
      </w:r>
      <w:r w:rsidR="003A1FCD">
        <w:t>okumentu v podobe plánu rozvoja</w:t>
      </w:r>
      <w:r w:rsidRPr="00FF33C4">
        <w:t xml:space="preserve">. Rovnako umožňuje tento dokument vytvoriť i pre niekoľko najmenej rozvinutých okresov dohromady v podobe plánu </w:t>
      </w:r>
      <w:r w:rsidR="003A1FCD">
        <w:t>rozvoja</w:t>
      </w:r>
      <w:r w:rsidRPr="00FF33C4">
        <w:t xml:space="preserve"> najmenej rozvinutého územia, nakoľko rozvojový problém v danom území častokrát presahuje hranice okresu a jeho riešenie je tak potrebné hľadať v kontexte viacerých okresov. Po prijatí novely budú plány </w:t>
      </w:r>
      <w:r w:rsidR="003A1FCD">
        <w:t>rozvoja</w:t>
      </w:r>
      <w:r w:rsidR="00186937">
        <w:t xml:space="preserve"> vychádzať zo strategických dokumentov</w:t>
      </w:r>
      <w:r w:rsidRPr="00FF33C4">
        <w:t xml:space="preserve"> kraja.</w:t>
      </w:r>
    </w:p>
    <w:p w:rsidR="00FF33C4" w:rsidRPr="00FF33C4" w:rsidRDefault="00CD7218" w:rsidP="006252ED">
      <w:pPr>
        <w:pStyle w:val="TableParagraph"/>
        <w:spacing w:line="270" w:lineRule="exact"/>
        <w:ind w:left="64" w:firstLine="644"/>
        <w:jc w:val="both"/>
      </w:pPr>
      <w:r>
        <w:t>Novela</w:t>
      </w:r>
      <w:r w:rsidR="00FF33C4" w:rsidRPr="00FF33C4">
        <w:t xml:space="preserve"> rovnako nahrádza model prípravy a vyhodnocovania výziev na poskytnutie regionálneho príspevku založeného na odporúčaniach okresných úradov modelom riadiacich výborov. </w:t>
      </w:r>
    </w:p>
    <w:p w:rsidR="007D5748" w:rsidRPr="00FF33C4" w:rsidRDefault="00FF33C4" w:rsidP="0082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3C4">
        <w:rPr>
          <w:rFonts w:ascii="Times New Roman" w:hAnsi="Times New Roman" w:cs="Times New Roman"/>
        </w:rPr>
        <w:t>Predkladaná novela súčasne reflektuje na prechod právomocí i miery zodpovednosti za regionálny rozvoj na MIRRI SR a zakotvuje v prospech tohto ministerstva oprávnenie rozhodovať o poskytnutí regionálneho príspevku.</w:t>
      </w:r>
      <w:r w:rsidR="00D638D0">
        <w:rPr>
          <w:rFonts w:ascii="Times New Roman" w:hAnsi="Times New Roman" w:cs="Times New Roman"/>
        </w:rPr>
        <w:t xml:space="preserve"> </w:t>
      </w:r>
      <w:r w:rsidR="00896B99">
        <w:rPr>
          <w:rFonts w:ascii="Times New Roman" w:hAnsi="Times New Roman" w:cs="Times New Roman"/>
        </w:rPr>
        <w:t xml:space="preserve">Začiatok </w:t>
      </w:r>
      <w:r w:rsidR="00896B99" w:rsidRPr="00820EFD">
        <w:rPr>
          <w:rFonts w:ascii="Times New Roman" w:hAnsi="Times New Roman" w:cs="Times New Roman"/>
        </w:rPr>
        <w:t>r</w:t>
      </w:r>
      <w:r w:rsidR="00D638D0" w:rsidRPr="00820EFD">
        <w:rPr>
          <w:rFonts w:ascii="Times New Roman" w:hAnsi="Times New Roman" w:cs="Times New Roman"/>
        </w:rPr>
        <w:t xml:space="preserve">ealizácia podpory najmenej rozvinutých okresov </w:t>
      </w:r>
      <w:r w:rsidR="00896B99" w:rsidRPr="00820EFD">
        <w:rPr>
          <w:rFonts w:ascii="Times New Roman" w:hAnsi="Times New Roman" w:cs="Times New Roman"/>
        </w:rPr>
        <w:t>podľa</w:t>
      </w:r>
      <w:r w:rsidR="00D638D0" w:rsidRPr="00820EFD">
        <w:rPr>
          <w:rFonts w:ascii="Times New Roman" w:hAnsi="Times New Roman" w:cs="Times New Roman"/>
        </w:rPr>
        <w:t xml:space="preserve"> novely zákona </w:t>
      </w:r>
      <w:r w:rsidR="00896B99" w:rsidRPr="00820EFD">
        <w:rPr>
          <w:rFonts w:ascii="Times New Roman" w:hAnsi="Times New Roman" w:cs="Times New Roman"/>
        </w:rPr>
        <w:t>je od roku 2022</w:t>
      </w:r>
      <w:r w:rsidR="00D638D0" w:rsidRPr="00820EFD">
        <w:rPr>
          <w:rFonts w:ascii="Times New Roman" w:hAnsi="Times New Roman" w:cs="Times New Roman"/>
        </w:rPr>
        <w:t xml:space="preserve"> na obdobie 5 rokov.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9C77E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8814C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8814C3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8814C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EFD" w:rsidRDefault="00820E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20EFD" w:rsidRDefault="00820E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207B" w:rsidRPr="00E63E8A" w:rsidRDefault="0059207B" w:rsidP="00820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E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Pozitívne efekty sa predpokladajú najmä na strane príjmov štátneho rozpočtu plynúcich z tvorby nových pracovných miest a podpory realizácie investícií. Pôjde predovšetkým o príjmy z priamych daní a nepriamych daní. Zároveň v spojitosti s nárastom zamestnanosti možno očakávať pozitívny vplyv na rozpočet verejnej správy v podobe poklesu výdavkov na podporu sociálne odkázaných domácností v najmenej rozvinutých okresoch. </w:t>
      </w:r>
      <w:r w:rsidR="005E47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roku 2016 bolo podporených </w:t>
      </w:r>
      <w:r w:rsidR="00820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celkovo </w:t>
      </w:r>
      <w:r w:rsidR="00C31717">
        <w:rPr>
          <w:rFonts w:ascii="Times New Roman" w:eastAsia="Times New Roman" w:hAnsi="Times New Roman" w:cs="Times New Roman"/>
          <w:sz w:val="24"/>
          <w:szCs w:val="24"/>
          <w:lang w:eastAsia="sk-SK"/>
        </w:rPr>
        <w:t>917</w:t>
      </w:r>
      <w:r w:rsidR="00820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subjektov v celkovej výške </w:t>
      </w:r>
      <w:r w:rsidR="00C31717">
        <w:rPr>
          <w:rFonts w:ascii="Times New Roman" w:eastAsia="Times New Roman" w:hAnsi="Times New Roman" w:cs="Times New Roman"/>
          <w:sz w:val="24"/>
          <w:szCs w:val="24"/>
          <w:lang w:eastAsia="sk-SK"/>
        </w:rPr>
        <w:t>62,5 mil.</w:t>
      </w:r>
      <w:r w:rsidR="00820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z toho </w:t>
      </w:r>
      <w:r w:rsidR="005E47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335 podnikateľských subjektov, v celkovej výške </w:t>
      </w:r>
      <w:r w:rsidR="00C317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takmer 21, 1 mil. </w:t>
      </w:r>
      <w:r w:rsidR="007F0996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820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Podporené projekty </w:t>
      </w:r>
      <w:r w:rsidR="00820EF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vytvorili </w:t>
      </w:r>
      <w:r w:rsidR="007F09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približne </w:t>
      </w:r>
      <w:r w:rsidR="00C31717">
        <w:rPr>
          <w:rFonts w:ascii="Times New Roman" w:eastAsia="Times New Roman" w:hAnsi="Times New Roman" w:cs="Times New Roman"/>
          <w:sz w:val="24"/>
          <w:szCs w:val="24"/>
          <w:lang w:eastAsia="sk-SK"/>
        </w:rPr>
        <w:t>1300 pracovných miest</w:t>
      </w:r>
      <w:r w:rsidR="00820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 toho </w:t>
      </w:r>
      <w:r w:rsidR="007F0996">
        <w:rPr>
          <w:rFonts w:ascii="Times New Roman" w:eastAsia="Times New Roman" w:hAnsi="Times New Roman" w:cs="Times New Roman"/>
          <w:sz w:val="24"/>
          <w:szCs w:val="24"/>
          <w:lang w:eastAsia="sk-SK"/>
        </w:rPr>
        <w:t>830</w:t>
      </w:r>
      <w:r w:rsidR="00625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pracovných miest</w:t>
      </w:r>
      <w:r w:rsidR="00820E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vzniklo u podnikateľských subjektov</w:t>
      </w:r>
      <w:r w:rsidR="00625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7D5748" w:rsidRPr="007D5748" w:rsidRDefault="0059207B" w:rsidP="00535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3E8A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výpočte vplyvov na verejné financie sa vychádzalo z</w:t>
      </w:r>
      <w:r w:rsidR="00361E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predpokladu, že plán </w:t>
      </w:r>
      <w:r w:rsidR="003A1FCD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rozvoja</w:t>
      </w:r>
      <w:r w:rsidR="00361E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spracovaný pre </w:t>
      </w:r>
      <w:r w:rsidR="00D1658F">
        <w:rPr>
          <w:rFonts w:ascii="Times New Roman" w:eastAsia="Times New Roman" w:hAnsi="Times New Roman" w:cs="Times New Roman"/>
          <w:sz w:val="24"/>
          <w:szCs w:val="24"/>
          <w:lang w:eastAsia="sk-SK"/>
        </w:rPr>
        <w:t>devätnásť</w:t>
      </w:r>
      <w:r w:rsidR="00361E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63E8A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rozvinutých okresov</w:t>
      </w:r>
      <w:r w:rsidR="00361E5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v súčasnosti spĺňajú kritériá na poskytnutie podpory podľa navrhovaného znenia zákona</w:t>
      </w:r>
      <w:r w:rsidRPr="00E63E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61E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446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výška regionálneho príspevku rozpočtovaná na podporu implementácie plánov </w:t>
      </w:r>
      <w:r w:rsidR="003A1FCD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rozvoja</w:t>
      </w:r>
      <w:r w:rsidR="005446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navrhovaného znenia zákona počas piatich rozpočtových rokov je rovnaká, ako bola stanovená na r</w:t>
      </w:r>
      <w:r w:rsidR="003A1FCD">
        <w:rPr>
          <w:rFonts w:ascii="Times New Roman" w:eastAsia="Times New Roman" w:hAnsi="Times New Roman" w:cs="Times New Roman"/>
          <w:sz w:val="24"/>
          <w:szCs w:val="24"/>
          <w:lang w:eastAsia="sk-SK"/>
        </w:rPr>
        <w:t>ealizáciu akčných plánov</w:t>
      </w:r>
      <w:r w:rsidR="005446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pôvodného znenia zákona, t. j. </w:t>
      </w:r>
      <w:r w:rsidR="002F1D66">
        <w:rPr>
          <w:rFonts w:ascii="Times New Roman" w:eastAsia="Times New Roman" w:hAnsi="Times New Roman" w:cs="Times New Roman"/>
          <w:sz w:val="24"/>
          <w:szCs w:val="24"/>
          <w:lang w:eastAsia="sk-SK"/>
        </w:rPr>
        <w:t>67,4</w:t>
      </w:r>
      <w:r w:rsidR="005446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eur. Rozloženie alokácie medzi jednotlivé najmenej rozvinuté okresy bolo stanovené výpočtom, ktorý pozostával z fixnej a variabilnej zložky. Fixná zložka tvorí 40 % celkovej alokácie (</w:t>
      </w:r>
      <w:r w:rsidR="005353B3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="005446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eur) a je rovnaká pre každý najmenej rozvinutý okres (cca 1,</w:t>
      </w:r>
      <w:r w:rsidR="005353B3">
        <w:rPr>
          <w:rFonts w:ascii="Times New Roman" w:eastAsia="Times New Roman" w:hAnsi="Times New Roman" w:cs="Times New Roman"/>
          <w:sz w:val="24"/>
          <w:szCs w:val="24"/>
          <w:lang w:eastAsia="sk-SK"/>
        </w:rPr>
        <w:t>41</w:t>
      </w:r>
      <w:r w:rsidR="005446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eur). </w:t>
      </w:r>
      <w:r w:rsidR="00E816C7">
        <w:rPr>
          <w:rFonts w:ascii="Times New Roman" w:eastAsia="Times New Roman" w:hAnsi="Times New Roman" w:cs="Times New Roman"/>
          <w:sz w:val="24"/>
          <w:szCs w:val="24"/>
          <w:lang w:eastAsia="sk-SK"/>
        </w:rPr>
        <w:t>Variabilná zložka tvorí 60 % celkovej alokácie (4</w:t>
      </w:r>
      <w:r w:rsidR="005353B3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2F1D66">
        <w:rPr>
          <w:rFonts w:ascii="Times New Roman" w:eastAsia="Times New Roman" w:hAnsi="Times New Roman" w:cs="Times New Roman"/>
          <w:sz w:val="24"/>
          <w:szCs w:val="24"/>
          <w:lang w:eastAsia="sk-SK"/>
        </w:rPr>
        <w:t>,4</w:t>
      </w:r>
      <w:r w:rsidR="00E816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mil. eur) a pre každý najmenej rozvinutý okres je stanovená ako podiel počtu uchádzačov o zamestnanie</w:t>
      </w:r>
      <w:r w:rsidR="00E816C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E816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okrese z celkového počtu uchádzačov o zamestnanie vo všetkých najmenej rozvinutých okresoch k decembru </w:t>
      </w:r>
      <w:r w:rsidR="00E816C7" w:rsidRPr="00E816C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896B99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D70841">
        <w:rPr>
          <w:rFonts w:ascii="Times New Roman" w:eastAsia="Times New Roman" w:hAnsi="Times New Roman" w:cs="Times New Roman"/>
          <w:sz w:val="24"/>
          <w:szCs w:val="24"/>
          <w:lang w:eastAsia="sk-SK"/>
        </w:rPr>
        <w:t>. Výsledná alokácia pre</w:t>
      </w:r>
      <w:r w:rsidR="005353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jednotlivé okresy je následne </w:t>
      </w:r>
      <w:r w:rsidR="00D708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rozdelená do piatich rokov implementácie plánov </w:t>
      </w:r>
      <w:r w:rsidR="003A1FCD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rozvoja</w:t>
      </w:r>
      <w:r w:rsidR="002F1D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8814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8814C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814C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8814C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814C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C77E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C77E9" w:rsidP="00E6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C77E9" w:rsidP="00E6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9C77E9" w:rsidP="001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63E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02604" w:rsidRPr="007D5748" w:rsidTr="00BC737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4" w:rsidRPr="007D5748" w:rsidRDefault="00402604" w:rsidP="004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04" w:rsidRPr="00820EFD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04" w:rsidRPr="00A341E6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04" w:rsidRPr="00C52465" w:rsidRDefault="00402604" w:rsidP="0040260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18 086 550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04" w:rsidRPr="00C52465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13 077 240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604" w:rsidRPr="007D5748" w:rsidRDefault="00402604" w:rsidP="004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02604" w:rsidRPr="007D5748" w:rsidTr="004518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04" w:rsidRPr="007D5748" w:rsidRDefault="00402604" w:rsidP="004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04" w:rsidRPr="00402604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sk-SK"/>
              </w:rPr>
            </w:pPr>
            <w:r w:rsidRPr="0040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04" w:rsidRPr="00402604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026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04" w:rsidRPr="00402604" w:rsidRDefault="00402604" w:rsidP="0040260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026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18 086 550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04" w:rsidRPr="00402604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260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13 077 240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604" w:rsidRPr="007D5748" w:rsidRDefault="00402604" w:rsidP="004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13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13052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13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02604" w:rsidRPr="007D5748" w:rsidTr="00F41FCA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2604" w:rsidRPr="007D5748" w:rsidRDefault="00402604" w:rsidP="0040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604" w:rsidRPr="00820EFD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k-SK"/>
              </w:rPr>
            </w:pPr>
            <w:r w:rsidRPr="00AB6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13 185 150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604" w:rsidRPr="00A341E6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34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10 339 900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604" w:rsidRPr="00C52465" w:rsidRDefault="00402604" w:rsidP="0040260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18 086 550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604" w:rsidRPr="00C52465" w:rsidRDefault="00402604" w:rsidP="00402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52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13 077 240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02604" w:rsidRPr="007D5748" w:rsidRDefault="00402604" w:rsidP="0040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8814C3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814C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814C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BF" w:rsidRDefault="00E173BF">
      <w:pPr>
        <w:spacing w:after="0" w:line="240" w:lineRule="auto"/>
      </w:pPr>
      <w:r>
        <w:separator/>
      </w:r>
    </w:p>
  </w:endnote>
  <w:endnote w:type="continuationSeparator" w:id="0">
    <w:p w:rsidR="00E173BF" w:rsidRDefault="00E1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2" w:rsidRDefault="00EC7F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C7F72" w:rsidRDefault="00EC7F7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2" w:rsidRDefault="00EC7F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E4B59">
      <w:rPr>
        <w:noProof/>
      </w:rPr>
      <w:t>4</w:t>
    </w:r>
    <w:r>
      <w:fldChar w:fldCharType="end"/>
    </w:r>
  </w:p>
  <w:p w:rsidR="00EC7F72" w:rsidRDefault="00EC7F7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2" w:rsidRDefault="00EC7F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C7F72" w:rsidRDefault="00EC7F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BF" w:rsidRDefault="00E173BF">
      <w:pPr>
        <w:spacing w:after="0" w:line="240" w:lineRule="auto"/>
      </w:pPr>
      <w:r>
        <w:separator/>
      </w:r>
    </w:p>
  </w:footnote>
  <w:footnote w:type="continuationSeparator" w:id="0">
    <w:p w:rsidR="00E173BF" w:rsidRDefault="00E173BF">
      <w:pPr>
        <w:spacing w:after="0" w:line="240" w:lineRule="auto"/>
      </w:pPr>
      <w:r>
        <w:continuationSeparator/>
      </w:r>
    </w:p>
  </w:footnote>
  <w:footnote w:id="1">
    <w:p w:rsidR="00EC7F72" w:rsidRPr="00820EFD" w:rsidRDefault="00EC7F72">
      <w:pPr>
        <w:pStyle w:val="Textpoznmkypodiarou"/>
        <w:rPr>
          <w:rFonts w:ascii="Times New Roman" w:hAnsi="Times New Roman" w:cs="Times New Roman"/>
        </w:rPr>
      </w:pPr>
      <w:r w:rsidRPr="00820EFD">
        <w:rPr>
          <w:rStyle w:val="Odkaznapoznmkupodiarou"/>
          <w:rFonts w:ascii="Times New Roman" w:hAnsi="Times New Roman" w:cs="Times New Roman"/>
          <w:vertAlign w:val="baseline"/>
        </w:rPr>
        <w:footnoteRef/>
      </w:r>
      <w:r w:rsidRPr="00820EFD">
        <w:rPr>
          <w:rFonts w:ascii="Times New Roman" w:hAnsi="Times New Roman" w:cs="Times New Roman"/>
        </w:rPr>
        <w:t xml:space="preserve"> § 6 zákona č. 5/2004 Z. z. o službách zamestnanosti a o zmene a doplnení niektorých zákonov v 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2" w:rsidRDefault="00EC7F72" w:rsidP="008814C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C7F72" w:rsidRPr="00EB59C8" w:rsidRDefault="00EC7F72" w:rsidP="008814C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2" w:rsidRPr="0024067A" w:rsidRDefault="00EC7F72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72" w:rsidRPr="000A15AE" w:rsidRDefault="00EC7F72" w:rsidP="008814C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827A8"/>
    <w:rsid w:val="00087B0E"/>
    <w:rsid w:val="00093983"/>
    <w:rsid w:val="000E6A62"/>
    <w:rsid w:val="00105A75"/>
    <w:rsid w:val="001127A8"/>
    <w:rsid w:val="001706CE"/>
    <w:rsid w:val="00170D2B"/>
    <w:rsid w:val="00186937"/>
    <w:rsid w:val="00187F72"/>
    <w:rsid w:val="001C1BEB"/>
    <w:rsid w:val="001F0F12"/>
    <w:rsid w:val="00200898"/>
    <w:rsid w:val="00212894"/>
    <w:rsid w:val="00213052"/>
    <w:rsid w:val="00261BA0"/>
    <w:rsid w:val="002F0FB1"/>
    <w:rsid w:val="002F1D66"/>
    <w:rsid w:val="00317B90"/>
    <w:rsid w:val="00323ABD"/>
    <w:rsid w:val="00356938"/>
    <w:rsid w:val="00361E58"/>
    <w:rsid w:val="003A1FCD"/>
    <w:rsid w:val="003A4847"/>
    <w:rsid w:val="003C47B7"/>
    <w:rsid w:val="003E100F"/>
    <w:rsid w:val="00402604"/>
    <w:rsid w:val="00424396"/>
    <w:rsid w:val="00487203"/>
    <w:rsid w:val="004D3CA3"/>
    <w:rsid w:val="005005EC"/>
    <w:rsid w:val="00517514"/>
    <w:rsid w:val="005314C8"/>
    <w:rsid w:val="005353B3"/>
    <w:rsid w:val="005369E1"/>
    <w:rsid w:val="00544637"/>
    <w:rsid w:val="00546434"/>
    <w:rsid w:val="0059207B"/>
    <w:rsid w:val="00595CCE"/>
    <w:rsid w:val="005A19AE"/>
    <w:rsid w:val="005D1BA5"/>
    <w:rsid w:val="005E47D5"/>
    <w:rsid w:val="006252ED"/>
    <w:rsid w:val="00625A45"/>
    <w:rsid w:val="007246BD"/>
    <w:rsid w:val="00765542"/>
    <w:rsid w:val="0078029B"/>
    <w:rsid w:val="007872DD"/>
    <w:rsid w:val="007C2D79"/>
    <w:rsid w:val="007C3C0C"/>
    <w:rsid w:val="007D090D"/>
    <w:rsid w:val="007D5748"/>
    <w:rsid w:val="007F0996"/>
    <w:rsid w:val="00820EFD"/>
    <w:rsid w:val="008814C3"/>
    <w:rsid w:val="008879FA"/>
    <w:rsid w:val="00896B99"/>
    <w:rsid w:val="008A2008"/>
    <w:rsid w:val="008A344C"/>
    <w:rsid w:val="008A4ED5"/>
    <w:rsid w:val="008D339D"/>
    <w:rsid w:val="008E2736"/>
    <w:rsid w:val="009458FC"/>
    <w:rsid w:val="009678A8"/>
    <w:rsid w:val="009706B7"/>
    <w:rsid w:val="009C77E9"/>
    <w:rsid w:val="009D758A"/>
    <w:rsid w:val="00A07EB7"/>
    <w:rsid w:val="00A341E6"/>
    <w:rsid w:val="00AB6F54"/>
    <w:rsid w:val="00B11553"/>
    <w:rsid w:val="00B271B2"/>
    <w:rsid w:val="00B5535C"/>
    <w:rsid w:val="00C15212"/>
    <w:rsid w:val="00C31717"/>
    <w:rsid w:val="00C47186"/>
    <w:rsid w:val="00C51FD4"/>
    <w:rsid w:val="00C52465"/>
    <w:rsid w:val="00C7046A"/>
    <w:rsid w:val="00CB3623"/>
    <w:rsid w:val="00CD7218"/>
    <w:rsid w:val="00CE299A"/>
    <w:rsid w:val="00D1658F"/>
    <w:rsid w:val="00D54E90"/>
    <w:rsid w:val="00D57BBA"/>
    <w:rsid w:val="00D638D0"/>
    <w:rsid w:val="00D70841"/>
    <w:rsid w:val="00DB5899"/>
    <w:rsid w:val="00DE4B59"/>
    <w:rsid w:val="00DE5BF1"/>
    <w:rsid w:val="00E07CE9"/>
    <w:rsid w:val="00E173BF"/>
    <w:rsid w:val="00E63E8A"/>
    <w:rsid w:val="00E816C7"/>
    <w:rsid w:val="00E963A3"/>
    <w:rsid w:val="00EA1E90"/>
    <w:rsid w:val="00EC7F72"/>
    <w:rsid w:val="00F40136"/>
    <w:rsid w:val="00F45850"/>
    <w:rsid w:val="00F75EEC"/>
    <w:rsid w:val="00F76CF0"/>
    <w:rsid w:val="00F84805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7A69"/>
  <w15:docId w15:val="{01F39554-D38C-4759-91BB-335C8BF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lny"/>
    <w:uiPriority w:val="1"/>
    <w:qFormat/>
    <w:rsid w:val="00FF33C4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</w:rPr>
  </w:style>
  <w:style w:type="paragraph" w:styleId="Revzia">
    <w:name w:val="Revision"/>
    <w:hidden/>
    <w:uiPriority w:val="99"/>
    <w:semiHidden/>
    <w:rsid w:val="00105A75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16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6C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16C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816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16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16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16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1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2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242DCA-EB2A-43A8-A000-08B9706B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Peter Ihnatisin</cp:lastModifiedBy>
  <cp:revision>10</cp:revision>
  <dcterms:created xsi:type="dcterms:W3CDTF">2021-03-01T10:21:00Z</dcterms:created>
  <dcterms:modified xsi:type="dcterms:W3CDTF">2021-05-04T14:10:00Z</dcterms:modified>
</cp:coreProperties>
</file>