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CE0DBF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CE0DBF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CE0DBF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CE0DBF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CE0DBF" w:rsidRDefault="00E963A3" w:rsidP="007D57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E5ED4" w:rsidRPr="00CE0DBF" w:rsidRDefault="002E5ED4" w:rsidP="007D57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CE0DBF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E0DBF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</w:t>
      </w:r>
      <w:r w:rsidR="002E5ED4" w:rsidRPr="00CE0DBF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CE0DBF">
        <w:rPr>
          <w:rFonts w:ascii="Times New Roman" w:hAnsi="Times New Roman"/>
          <w:b/>
          <w:bCs/>
          <w:sz w:val="24"/>
          <w:szCs w:val="24"/>
          <w:lang w:eastAsia="sk-SK"/>
        </w:rPr>
        <w:t>návrhu</w:t>
      </w:r>
    </w:p>
    <w:p w:rsidR="002E5ED4" w:rsidRPr="00CE0DBF" w:rsidRDefault="002E5ED4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CE0DBF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CE0DBF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398"/>
        <w:gridCol w:w="1388"/>
        <w:gridCol w:w="1267"/>
        <w:gridCol w:w="1267"/>
      </w:tblGrid>
      <w:tr w:rsidR="00CE0DBF" w:rsidRPr="00CE0DBF" w:rsidTr="00674CFF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CE0DB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320" w:type="dxa"/>
            <w:gridSpan w:val="4"/>
            <w:shd w:val="clear" w:color="auto" w:fill="BFBFBF" w:themeFill="background1" w:themeFillShade="BF"/>
            <w:vAlign w:val="center"/>
          </w:tcPr>
          <w:p w:rsidR="007D5748" w:rsidRPr="00CE0DB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CE0DBF" w:rsidRPr="00CE0DBF" w:rsidTr="00674CFF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CE0DB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98" w:type="dxa"/>
            <w:shd w:val="clear" w:color="auto" w:fill="BFBFBF" w:themeFill="background1" w:themeFillShade="BF"/>
            <w:vAlign w:val="center"/>
          </w:tcPr>
          <w:p w:rsidR="007D5748" w:rsidRPr="00CE0DBF" w:rsidRDefault="007B180A" w:rsidP="00547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547CA9"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388" w:type="dxa"/>
            <w:shd w:val="clear" w:color="auto" w:fill="BFBFBF" w:themeFill="background1" w:themeFillShade="BF"/>
            <w:vAlign w:val="center"/>
          </w:tcPr>
          <w:p w:rsidR="007D5748" w:rsidRPr="00CE0DBF" w:rsidRDefault="007B180A" w:rsidP="00547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16402A"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547CA9"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CE0DBF" w:rsidRDefault="007B180A" w:rsidP="00547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886543"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547CA9"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CE0DBF" w:rsidRDefault="007B180A" w:rsidP="00547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547CA9"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</w:tr>
      <w:tr w:rsidR="00CE0DBF" w:rsidRPr="00CE0DBF" w:rsidTr="00674CFF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124919" w:rsidRPr="00CE0DBF" w:rsidRDefault="00124919" w:rsidP="00124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398" w:type="dxa"/>
            <w:shd w:val="clear" w:color="auto" w:fill="C0C0C0"/>
            <w:vAlign w:val="center"/>
          </w:tcPr>
          <w:p w:rsidR="00124919" w:rsidRPr="00CE0DBF" w:rsidRDefault="004D7199" w:rsidP="001249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shd w:val="clear" w:color="auto" w:fill="C0C0C0"/>
          </w:tcPr>
          <w:p w:rsidR="00124919" w:rsidRPr="00CE0DBF" w:rsidRDefault="00C40FE3" w:rsidP="00C40F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bookmarkStart w:id="1" w:name="_GoBack"/>
            <w:bookmarkEnd w:id="1"/>
            <w:r w:rsidRPr="00CE0D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</w:t>
            </w:r>
            <w:r w:rsidR="00124919" w:rsidRPr="00CE0D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267" w:type="dxa"/>
            <w:shd w:val="clear" w:color="auto" w:fill="C0C0C0"/>
          </w:tcPr>
          <w:p w:rsidR="00124919" w:rsidRPr="00CE0DBF" w:rsidRDefault="00C40FE3" w:rsidP="001249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</w:tcPr>
          <w:p w:rsidR="00124919" w:rsidRPr="00CE0DBF" w:rsidRDefault="00C40FE3" w:rsidP="001249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A30FCE" w:rsidRPr="00CE0DBF" w:rsidRDefault="00886543" w:rsidP="00C4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sz w:val="24"/>
                <w:szCs w:val="24"/>
                <w:lang w:eastAsia="sk-SK"/>
              </w:rPr>
              <w:t>v tom:</w:t>
            </w:r>
            <w:r w:rsidR="00853C2B" w:rsidRPr="00CE0DBF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853C2B" w:rsidRPr="00CE0D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</w:t>
            </w:r>
            <w:r w:rsidR="00C40FE3" w:rsidRPr="00CE0D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DV</w:t>
            </w:r>
            <w:r w:rsidR="00853C2B" w:rsidRPr="00CE0D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1398" w:type="dxa"/>
            <w:noWrap/>
            <w:vAlign w:val="center"/>
          </w:tcPr>
          <w:p w:rsidR="00A30FCE" w:rsidRPr="00CE0DBF" w:rsidRDefault="00AC7970" w:rsidP="00A30F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</w:tcPr>
          <w:p w:rsidR="00A30FCE" w:rsidRPr="00CE0DBF" w:rsidRDefault="00AC79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400</w:t>
            </w:r>
          </w:p>
        </w:tc>
        <w:tc>
          <w:tcPr>
            <w:tcW w:w="1267" w:type="dxa"/>
            <w:noWrap/>
          </w:tcPr>
          <w:p w:rsidR="00A30FCE" w:rsidRPr="00CE0DBF" w:rsidRDefault="00C40FE3" w:rsidP="00C40B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A30FCE" w:rsidRPr="00CE0DBF" w:rsidRDefault="00C40FE3" w:rsidP="00A75D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CE0DB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398" w:type="dxa"/>
            <w:noWrap/>
            <w:vAlign w:val="center"/>
          </w:tcPr>
          <w:p w:rsidR="007D5748" w:rsidRPr="00CE0DBF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88" w:type="dxa"/>
            <w:noWrap/>
            <w:vAlign w:val="center"/>
          </w:tcPr>
          <w:p w:rsidR="007D5748" w:rsidRPr="00CE0DBF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CE0DBF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CE0DBF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E0DBF" w:rsidRPr="00CE0DBF" w:rsidTr="00674CF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30FCE" w:rsidRPr="00CE0DBF" w:rsidRDefault="00A30FCE" w:rsidP="00A30FC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98" w:type="dxa"/>
            <w:noWrap/>
            <w:vAlign w:val="center"/>
          </w:tcPr>
          <w:p w:rsidR="00A30FCE" w:rsidRPr="00CE0DBF" w:rsidRDefault="004D7199" w:rsidP="00A30F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</w:tcPr>
          <w:p w:rsidR="00A30FCE" w:rsidRPr="00CE0DBF" w:rsidRDefault="00C40F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40</w:t>
            </w:r>
            <w:r w:rsidR="00886543"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A30FCE" w:rsidRPr="00CE0DBF" w:rsidRDefault="00886543" w:rsidP="00A30F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A30FCE" w:rsidRPr="00CE0DBF" w:rsidRDefault="00886543" w:rsidP="00A75D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853C2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4579CF" w:rsidRPr="00CE0DBF" w:rsidRDefault="004579CF" w:rsidP="004579CF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398" w:type="dxa"/>
            <w:noWrap/>
            <w:vAlign w:val="center"/>
          </w:tcPr>
          <w:p w:rsidR="004579CF" w:rsidRPr="00CE0DBF" w:rsidRDefault="004D7199" w:rsidP="004579C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4579CF" w:rsidRPr="00CE0DBF" w:rsidRDefault="00C40FE3" w:rsidP="00853C2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4</w:t>
            </w:r>
            <w:r w:rsidR="00853C2B"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267" w:type="dxa"/>
            <w:noWrap/>
            <w:vAlign w:val="center"/>
          </w:tcPr>
          <w:p w:rsidR="004579CF" w:rsidRPr="00CE0DBF" w:rsidRDefault="00C40FE3" w:rsidP="00C40BA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579CF" w:rsidRPr="00CE0DBF" w:rsidRDefault="00C40FE3" w:rsidP="00853C2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CE0DBF" w:rsidRDefault="007D5748" w:rsidP="00212894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398" w:type="dxa"/>
            <w:noWrap/>
            <w:vAlign w:val="center"/>
          </w:tcPr>
          <w:p w:rsidR="007D5748" w:rsidRPr="00CE0DBF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7D5748" w:rsidRPr="00CE0DBF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CE0DBF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CE0DBF" w:rsidRDefault="007D5748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398" w:type="dxa"/>
            <w:shd w:val="clear" w:color="auto" w:fill="C0C0C0"/>
            <w:noWrap/>
            <w:vAlign w:val="center"/>
          </w:tcPr>
          <w:p w:rsidR="00853C2B" w:rsidRPr="00CE0DBF" w:rsidRDefault="00B73143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shd w:val="clear" w:color="auto" w:fill="C0C0C0"/>
            <w:noWrap/>
            <w:vAlign w:val="center"/>
          </w:tcPr>
          <w:p w:rsidR="00853C2B" w:rsidRPr="00CE0DBF" w:rsidRDefault="00C40FE3" w:rsidP="00B40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853C2B" w:rsidRPr="00CE0DBF" w:rsidRDefault="00C40FE3" w:rsidP="00F84C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853C2B" w:rsidRPr="00CE0DBF" w:rsidRDefault="00C40FE3" w:rsidP="00F84C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53C2B" w:rsidRPr="00CE0DBF" w:rsidRDefault="00853C2B" w:rsidP="00B73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398" w:type="dxa"/>
            <w:noWrap/>
            <w:vAlign w:val="center"/>
          </w:tcPr>
          <w:p w:rsidR="00853C2B" w:rsidRPr="00CE0DBF" w:rsidRDefault="00B73143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853C2B" w:rsidRPr="00CE0DBF" w:rsidRDefault="00C40FE3" w:rsidP="003625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398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88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E0DBF" w:rsidRPr="00CE0DBF" w:rsidTr="00674C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98" w:type="dxa"/>
            <w:noWrap/>
            <w:vAlign w:val="center"/>
          </w:tcPr>
          <w:p w:rsidR="00853C2B" w:rsidRPr="00CE0DBF" w:rsidRDefault="00B73143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853C2B" w:rsidRPr="00CE0DBF" w:rsidRDefault="00C40FE3" w:rsidP="001249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398" w:type="dxa"/>
            <w:noWrap/>
            <w:vAlign w:val="center"/>
          </w:tcPr>
          <w:p w:rsidR="00853C2B" w:rsidRPr="00CE0DBF" w:rsidRDefault="00B73143" w:rsidP="00853C2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853C2B" w:rsidRPr="00CE0DBF" w:rsidRDefault="00C40FE3" w:rsidP="00124919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398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spolufinancovanie</w:t>
            </w:r>
          </w:p>
        </w:tc>
        <w:tc>
          <w:tcPr>
            <w:tcW w:w="1398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398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B40FDD" w:rsidP="00B40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C40FE3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C40FE3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98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853C2B" w:rsidRPr="00CE0DBF" w:rsidRDefault="00B40FDD" w:rsidP="00853C2B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53C2B" w:rsidRPr="00CE0DBF" w:rsidRDefault="00C40FE3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53C2B" w:rsidRPr="00CE0DBF" w:rsidRDefault="00C40FE3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398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3625BA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C40FE3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C40FE3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v tom: </w:t>
            </w:r>
          </w:p>
        </w:tc>
        <w:tc>
          <w:tcPr>
            <w:tcW w:w="1398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3625BA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C40FE3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C40FE3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98" w:type="dxa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853C2B" w:rsidRPr="00CE0DBF" w:rsidRDefault="003625BA" w:rsidP="003625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53C2B" w:rsidRPr="00CE0DBF" w:rsidRDefault="00C40FE3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53C2B" w:rsidRPr="00CE0DBF" w:rsidRDefault="00C40FE3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3625BA" w:rsidRPr="00CE0DBF" w:rsidRDefault="003625BA" w:rsidP="003625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398" w:type="dxa"/>
            <w:shd w:val="clear" w:color="auto" w:fill="C0C0C0"/>
            <w:noWrap/>
            <w:vAlign w:val="center"/>
          </w:tcPr>
          <w:p w:rsidR="003625BA" w:rsidRPr="00CE0DBF" w:rsidRDefault="003625BA" w:rsidP="003625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shd w:val="clear" w:color="auto" w:fill="C0C0C0"/>
            <w:noWrap/>
            <w:vAlign w:val="center"/>
          </w:tcPr>
          <w:p w:rsidR="003625BA" w:rsidRPr="00CE0DBF" w:rsidRDefault="00C40FE3" w:rsidP="00B40F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625BA" w:rsidRPr="00CE0DBF" w:rsidRDefault="00C40FE3" w:rsidP="00F84C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625BA" w:rsidRPr="00CE0DBF" w:rsidRDefault="00C40FE3" w:rsidP="00F84C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625BA" w:rsidRPr="00CE0DBF" w:rsidRDefault="003625BA" w:rsidP="00C4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398" w:type="dxa"/>
            <w:noWrap/>
            <w:vAlign w:val="center"/>
          </w:tcPr>
          <w:p w:rsidR="003625BA" w:rsidRPr="00CE0DBF" w:rsidRDefault="00C40FE3" w:rsidP="003625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noWrap/>
            <w:vAlign w:val="center"/>
          </w:tcPr>
          <w:p w:rsidR="003625BA" w:rsidRPr="00CE0DBF" w:rsidRDefault="00C40FE3" w:rsidP="0013402E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625BA" w:rsidRPr="00CE0DBF" w:rsidRDefault="00C40FE3" w:rsidP="00F84C99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625BA" w:rsidRPr="00CE0DBF" w:rsidRDefault="00C40FE3" w:rsidP="00F84C9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398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E0DBF" w:rsidRPr="00CE0DBF" w:rsidTr="00674CFF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853C2B" w:rsidRPr="00CE0DBF" w:rsidRDefault="00853C2B" w:rsidP="00853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398" w:type="dxa"/>
            <w:shd w:val="clear" w:color="auto" w:fill="A6A6A6" w:themeFill="background1" w:themeFillShade="A6"/>
            <w:noWrap/>
            <w:vAlign w:val="center"/>
          </w:tcPr>
          <w:p w:rsidR="00853C2B" w:rsidRPr="00CE0DBF" w:rsidRDefault="00B73143" w:rsidP="00853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8" w:type="dxa"/>
            <w:shd w:val="clear" w:color="auto" w:fill="A6A6A6" w:themeFill="background1" w:themeFillShade="A6"/>
            <w:noWrap/>
            <w:vAlign w:val="center"/>
          </w:tcPr>
          <w:p w:rsidR="00853C2B" w:rsidRPr="00CE0DBF" w:rsidRDefault="003625BA" w:rsidP="003625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853C2B" w:rsidRPr="00CE0DBF" w:rsidRDefault="003625BA" w:rsidP="003625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853C2B" w:rsidRPr="00CE0DBF" w:rsidRDefault="00853C2B" w:rsidP="003625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7D5748" w:rsidRPr="00CE0DBF" w:rsidRDefault="00E963A3" w:rsidP="00886543">
      <w:pPr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E0DBF">
        <w:rPr>
          <w:rFonts w:ascii="Times New Roman" w:hAnsi="Times New Roman"/>
          <w:b/>
          <w:bCs/>
          <w:sz w:val="24"/>
          <w:szCs w:val="24"/>
          <w:lang w:eastAsia="sk-SK"/>
        </w:rPr>
        <w:br w:type="page"/>
      </w:r>
      <w:r w:rsidR="007D5748" w:rsidRPr="00CE0DBF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C952D1" w:rsidRPr="00CE0DBF" w:rsidRDefault="00886543" w:rsidP="00B7314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 xml:space="preserve">Návrh zákona, ktorým sa mení a dopĺňa zákon č. 106/2018 Z. z. o prevádzke vozidiel v cestnej premávke a o zmene a doplnení niektorých zákonov </w:t>
      </w:r>
      <w:r w:rsidR="00547CA9" w:rsidRPr="00CE0DBF">
        <w:rPr>
          <w:rFonts w:ascii="Times New Roman" w:hAnsi="Times New Roman"/>
          <w:sz w:val="24"/>
          <w:szCs w:val="24"/>
        </w:rPr>
        <w:t xml:space="preserve">v znení neskorších predpisov </w:t>
      </w:r>
      <w:r w:rsidRPr="00CE0DBF">
        <w:rPr>
          <w:rFonts w:ascii="Times New Roman" w:hAnsi="Times New Roman"/>
          <w:sz w:val="24"/>
          <w:szCs w:val="24"/>
        </w:rPr>
        <w:t>a ktorým sa</w:t>
      </w:r>
      <w:r w:rsidR="00547CA9" w:rsidRPr="00CE0DBF">
        <w:rPr>
          <w:rFonts w:ascii="Times New Roman" w:hAnsi="Times New Roman"/>
          <w:sz w:val="24"/>
          <w:szCs w:val="24"/>
        </w:rPr>
        <w:t> </w:t>
      </w:r>
      <w:r w:rsidRPr="00CE0DBF">
        <w:rPr>
          <w:rFonts w:ascii="Times New Roman" w:hAnsi="Times New Roman"/>
          <w:sz w:val="24"/>
          <w:szCs w:val="24"/>
        </w:rPr>
        <w:t xml:space="preserve">menia a dopĺňajú niektoré zákony (ďalej len „návrh zákona“) </w:t>
      </w:r>
      <w:r w:rsidR="0056142E" w:rsidRPr="00CE0DBF">
        <w:rPr>
          <w:rFonts w:ascii="Times New Roman" w:hAnsi="Times New Roman"/>
          <w:sz w:val="24"/>
          <w:szCs w:val="24"/>
        </w:rPr>
        <w:t xml:space="preserve">predpokladá </w:t>
      </w:r>
      <w:r w:rsidR="00547CA9" w:rsidRPr="00CE0DBF">
        <w:rPr>
          <w:rFonts w:ascii="Times New Roman" w:hAnsi="Times New Roman"/>
          <w:sz w:val="24"/>
          <w:szCs w:val="24"/>
        </w:rPr>
        <w:t>pozitívny</w:t>
      </w:r>
      <w:r w:rsidR="0056142E" w:rsidRPr="00CE0DBF">
        <w:rPr>
          <w:rFonts w:ascii="Times New Roman" w:hAnsi="Times New Roman"/>
          <w:sz w:val="24"/>
          <w:szCs w:val="24"/>
        </w:rPr>
        <w:t xml:space="preserve"> </w:t>
      </w:r>
      <w:r w:rsidR="00CD519A" w:rsidRPr="00CE0DBF">
        <w:rPr>
          <w:rFonts w:ascii="Times New Roman" w:hAnsi="Times New Roman"/>
          <w:sz w:val="24"/>
          <w:szCs w:val="24"/>
        </w:rPr>
        <w:t xml:space="preserve">a negatívny </w:t>
      </w:r>
      <w:r w:rsidR="0056142E" w:rsidRPr="00CE0DBF">
        <w:rPr>
          <w:rFonts w:ascii="Times New Roman" w:hAnsi="Times New Roman"/>
          <w:sz w:val="24"/>
          <w:szCs w:val="24"/>
        </w:rPr>
        <w:t>vplyv na rozpočet verejnej správy</w:t>
      </w:r>
      <w:r w:rsidR="00C952D1" w:rsidRPr="00CE0DBF">
        <w:rPr>
          <w:rFonts w:ascii="Times New Roman" w:hAnsi="Times New Roman"/>
          <w:sz w:val="24"/>
          <w:szCs w:val="24"/>
        </w:rPr>
        <w:t>.</w:t>
      </w:r>
    </w:p>
    <w:p w:rsidR="00AC7970" w:rsidRPr="00CE0DBF" w:rsidRDefault="00547CA9" w:rsidP="00B7314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 xml:space="preserve">Návrhom zákona dochádza aj k úprave správnych poplatkov. Navrhuje sa nový poplatok v súvislosti s vydávaním poverenia na vykonávanie určitých činností podľa dohody ADR a so zvýšením správneho poplatku v súvislosti s vydávaním povolenia na zriadenie stanice technickej kontroly. Pri novom poplatku v súvislosti s vydávaním poverenia na vykonávanie určitých činností podľa dohody ADR nepredpokladáme zvýšený záujem o toto poverenie. V súčasnosti je vydané jedno poverenie, ktorého platnosť končí v roku 2022 a pravdepodobne bude tento subjekt žiadať o predĺženie platnosti. Plus predpokladáme, že o túto činnosť prejaví záujem ešte jeden subjekt. Preto v roku 2022 odhaduje príjem vo výške </w:t>
      </w:r>
      <w:r w:rsidR="00AC7970" w:rsidRPr="00CE0DBF">
        <w:rPr>
          <w:rFonts w:ascii="Times New Roman" w:hAnsi="Times New Roman"/>
          <w:sz w:val="24"/>
          <w:szCs w:val="24"/>
        </w:rPr>
        <w:t xml:space="preserve">400 eur. Čo sa týka zvýšenia správneho poplatku v súvislosti s vydávaním povolenia na zriadenie stanice technickej kontroly, tak predpokladáme, že zmenou zákona </w:t>
      </w:r>
      <w:r w:rsidR="004D7199">
        <w:rPr>
          <w:rFonts w:ascii="Times New Roman" w:hAnsi="Times New Roman"/>
          <w:sz w:val="24"/>
          <w:szCs w:val="24"/>
        </w:rPr>
        <w:t>nedôjde k nárastu možných miest staníc technickej kontroly nad rámec existujúcej siete, preto nepredpokladáme zvýšený príjmy v tejto oblasti.</w:t>
      </w:r>
    </w:p>
    <w:p w:rsidR="00CD519A" w:rsidRPr="00CE0DBF" w:rsidRDefault="00CD519A" w:rsidP="00B7314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>Pri úprave informačného systému evidencie vozidiel sa predpokladá s dopadom vo výške 125 000,- eur s DPH, pričom táto suma je krytá v schválenom rozpočte v kapitole Ministerstva vnútra SR na rok 2021 a nezakladá zvýšené nároky na štátny rozpočet.</w:t>
      </w:r>
    </w:p>
    <w:p w:rsidR="00D93F9C" w:rsidRPr="00CE0DBF" w:rsidRDefault="00D93F9C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CE0DBF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E0DBF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CE0DBF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CE0DBF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E0DBF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C40FE3" w:rsidRPr="00CE0DBF" w:rsidRDefault="00BD1BBD" w:rsidP="00C40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 xml:space="preserve">Cieľom návrhu zákona </w:t>
      </w:r>
      <w:r w:rsidR="00FD3F21" w:rsidRPr="00CE0DBF">
        <w:rPr>
          <w:rFonts w:ascii="Times New Roman" w:hAnsi="Times New Roman"/>
          <w:sz w:val="24"/>
          <w:szCs w:val="24"/>
        </w:rPr>
        <w:t>je</w:t>
      </w:r>
      <w:r w:rsidR="00C40FE3" w:rsidRPr="00CE0DBF">
        <w:rPr>
          <w:rFonts w:ascii="Times New Roman" w:hAnsi="Times New Roman"/>
          <w:sz w:val="24"/>
          <w:szCs w:val="24"/>
        </w:rPr>
        <w:t xml:space="preserve"> implementácia dvoch európskych nariadení a to:</w:t>
      </w:r>
    </w:p>
    <w:p w:rsidR="00C40FE3" w:rsidRPr="00CE0DBF" w:rsidRDefault="00C40FE3" w:rsidP="00C40FE3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>nariadenia Európskeho parlamentu a Rady (EÚ) 2019/2144 z 27. novembra 2019 o požiadavkách na typové schvaľovanie motorových vozidiel a ich prípojných vozidiel a systémov, komponentov a samostatných technických jednotiek určených pre tieto vozidlá, pokiaľ ide o ich všeobecnú bezpečnosť a ochranu cestujúcich vo vozidle a zraniteľných účastníkov cestnej premávky, ktorým sa mení nariadenie Európskeho parlamentu a Rady (EÚ) 2018/858 a ktorým sa zrušujú nariadenia Európskeho parlamentu a Rady (ES) č. 78/2009, (ES) č. 79/2009 a (ES) č. 661/2009 a nariadenia Komisie (ES) č. 631/2009, (EÚ) č. 406/2010, (EÚ) č. 672/2010, (EÚ) č. 1003/2010, (EÚ) č. 1005/2010, (EÚ) č. 1008/2010, (EÚ) č. 1009/2010, (EÚ) č. 19/2011, (EÚ) č. 109/2011, (EÚ) č. 458/2011, (EÚ) č. 65/2012, (EÚ) č. 130/2012, (EÚ) č. 347/2012, (EÚ) č. 351/2012, (EÚ) č. 1230/2012 a (EÚ) 2015/166 (Ú.  v. EÚ L 325, 16.12.2019) a</w:t>
      </w:r>
    </w:p>
    <w:p w:rsidR="00C40FE3" w:rsidRPr="00CE0DBF" w:rsidRDefault="00C40FE3" w:rsidP="00C40FE3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>nariadenia Európskeho parlamentu a Rady (EÚ) 2020/740 z 25. mája 2020 o označovaní pneumatík vzhľadom na palivovú úspornosť a iné parametre, ktorým sa mení nariadenie (EÚ) 2017/1369 a zrušuje nariadenie (ES) č. 1222/2009 (Ú. v. EÚ L 177, 5. 6. 2020).</w:t>
      </w:r>
    </w:p>
    <w:p w:rsidR="00C40FE3" w:rsidRPr="00CE0DBF" w:rsidRDefault="00C40FE3" w:rsidP="00B7314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>Ďalším cieľom sú úpravy a doplnenia vyplývajúce z aplikácie zákona č. 106/2018 Z. z. o</w:t>
      </w:r>
      <w:r w:rsidR="00B73143" w:rsidRPr="00CE0DBF">
        <w:rPr>
          <w:rFonts w:ascii="Times New Roman" w:hAnsi="Times New Roman"/>
          <w:sz w:val="24"/>
          <w:szCs w:val="24"/>
        </w:rPr>
        <w:t> </w:t>
      </w:r>
      <w:r w:rsidRPr="00CE0DBF">
        <w:rPr>
          <w:rFonts w:ascii="Times New Roman" w:hAnsi="Times New Roman"/>
          <w:sz w:val="24"/>
          <w:szCs w:val="24"/>
        </w:rPr>
        <w:t>prevádzke</w:t>
      </w:r>
      <w:r w:rsidR="00B73143" w:rsidRPr="00CE0DBF">
        <w:rPr>
          <w:rFonts w:ascii="Times New Roman" w:hAnsi="Times New Roman"/>
          <w:sz w:val="24"/>
          <w:szCs w:val="24"/>
        </w:rPr>
        <w:t xml:space="preserve"> </w:t>
      </w:r>
      <w:r w:rsidRPr="00CE0DBF">
        <w:rPr>
          <w:rFonts w:ascii="Times New Roman" w:hAnsi="Times New Roman"/>
          <w:sz w:val="24"/>
          <w:szCs w:val="24"/>
        </w:rPr>
        <w:t xml:space="preserve">vozidiel v cestnej premávke a o zmene a doplnení niektorých zákonov v znení neskorších predpisov v praxi, najmä: </w:t>
      </w:r>
    </w:p>
    <w:p w:rsidR="00C40FE3" w:rsidRPr="00CE0DBF" w:rsidRDefault="00C40FE3" w:rsidP="00C40FE3">
      <w:pPr>
        <w:pStyle w:val="Odsekzoznamu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>v rámci zníženia administratívne</w:t>
      </w:r>
      <w:r w:rsidR="0091500A" w:rsidRPr="00CE0DBF">
        <w:rPr>
          <w:rFonts w:ascii="Times New Roman" w:hAnsi="Times New Roman"/>
          <w:sz w:val="24"/>
          <w:szCs w:val="24"/>
        </w:rPr>
        <w:t>j</w:t>
      </w:r>
      <w:r w:rsidRPr="00CE0DBF">
        <w:rPr>
          <w:rFonts w:ascii="Times New Roman" w:hAnsi="Times New Roman"/>
          <w:sz w:val="24"/>
          <w:szCs w:val="24"/>
        </w:rPr>
        <w:t xml:space="preserve"> záťaže opravovní vozidiel sa navrhuje zrušenie certifikácie opravovní a v súvislosti s tým sa vypúšťajú ustanovenia týkajúce sa certifikovaných miest opravy; pri ťažkých dopravných nehodách, ktoré mali vplyv </w:t>
      </w:r>
      <w:r w:rsidRPr="00CE0DBF">
        <w:rPr>
          <w:rFonts w:ascii="Times New Roman" w:hAnsi="Times New Roman"/>
          <w:sz w:val="24"/>
          <w:szCs w:val="24"/>
        </w:rPr>
        <w:lastRenderedPageBreak/>
        <w:t xml:space="preserve">na hlavné bezpečnostné prvky vozidla, ktorými sú zavesenie kolies, deformačné zóny, systémy </w:t>
      </w:r>
      <w:proofErr w:type="spellStart"/>
      <w:r w:rsidRPr="00CE0DBF">
        <w:rPr>
          <w:rFonts w:ascii="Times New Roman" w:hAnsi="Times New Roman"/>
          <w:sz w:val="24"/>
          <w:szCs w:val="24"/>
        </w:rPr>
        <w:t>airbagov</w:t>
      </w:r>
      <w:proofErr w:type="spellEnd"/>
      <w:r w:rsidRPr="00CE0DBF">
        <w:rPr>
          <w:rFonts w:ascii="Times New Roman" w:hAnsi="Times New Roman"/>
          <w:sz w:val="24"/>
          <w:szCs w:val="24"/>
        </w:rPr>
        <w:t>, riadenie alebo brzdy, bude postačovať, aby oprava vozidla bola vykoná na základe informáci</w:t>
      </w:r>
      <w:r w:rsidR="0091500A" w:rsidRPr="00CE0DBF">
        <w:rPr>
          <w:rFonts w:ascii="Times New Roman" w:hAnsi="Times New Roman"/>
          <w:sz w:val="24"/>
          <w:szCs w:val="24"/>
        </w:rPr>
        <w:t>í</w:t>
      </w:r>
      <w:r w:rsidRPr="00CE0DBF">
        <w:rPr>
          <w:rFonts w:ascii="Times New Roman" w:hAnsi="Times New Roman"/>
          <w:sz w:val="24"/>
          <w:szCs w:val="24"/>
        </w:rPr>
        <w:t xml:space="preserve"> od výrobcu s príslušným technologickým vybavením,</w:t>
      </w:r>
    </w:p>
    <w:p w:rsidR="00C40FE3" w:rsidRPr="00CE0DBF" w:rsidRDefault="00C40FE3" w:rsidP="00C40FE3">
      <w:pPr>
        <w:pStyle w:val="Odsekzoznamu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>v súvislosti s činnosťou technickej služby technickej kontroly, technickej služby emisnej kontroly, technickej služby kontroly originality a technickej služby montáže plynových zariadení sa navrhuje predĺžiť platnosť poverenia s tým, že po ukončení činnosti technickej služby do začiatku fungovania novej technickej služby bude potrebné odovzdať typovému schvaľovaciemu orgánu informačný systém,</w:t>
      </w:r>
    </w:p>
    <w:p w:rsidR="00C40FE3" w:rsidRPr="00CE0DBF" w:rsidRDefault="00C40FE3" w:rsidP="00C40FE3">
      <w:pPr>
        <w:pStyle w:val="Odsekzoznamu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>v súvislosti so zriaďovaním staníc technickej kontroly nad rámec existujúcej siete, sa</w:t>
      </w:r>
      <w:r w:rsidR="0063009D" w:rsidRPr="00CE0DBF">
        <w:rPr>
          <w:rFonts w:ascii="Times New Roman" w:hAnsi="Times New Roman"/>
          <w:sz w:val="24"/>
          <w:szCs w:val="24"/>
        </w:rPr>
        <w:t> </w:t>
      </w:r>
      <w:r w:rsidRPr="00CE0DBF">
        <w:rPr>
          <w:rFonts w:ascii="Times New Roman" w:hAnsi="Times New Roman"/>
          <w:sz w:val="24"/>
          <w:szCs w:val="24"/>
        </w:rPr>
        <w:t>navrhujú zaviesť viaceré obmedzeni</w:t>
      </w:r>
      <w:r w:rsidR="0091500A" w:rsidRPr="00CE0DBF">
        <w:rPr>
          <w:rFonts w:ascii="Times New Roman" w:hAnsi="Times New Roman"/>
          <w:sz w:val="24"/>
          <w:szCs w:val="24"/>
        </w:rPr>
        <w:t>a</w:t>
      </w:r>
      <w:r w:rsidRPr="00CE0DBF">
        <w:rPr>
          <w:rFonts w:ascii="Times New Roman" w:hAnsi="Times New Roman"/>
          <w:sz w:val="24"/>
          <w:szCs w:val="24"/>
        </w:rPr>
        <w:t xml:space="preserve"> pre tých držiteľov povolení, ktorí reálne dané pracoviská nestavajú a mnohokrát iba zámerne blokujú miesto v existujúcej sieti,</w:t>
      </w:r>
    </w:p>
    <w:p w:rsidR="00C40FE3" w:rsidRPr="00CE0DBF" w:rsidRDefault="00C40FE3" w:rsidP="00C40FE3">
      <w:pPr>
        <w:pStyle w:val="Odsekzoznamu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>navrhuje sa upraviť niektoré parametre pre výpočet ďalšej kontrolnej linky v súvislosti so zriaďovaním staníc technickej kontroly nad rámec existujúcej siete, ktoré vychádzajú zo zaznamenaných údajov v informačných systémoch.</w:t>
      </w:r>
    </w:p>
    <w:p w:rsidR="00C40FE3" w:rsidRPr="00CE0DBF" w:rsidRDefault="00C40FE3" w:rsidP="00BD1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F21" w:rsidRPr="00CE0DBF" w:rsidRDefault="00FD3F21" w:rsidP="00BD1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748" w:rsidRPr="00CE0DBF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E0DBF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CE0DBF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CE0DBF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E0DBF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CE0DBF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CE0DBF" w:rsidRDefault="00B91CC2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E0DBF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CE0DB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x </w:t>
      </w:r>
      <w:r w:rsidR="007D5748" w:rsidRPr="00CE0DBF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CE0DBF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="007D5748" w:rsidRPr="00CE0DBF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CE0DBF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E0DB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CE0DBF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CE0DBF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E0DB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B91CC2" w:rsidRPr="00CE0DB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x </w:t>
      </w:r>
      <w:r w:rsidRPr="00CE0DB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CE0DBF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CE0DBF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E0DB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CE0DBF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CE0DBF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E0DB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11280B" w:rsidRPr="00CE0DB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="001A558B" w:rsidRPr="00CE0DB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CE0DB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CE0DBF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CE0DBF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CE0DBF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CE0DBF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E0DBF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CE0DBF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1280B" w:rsidRPr="00CE0DBF" w:rsidRDefault="00F4251F" w:rsidP="002D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 xml:space="preserve">Návrh zákona </w:t>
      </w:r>
      <w:r w:rsidR="00154849" w:rsidRPr="00CE0DBF">
        <w:rPr>
          <w:rFonts w:ascii="Times New Roman" w:hAnsi="Times New Roman"/>
          <w:sz w:val="24"/>
          <w:szCs w:val="24"/>
        </w:rPr>
        <w:t xml:space="preserve">predpokladá </w:t>
      </w:r>
      <w:r w:rsidR="00853C2B" w:rsidRPr="00CE0DBF">
        <w:rPr>
          <w:rFonts w:ascii="Times New Roman" w:hAnsi="Times New Roman"/>
          <w:sz w:val="24"/>
          <w:szCs w:val="24"/>
        </w:rPr>
        <w:t xml:space="preserve">pozitívny a </w:t>
      </w:r>
      <w:r w:rsidR="00154849" w:rsidRPr="00CE0DBF">
        <w:rPr>
          <w:rFonts w:ascii="Times New Roman" w:hAnsi="Times New Roman"/>
          <w:sz w:val="24"/>
          <w:szCs w:val="24"/>
        </w:rPr>
        <w:t xml:space="preserve">negatívny vplyv na rozpočet verejnej správy. </w:t>
      </w:r>
    </w:p>
    <w:p w:rsidR="0011280B" w:rsidRPr="00CE0DBF" w:rsidRDefault="0011280B" w:rsidP="002D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42F" w:rsidRPr="00CE0DBF" w:rsidRDefault="00E5242F" w:rsidP="002D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E0DBF">
        <w:rPr>
          <w:rFonts w:ascii="Times New Roman" w:hAnsi="Times New Roman"/>
          <w:sz w:val="24"/>
          <w:szCs w:val="24"/>
          <w:u w:val="single"/>
        </w:rPr>
        <w:t>Pozitívne vplyvy na rozpočet verejnej správy</w:t>
      </w:r>
    </w:p>
    <w:p w:rsidR="00B91CC2" w:rsidRPr="00CE0DBF" w:rsidRDefault="00B91CC2" w:rsidP="00B91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>Návrhom zákona dochádza k úprave správnych poplatkov. Navrhuje sa nový poplatok v súvislosti s vydávaním poverenia na vykonávanie určitých činností podľa dohody ADR a</w:t>
      </w:r>
      <w:r w:rsidR="00C40FE3" w:rsidRPr="00CE0DBF">
        <w:rPr>
          <w:rFonts w:ascii="Times New Roman" w:hAnsi="Times New Roman"/>
          <w:sz w:val="24"/>
          <w:szCs w:val="24"/>
        </w:rPr>
        <w:t> </w:t>
      </w:r>
      <w:r w:rsidRPr="00CE0DBF">
        <w:rPr>
          <w:rFonts w:ascii="Times New Roman" w:hAnsi="Times New Roman"/>
          <w:sz w:val="24"/>
          <w:szCs w:val="24"/>
        </w:rPr>
        <w:t>so</w:t>
      </w:r>
      <w:r w:rsidR="00C40FE3" w:rsidRPr="00CE0DBF">
        <w:rPr>
          <w:rFonts w:ascii="Times New Roman" w:hAnsi="Times New Roman"/>
          <w:sz w:val="24"/>
          <w:szCs w:val="24"/>
        </w:rPr>
        <w:t> </w:t>
      </w:r>
      <w:r w:rsidRPr="00CE0DBF">
        <w:rPr>
          <w:rFonts w:ascii="Times New Roman" w:hAnsi="Times New Roman"/>
          <w:sz w:val="24"/>
          <w:szCs w:val="24"/>
        </w:rPr>
        <w:t xml:space="preserve">zvýšením správneho poplatku v súvislosti s vydávaním povolenia na zriadenie stanice technickej kontroly. </w:t>
      </w:r>
    </w:p>
    <w:p w:rsidR="00B91CC2" w:rsidRPr="00CE0DBF" w:rsidRDefault="00B91CC2" w:rsidP="002D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 xml:space="preserve">Pri novom poplatku v súvislosti s vydávaním poverenia na vykonávanie určitých činností podľa dohody ADR nepredpokladáme zvýšený záujem o toto poverenie. V súčasnosti je vydané jedno poverenie, ktorého platnosť končí v roku 2022 a pravdepodobne bude tento subjekt žiadať o predĺženie platnosti. Plus predpokladáme, že o túto činnosť prejaví záujem ešte jeden subjekt. Preto v roku 2022 odhaduje príjem vo výške 400 eur. </w:t>
      </w:r>
    </w:p>
    <w:p w:rsidR="00B91CC2" w:rsidRPr="00CE0DBF" w:rsidRDefault="004D7199" w:rsidP="002D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 xml:space="preserve">Čo sa týka zvýšenia správneho poplatku v súvislosti s vydávaním povolenia na zriadenie stanice technickej kontroly, tak predpokladáme, že zmenou zákona </w:t>
      </w:r>
      <w:r>
        <w:rPr>
          <w:rFonts w:ascii="Times New Roman" w:hAnsi="Times New Roman"/>
          <w:sz w:val="24"/>
          <w:szCs w:val="24"/>
        </w:rPr>
        <w:t>nedôjde k nárastu možných miest staníc technickej kontroly nad rámec existujúcej siete, preto nepredpokladáme zvýšený príjmy v tejto oblasti.</w:t>
      </w:r>
    </w:p>
    <w:p w:rsidR="00B91CC2" w:rsidRPr="00CE0DBF" w:rsidRDefault="00B91CC2" w:rsidP="00B91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D519A" w:rsidRPr="00CE0DBF" w:rsidRDefault="00CD519A" w:rsidP="00CD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E0DBF">
        <w:rPr>
          <w:rFonts w:ascii="Times New Roman" w:hAnsi="Times New Roman"/>
          <w:sz w:val="24"/>
          <w:szCs w:val="24"/>
          <w:u w:val="single"/>
        </w:rPr>
        <w:t>Negatívne vplyvy na rozpočet verejnej správy</w:t>
      </w:r>
    </w:p>
    <w:p w:rsidR="00CD519A" w:rsidRPr="00CE0DBF" w:rsidRDefault="00CD519A" w:rsidP="00CD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lastRenderedPageBreak/>
        <w:t xml:space="preserve">V súvislosti s rozšírením pôsobnosti obcí realizovať porušenia povinností držiteľa vozidla v oblasti parkovania sa predpokladá masívnejšie využívanie tohto inštitútu. Dokumentovanie porušenia zákazu zastavenia a státia je náročná činnosť, navyše každý dôkaz musí byť vyhotovený v takej kvalite, ktorá zabezpečí okamžitý záver, že skutok sa stal; skutok sa pri vyvodzovaní objektívnej zodpovednosti držiteľa vozidla neobjasňuje (len dokumentuje). </w:t>
      </w:r>
    </w:p>
    <w:p w:rsidR="00CD519A" w:rsidRPr="00CE0DBF" w:rsidRDefault="00CD519A" w:rsidP="00CD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 xml:space="preserve">Z uvedeného dôvodu návrh zákona predpokladá úpravu informačného systému evidencie vozidiel, do ktorého budú orgány Policajného zboru, po povolení výnimky z dopravnej značky označujúcej zákaz vjazdu, zákaz zastavenia, zákaz státia, zóny zákazu státia, parkovaciu zónu, pešiu zónu, obytnú zónu a školskú zónu, túto skutočnosť zapisovať. V prípade zapísania tejto skutočnosti do karty konkrétneho vozidla sa stane bezpredmetnou možná pochybnosť, či vozidlo malo na viditeľnom mieste doklad o povolení výnimky (zamedzenie možných špekulácii, respektíve zbytočne podaných odporov zo strany držiteľa vozidla). </w:t>
      </w:r>
    </w:p>
    <w:p w:rsidR="00CD519A" w:rsidRPr="00CE0DBF" w:rsidRDefault="00CD519A" w:rsidP="00CD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 xml:space="preserve">Navrhuje sa teda rozšírenie údajov, ktoré sa v evidencii vozidiel vedú o údaje o povolení výnimky podľa § 140 ods. 1 písm. b) zákona o cestnej premávke. Súčasne sa upravuje s odkazom na prijatie vyhlášky Ministerstva vnútra Slovenskej republiky č. 30/2020 Z. z. o dopravnom  značení, ktorou sa zmenil význam, zobrazenie alebo aj názvy niektorých dopravných značiek, aj taxatívny výpočet dopravných značiek, z ktorých významu (zákazu) sa môže výnimka povoliť. </w:t>
      </w:r>
    </w:p>
    <w:p w:rsidR="00CD519A" w:rsidRPr="00CE0DBF" w:rsidRDefault="00CD519A" w:rsidP="00CD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 xml:space="preserve">V neposlednom rade sa navrhuje upraviť aj spôsob povolenia výnimky z § 140 ods. 1 písm. b) zákona o cestnej premávke, a to tak, že doteraz vydávaný papierový doklad o povolení výnimky nahradí len vydanie upovedomenia o povolení výnimky a povolenie výnimky zapíše orgán Policajného zboru, ktorý výnimku povolil, do evidencie vozidiel. Uvedenou zmenou sa zjednoduší, zefektívni úkon povoľovania výnimky, súčasne sa tiež toto konanie </w:t>
      </w:r>
      <w:proofErr w:type="spellStart"/>
      <w:r w:rsidRPr="00CE0DBF">
        <w:rPr>
          <w:rFonts w:ascii="Times New Roman" w:hAnsi="Times New Roman"/>
          <w:sz w:val="24"/>
          <w:szCs w:val="24"/>
        </w:rPr>
        <w:t>zelektronizuje</w:t>
      </w:r>
      <w:proofErr w:type="spellEnd"/>
      <w:r w:rsidRPr="00CE0DBF">
        <w:rPr>
          <w:rFonts w:ascii="Times New Roman" w:hAnsi="Times New Roman"/>
          <w:sz w:val="24"/>
          <w:szCs w:val="24"/>
        </w:rPr>
        <w:t xml:space="preserve"> (dnes nemožno posielať fyzický doklad s ochrannými prvkami, odtlačkom pečiatky a podpisom v originálnej podobe elektronicky, v budúcnosti sa zašle elektronicky len neformálne upovedomenie).</w:t>
      </w:r>
    </w:p>
    <w:p w:rsidR="00CD519A" w:rsidRPr="00CE0DBF" w:rsidRDefault="00CD519A" w:rsidP="00CD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>V tejto súvislosti bude potrebné upraviť evidenciu vozidiel v rozsahu</w:t>
      </w:r>
    </w:p>
    <w:p w:rsidR="00CD519A" w:rsidRPr="00CE0DBF" w:rsidRDefault="00CD519A" w:rsidP="00CD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>- zápis – zaevidovanie výnimky, so zadaním najmä územného rozsahu výnimky, dôvodu povolenia výnimky, platnosti;</w:t>
      </w:r>
    </w:p>
    <w:p w:rsidR="00CD519A" w:rsidRPr="00CE0DBF" w:rsidRDefault="00CD519A" w:rsidP="00CD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>- zrušenie výnimky – automatizované zrušenie predovšetkým po dátume platnosti;</w:t>
      </w:r>
    </w:p>
    <w:p w:rsidR="00CD519A" w:rsidRPr="00CE0DBF" w:rsidRDefault="00CD519A" w:rsidP="00CD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>- zobrazenie výnimky v samostatnej sekcii v systéme aj na karte vozidla.</w:t>
      </w:r>
    </w:p>
    <w:p w:rsidR="00CD519A" w:rsidRPr="00CE0DBF" w:rsidRDefault="00CD519A" w:rsidP="002D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BF">
        <w:rPr>
          <w:rFonts w:ascii="Times New Roman" w:hAnsi="Times New Roman"/>
          <w:sz w:val="24"/>
          <w:szCs w:val="24"/>
        </w:rPr>
        <w:t>Predložený návrh zákona bude mať negatívny vplyv na rozpočet verejnej správy vo výške 125 000,- eur s DPH (MV SR v roku 2021) pri úprave informačného systému evidencie vozidiel. Uvedená suma je krytá v schválenom rozpočte v kapitole Ministerstva vnútra SR na rok 2021 a nezakladá zvýšené nároky na štátny rozpočet.</w:t>
      </w:r>
    </w:p>
    <w:p w:rsidR="00FC3D1D" w:rsidRPr="00CE0DBF" w:rsidRDefault="00FC3D1D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B91CC2" w:rsidRPr="00CE0DBF" w:rsidRDefault="00B91CC2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FC3D1D" w:rsidRPr="00CE0DBF" w:rsidRDefault="00FC3D1D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R="00FC3D1D" w:rsidRPr="00CE0DBF" w:rsidSect="003D76D5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7D5748" w:rsidRPr="00CE0DBF" w:rsidRDefault="00A30FCE" w:rsidP="00743531">
      <w:pPr>
        <w:tabs>
          <w:tab w:val="num" w:pos="1080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CE0DBF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Ministerstvo </w:t>
      </w:r>
      <w:r w:rsidR="00C40FE3" w:rsidRPr="00CE0DBF">
        <w:rPr>
          <w:rFonts w:ascii="Times New Roman" w:hAnsi="Times New Roman"/>
          <w:bCs/>
          <w:sz w:val="24"/>
          <w:szCs w:val="24"/>
          <w:lang w:eastAsia="sk-SK"/>
        </w:rPr>
        <w:t>dopravy a výstavby</w:t>
      </w:r>
      <w:r w:rsidRPr="00CE0DBF">
        <w:rPr>
          <w:rFonts w:ascii="Times New Roman" w:hAnsi="Times New Roman"/>
          <w:bCs/>
          <w:sz w:val="24"/>
          <w:szCs w:val="24"/>
          <w:lang w:eastAsia="sk-SK"/>
        </w:rPr>
        <w:t xml:space="preserve"> SR</w:t>
      </w:r>
      <w:r w:rsidRPr="00CE0DBF">
        <w:rPr>
          <w:rFonts w:ascii="Times New Roman" w:hAnsi="Times New Roman"/>
          <w:bCs/>
          <w:sz w:val="24"/>
          <w:szCs w:val="24"/>
          <w:lang w:eastAsia="sk-SK"/>
        </w:rPr>
        <w:tab/>
      </w:r>
      <w:r w:rsidRPr="00CE0DBF">
        <w:rPr>
          <w:rFonts w:ascii="Times New Roman" w:hAnsi="Times New Roman"/>
          <w:bCs/>
          <w:sz w:val="24"/>
          <w:szCs w:val="24"/>
          <w:lang w:eastAsia="sk-SK"/>
        </w:rPr>
        <w:tab/>
      </w:r>
      <w:r w:rsidRPr="00CE0DBF">
        <w:rPr>
          <w:rFonts w:ascii="Times New Roman" w:hAnsi="Times New Roman"/>
          <w:bCs/>
          <w:sz w:val="24"/>
          <w:szCs w:val="24"/>
          <w:lang w:eastAsia="sk-SK"/>
        </w:rPr>
        <w:tab/>
      </w:r>
      <w:r w:rsidRPr="00CE0DBF">
        <w:rPr>
          <w:rFonts w:ascii="Times New Roman" w:hAnsi="Times New Roman"/>
          <w:bCs/>
          <w:sz w:val="24"/>
          <w:szCs w:val="24"/>
          <w:lang w:eastAsia="sk-SK"/>
        </w:rPr>
        <w:tab/>
      </w:r>
      <w:r w:rsidRPr="00CE0DBF">
        <w:rPr>
          <w:rFonts w:ascii="Times New Roman" w:hAnsi="Times New Roman"/>
          <w:bCs/>
          <w:sz w:val="24"/>
          <w:szCs w:val="24"/>
          <w:lang w:eastAsia="sk-SK"/>
        </w:rPr>
        <w:tab/>
      </w:r>
      <w:r w:rsidRPr="00CE0DBF">
        <w:rPr>
          <w:rFonts w:ascii="Times New Roman" w:hAnsi="Times New Roman"/>
          <w:bCs/>
          <w:sz w:val="24"/>
          <w:szCs w:val="24"/>
          <w:lang w:eastAsia="sk-SK"/>
        </w:rPr>
        <w:tab/>
      </w:r>
      <w:r w:rsidRPr="00CE0DBF">
        <w:rPr>
          <w:rFonts w:ascii="Times New Roman" w:hAnsi="Times New Roman"/>
          <w:bCs/>
          <w:sz w:val="24"/>
          <w:szCs w:val="24"/>
          <w:lang w:eastAsia="sk-SK"/>
        </w:rPr>
        <w:tab/>
      </w:r>
      <w:r w:rsidRPr="00CE0DBF">
        <w:rPr>
          <w:rFonts w:ascii="Times New Roman" w:hAnsi="Times New Roman"/>
          <w:bCs/>
          <w:sz w:val="24"/>
          <w:szCs w:val="24"/>
          <w:lang w:eastAsia="sk-SK"/>
        </w:rPr>
        <w:tab/>
      </w:r>
      <w:r w:rsidRPr="00CE0DBF">
        <w:rPr>
          <w:rFonts w:ascii="Times New Roman" w:hAnsi="Times New Roman"/>
          <w:bCs/>
          <w:sz w:val="24"/>
          <w:szCs w:val="24"/>
          <w:lang w:eastAsia="sk-SK"/>
        </w:rPr>
        <w:tab/>
      </w:r>
      <w:r w:rsidRPr="00CE0DBF">
        <w:rPr>
          <w:rFonts w:ascii="Times New Roman" w:hAnsi="Times New Roman"/>
          <w:bCs/>
          <w:sz w:val="24"/>
          <w:szCs w:val="24"/>
          <w:lang w:eastAsia="sk-SK"/>
        </w:rPr>
        <w:tab/>
      </w:r>
      <w:r w:rsidRPr="00CE0DBF">
        <w:rPr>
          <w:rFonts w:ascii="Times New Roman" w:hAnsi="Times New Roman"/>
          <w:bCs/>
          <w:sz w:val="24"/>
          <w:szCs w:val="24"/>
          <w:lang w:eastAsia="sk-SK"/>
        </w:rPr>
        <w:tab/>
      </w:r>
      <w:r w:rsidRPr="00CE0DBF">
        <w:rPr>
          <w:rFonts w:ascii="Times New Roman" w:hAnsi="Times New Roman"/>
          <w:bCs/>
          <w:sz w:val="24"/>
          <w:szCs w:val="24"/>
          <w:lang w:eastAsia="sk-SK"/>
        </w:rPr>
        <w:tab/>
      </w:r>
      <w:r w:rsidRPr="00CE0DBF">
        <w:rPr>
          <w:rFonts w:ascii="Times New Roman" w:hAnsi="Times New Roman"/>
          <w:bCs/>
          <w:sz w:val="24"/>
          <w:szCs w:val="24"/>
          <w:lang w:eastAsia="sk-SK"/>
        </w:rPr>
        <w:tab/>
      </w:r>
      <w:r w:rsidRPr="00CE0DBF">
        <w:rPr>
          <w:rFonts w:ascii="Times New Roman" w:hAnsi="Times New Roman"/>
          <w:bCs/>
          <w:sz w:val="24"/>
          <w:szCs w:val="24"/>
          <w:lang w:eastAsia="sk-SK"/>
        </w:rPr>
        <w:tab/>
      </w:r>
      <w:r w:rsidR="007D5748" w:rsidRPr="00CE0DBF">
        <w:rPr>
          <w:rFonts w:ascii="Times New Roman" w:hAnsi="Times New Roman"/>
          <w:bCs/>
          <w:sz w:val="24"/>
          <w:szCs w:val="24"/>
          <w:lang w:eastAsia="sk-SK"/>
        </w:rPr>
        <w:t xml:space="preserve">Tabuľka č. 3 </w:t>
      </w:r>
    </w:p>
    <w:p w:rsidR="007D5748" w:rsidRPr="00CE0DB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C40BAF" w:rsidRPr="00CE0DBF" w:rsidRDefault="00C40BAF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C40BAF" w:rsidRPr="00CE0DBF" w:rsidRDefault="00C40BAF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CE0DBF" w:rsidRPr="00CE0DBF" w:rsidTr="0056142E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CE0DB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CE0DB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CE0DB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E0DBF" w:rsidRPr="00CE0DBF" w:rsidTr="0056142E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E0DB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CE0DBF" w:rsidRDefault="00180EF9" w:rsidP="00B91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B91CC2"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CE0DBF" w:rsidRDefault="00DF3A7A" w:rsidP="00B91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91CC2"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CE0DBF" w:rsidRDefault="00180EF9" w:rsidP="00C4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DF3A7A"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C40FE3"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CE0DBF" w:rsidRDefault="00180EF9" w:rsidP="00C4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40FE3"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E0DB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E0DBF" w:rsidRPr="00CE0DBF" w:rsidTr="0056142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CE0DB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CE0DB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CE0DB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CE0DB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CE0DB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CE0DB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CE0DBF" w:rsidRPr="00CE0DBF" w:rsidTr="0056142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F" w:rsidRPr="00CE0DBF" w:rsidRDefault="00F4251F" w:rsidP="00F425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  <w:p w:rsidR="001B30C7" w:rsidRPr="00CE0DBF" w:rsidRDefault="001B30C7" w:rsidP="00F425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221004 – ostatné poplatky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1F" w:rsidRPr="00CE0DBF" w:rsidRDefault="004D7199" w:rsidP="00F4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1F" w:rsidRPr="00CE0DBF" w:rsidRDefault="00C40FE3" w:rsidP="00F4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1F" w:rsidRPr="00CE0DBF" w:rsidRDefault="00C40FE3" w:rsidP="00F425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1F" w:rsidRPr="00CE0DBF" w:rsidRDefault="00C40FE3" w:rsidP="00F425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51F" w:rsidRPr="00CE0DBF" w:rsidRDefault="00F4251F" w:rsidP="00F42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CE0DBF" w:rsidRPr="00CE0DBF" w:rsidTr="0056142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CE0DB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CE0DB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CE0DBF" w:rsidRDefault="007D5748" w:rsidP="00F4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CE0DBF" w:rsidRDefault="007D5748" w:rsidP="00F4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CE0DBF" w:rsidRDefault="007D5748" w:rsidP="00F4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CE0DB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CE0DBF" w:rsidRPr="00CE0DBF" w:rsidTr="0056142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CE0DB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CE0DB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CE0DBF" w:rsidRDefault="007D5748" w:rsidP="00F4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CE0DBF" w:rsidRDefault="007D5748" w:rsidP="00F4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CE0DBF" w:rsidRDefault="007D5748" w:rsidP="00F4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CE0DB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CE0DBF" w:rsidRPr="00CE0DBF" w:rsidTr="0056142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CE0DB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CE0DB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CE0DBF" w:rsidRDefault="007D5748" w:rsidP="00F4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CE0DBF" w:rsidRDefault="007D5748" w:rsidP="00F4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CE0DBF" w:rsidRDefault="007D5748" w:rsidP="00F4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CE0DB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CE0DBF" w:rsidRPr="00CE0DBF" w:rsidTr="0056142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5D82" w:rsidRPr="00CE0DBF" w:rsidRDefault="00A75D82" w:rsidP="00A75D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5D82" w:rsidRPr="00CE0DBF" w:rsidRDefault="00A75D82" w:rsidP="00A7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5D82" w:rsidRPr="00CE0DBF" w:rsidRDefault="003F0912" w:rsidP="00F4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5D82" w:rsidRPr="00CE0DBF" w:rsidRDefault="003F0912" w:rsidP="00F4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5D82" w:rsidRPr="00CE0DBF" w:rsidRDefault="00F4251F" w:rsidP="00F4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75D82" w:rsidRPr="00CE0DBF" w:rsidRDefault="00A75D82" w:rsidP="00A75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E0DB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CE0DB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CE0DBF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CE0DB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CE0DB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CE0DBF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CE0DB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CE0DBF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CE0DB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CE0DB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CE0DB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CE0DB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CE0DB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CE0DB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sectPr w:rsidR="007D5748" w:rsidRPr="00CE0DBF" w:rsidSect="0074353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A0" w:rsidRDefault="00A228A0">
      <w:pPr>
        <w:spacing w:after="0" w:line="240" w:lineRule="auto"/>
      </w:pPr>
      <w:r>
        <w:separator/>
      </w:r>
    </w:p>
  </w:endnote>
  <w:endnote w:type="continuationSeparator" w:id="0">
    <w:p w:rsidR="00A228A0" w:rsidRDefault="00A2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A9" w:rsidRDefault="00547CA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547CA9" w:rsidRDefault="00547CA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A9" w:rsidRDefault="00547CA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D7199">
      <w:rPr>
        <w:noProof/>
      </w:rPr>
      <w:t>5</w:t>
    </w:r>
    <w:r>
      <w:fldChar w:fldCharType="end"/>
    </w:r>
  </w:p>
  <w:p w:rsidR="00547CA9" w:rsidRDefault="00547CA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A9" w:rsidRDefault="00547CA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547CA9" w:rsidRDefault="00547C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A0" w:rsidRDefault="00A228A0">
      <w:pPr>
        <w:spacing w:after="0" w:line="240" w:lineRule="auto"/>
      </w:pPr>
      <w:r>
        <w:separator/>
      </w:r>
    </w:p>
  </w:footnote>
  <w:footnote w:type="continuationSeparator" w:id="0">
    <w:p w:rsidR="00A228A0" w:rsidRDefault="00A2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A9" w:rsidRDefault="00547CA9" w:rsidP="0056142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547CA9" w:rsidRPr="00EB59C8" w:rsidRDefault="00547CA9" w:rsidP="0056142E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A9" w:rsidRPr="000A15AE" w:rsidRDefault="00547CA9" w:rsidP="0056142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3A1C"/>
    <w:multiLevelType w:val="hybridMultilevel"/>
    <w:tmpl w:val="3744B09A"/>
    <w:lvl w:ilvl="0" w:tplc="9B3CC16E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C04"/>
    <w:multiLevelType w:val="hybridMultilevel"/>
    <w:tmpl w:val="E97827A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C2ACA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750F68"/>
    <w:multiLevelType w:val="hybridMultilevel"/>
    <w:tmpl w:val="5ECC45BE"/>
    <w:lvl w:ilvl="0" w:tplc="8C2AC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50D2B"/>
    <w:multiLevelType w:val="hybridMultilevel"/>
    <w:tmpl w:val="2D9AB1AE"/>
    <w:lvl w:ilvl="0" w:tplc="7BB65E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C70E1"/>
    <w:multiLevelType w:val="hybridMultilevel"/>
    <w:tmpl w:val="7340D7A8"/>
    <w:lvl w:ilvl="0" w:tplc="041B0017">
      <w:start w:val="1"/>
      <w:numFmt w:val="lowerLetter"/>
      <w:lvlText w:val="%1)"/>
      <w:lvlJc w:val="left"/>
      <w:pPr>
        <w:ind w:left="-3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9" w:hanging="360"/>
      </w:pPr>
    </w:lvl>
    <w:lvl w:ilvl="2" w:tplc="041B001B" w:tentative="1">
      <w:start w:val="1"/>
      <w:numFmt w:val="lowerRoman"/>
      <w:lvlText w:val="%3."/>
      <w:lvlJc w:val="right"/>
      <w:pPr>
        <w:ind w:left="1089" w:hanging="180"/>
      </w:pPr>
    </w:lvl>
    <w:lvl w:ilvl="3" w:tplc="041B000F" w:tentative="1">
      <w:start w:val="1"/>
      <w:numFmt w:val="decimal"/>
      <w:lvlText w:val="%4."/>
      <w:lvlJc w:val="left"/>
      <w:pPr>
        <w:ind w:left="1809" w:hanging="360"/>
      </w:pPr>
    </w:lvl>
    <w:lvl w:ilvl="4" w:tplc="041B0019" w:tentative="1">
      <w:start w:val="1"/>
      <w:numFmt w:val="lowerLetter"/>
      <w:lvlText w:val="%5."/>
      <w:lvlJc w:val="left"/>
      <w:pPr>
        <w:ind w:left="2529" w:hanging="360"/>
      </w:pPr>
    </w:lvl>
    <w:lvl w:ilvl="5" w:tplc="041B001B" w:tentative="1">
      <w:start w:val="1"/>
      <w:numFmt w:val="lowerRoman"/>
      <w:lvlText w:val="%6."/>
      <w:lvlJc w:val="right"/>
      <w:pPr>
        <w:ind w:left="3249" w:hanging="180"/>
      </w:pPr>
    </w:lvl>
    <w:lvl w:ilvl="6" w:tplc="041B000F" w:tentative="1">
      <w:start w:val="1"/>
      <w:numFmt w:val="decimal"/>
      <w:lvlText w:val="%7."/>
      <w:lvlJc w:val="left"/>
      <w:pPr>
        <w:ind w:left="3969" w:hanging="360"/>
      </w:pPr>
    </w:lvl>
    <w:lvl w:ilvl="7" w:tplc="041B0019" w:tentative="1">
      <w:start w:val="1"/>
      <w:numFmt w:val="lowerLetter"/>
      <w:lvlText w:val="%8."/>
      <w:lvlJc w:val="left"/>
      <w:pPr>
        <w:ind w:left="4689" w:hanging="360"/>
      </w:pPr>
    </w:lvl>
    <w:lvl w:ilvl="8" w:tplc="041B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8" w15:restartNumberingAfterBreak="0">
    <w:nsid w:val="397E544F"/>
    <w:multiLevelType w:val="hybridMultilevel"/>
    <w:tmpl w:val="4B56A264"/>
    <w:lvl w:ilvl="0" w:tplc="676886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pacing w:val="2"/>
        <w:position w:val="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090315"/>
    <w:multiLevelType w:val="hybridMultilevel"/>
    <w:tmpl w:val="4B56A264"/>
    <w:lvl w:ilvl="0" w:tplc="676886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pacing w:val="2"/>
        <w:position w:val="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5163A2"/>
    <w:multiLevelType w:val="hybridMultilevel"/>
    <w:tmpl w:val="367EE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31FB8"/>
    <w:multiLevelType w:val="hybridMultilevel"/>
    <w:tmpl w:val="A5321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1C52"/>
    <w:rsid w:val="0000466D"/>
    <w:rsid w:val="00015D52"/>
    <w:rsid w:val="00035EB6"/>
    <w:rsid w:val="00054447"/>
    <w:rsid w:val="00057135"/>
    <w:rsid w:val="00061613"/>
    <w:rsid w:val="00074DEE"/>
    <w:rsid w:val="000762DE"/>
    <w:rsid w:val="000A15AE"/>
    <w:rsid w:val="000B31B0"/>
    <w:rsid w:val="000B5953"/>
    <w:rsid w:val="000F049D"/>
    <w:rsid w:val="00101A18"/>
    <w:rsid w:val="00104268"/>
    <w:rsid w:val="00110EC3"/>
    <w:rsid w:val="001127A8"/>
    <w:rsid w:val="0011280B"/>
    <w:rsid w:val="00124919"/>
    <w:rsid w:val="001329B8"/>
    <w:rsid w:val="0013402E"/>
    <w:rsid w:val="001407C3"/>
    <w:rsid w:val="00152E4A"/>
    <w:rsid w:val="00154849"/>
    <w:rsid w:val="0016402A"/>
    <w:rsid w:val="00170D2B"/>
    <w:rsid w:val="00172B41"/>
    <w:rsid w:val="00173821"/>
    <w:rsid w:val="00180EF9"/>
    <w:rsid w:val="00190035"/>
    <w:rsid w:val="00196881"/>
    <w:rsid w:val="001A558B"/>
    <w:rsid w:val="001B30C7"/>
    <w:rsid w:val="001B4127"/>
    <w:rsid w:val="001B6823"/>
    <w:rsid w:val="001D1343"/>
    <w:rsid w:val="001D5F32"/>
    <w:rsid w:val="002000C5"/>
    <w:rsid w:val="00200898"/>
    <w:rsid w:val="00212894"/>
    <w:rsid w:val="00213A1F"/>
    <w:rsid w:val="00234CC9"/>
    <w:rsid w:val="00251CE8"/>
    <w:rsid w:val="002707E5"/>
    <w:rsid w:val="00280826"/>
    <w:rsid w:val="00285DCC"/>
    <w:rsid w:val="002A68B4"/>
    <w:rsid w:val="002A7897"/>
    <w:rsid w:val="002D290C"/>
    <w:rsid w:val="002D63FD"/>
    <w:rsid w:val="002D6640"/>
    <w:rsid w:val="002E2853"/>
    <w:rsid w:val="002E5ED4"/>
    <w:rsid w:val="00304978"/>
    <w:rsid w:val="00315839"/>
    <w:rsid w:val="00317B90"/>
    <w:rsid w:val="003378B3"/>
    <w:rsid w:val="00353DA0"/>
    <w:rsid w:val="00354FC5"/>
    <w:rsid w:val="003625BA"/>
    <w:rsid w:val="00366EAC"/>
    <w:rsid w:val="00372A55"/>
    <w:rsid w:val="00377EE1"/>
    <w:rsid w:val="003C5B6D"/>
    <w:rsid w:val="003D6026"/>
    <w:rsid w:val="003D76D5"/>
    <w:rsid w:val="003F0912"/>
    <w:rsid w:val="0040036C"/>
    <w:rsid w:val="0041516C"/>
    <w:rsid w:val="00423A22"/>
    <w:rsid w:val="00433F03"/>
    <w:rsid w:val="00434F28"/>
    <w:rsid w:val="00441785"/>
    <w:rsid w:val="00451CCD"/>
    <w:rsid w:val="004579CF"/>
    <w:rsid w:val="00487203"/>
    <w:rsid w:val="00490C78"/>
    <w:rsid w:val="004912BA"/>
    <w:rsid w:val="004D56B7"/>
    <w:rsid w:val="004D6D25"/>
    <w:rsid w:val="004D7199"/>
    <w:rsid w:val="004E20E2"/>
    <w:rsid w:val="004E3613"/>
    <w:rsid w:val="005005EC"/>
    <w:rsid w:val="00507164"/>
    <w:rsid w:val="00514E59"/>
    <w:rsid w:val="00517C4A"/>
    <w:rsid w:val="00522384"/>
    <w:rsid w:val="00526681"/>
    <w:rsid w:val="00547CA9"/>
    <w:rsid w:val="00550022"/>
    <w:rsid w:val="0056142E"/>
    <w:rsid w:val="00570B97"/>
    <w:rsid w:val="00574BC5"/>
    <w:rsid w:val="00592DB1"/>
    <w:rsid w:val="005B098E"/>
    <w:rsid w:val="005C1E68"/>
    <w:rsid w:val="005D7374"/>
    <w:rsid w:val="005D7420"/>
    <w:rsid w:val="005E2ECC"/>
    <w:rsid w:val="005E59CF"/>
    <w:rsid w:val="005E60DB"/>
    <w:rsid w:val="00605FB8"/>
    <w:rsid w:val="00610FE9"/>
    <w:rsid w:val="00617D6E"/>
    <w:rsid w:val="00620C9D"/>
    <w:rsid w:val="006220A3"/>
    <w:rsid w:val="0062717B"/>
    <w:rsid w:val="0063009D"/>
    <w:rsid w:val="006357C3"/>
    <w:rsid w:val="00642C65"/>
    <w:rsid w:val="00643A10"/>
    <w:rsid w:val="00647C94"/>
    <w:rsid w:val="00674CFF"/>
    <w:rsid w:val="006933F4"/>
    <w:rsid w:val="006A0071"/>
    <w:rsid w:val="006A5E0D"/>
    <w:rsid w:val="006B0846"/>
    <w:rsid w:val="006C6D63"/>
    <w:rsid w:val="006D7092"/>
    <w:rsid w:val="006E7A65"/>
    <w:rsid w:val="00715B7E"/>
    <w:rsid w:val="007246BD"/>
    <w:rsid w:val="00727134"/>
    <w:rsid w:val="0073342B"/>
    <w:rsid w:val="00743531"/>
    <w:rsid w:val="00770A07"/>
    <w:rsid w:val="0078736F"/>
    <w:rsid w:val="00791494"/>
    <w:rsid w:val="007A0C3E"/>
    <w:rsid w:val="007A6B09"/>
    <w:rsid w:val="007B180A"/>
    <w:rsid w:val="007C104B"/>
    <w:rsid w:val="007D478B"/>
    <w:rsid w:val="007D5748"/>
    <w:rsid w:val="007E2CD4"/>
    <w:rsid w:val="007E4CB8"/>
    <w:rsid w:val="007F22F2"/>
    <w:rsid w:val="00817BDC"/>
    <w:rsid w:val="00821476"/>
    <w:rsid w:val="0082366F"/>
    <w:rsid w:val="00830C15"/>
    <w:rsid w:val="008317A2"/>
    <w:rsid w:val="0084099D"/>
    <w:rsid w:val="00844D6B"/>
    <w:rsid w:val="00853C2B"/>
    <w:rsid w:val="00854EB9"/>
    <w:rsid w:val="00866C56"/>
    <w:rsid w:val="008836BC"/>
    <w:rsid w:val="00886543"/>
    <w:rsid w:val="008960C6"/>
    <w:rsid w:val="008970BD"/>
    <w:rsid w:val="008A6CD0"/>
    <w:rsid w:val="008C0792"/>
    <w:rsid w:val="008C1CFA"/>
    <w:rsid w:val="008D339D"/>
    <w:rsid w:val="008E2736"/>
    <w:rsid w:val="008F10C1"/>
    <w:rsid w:val="0091500A"/>
    <w:rsid w:val="009214E9"/>
    <w:rsid w:val="00924D2F"/>
    <w:rsid w:val="0094100D"/>
    <w:rsid w:val="009446A4"/>
    <w:rsid w:val="00957567"/>
    <w:rsid w:val="009706B7"/>
    <w:rsid w:val="009912C5"/>
    <w:rsid w:val="009A137C"/>
    <w:rsid w:val="009A363B"/>
    <w:rsid w:val="009C783D"/>
    <w:rsid w:val="009D60EC"/>
    <w:rsid w:val="009D7F32"/>
    <w:rsid w:val="00A228A0"/>
    <w:rsid w:val="00A22BCD"/>
    <w:rsid w:val="00A27939"/>
    <w:rsid w:val="00A30FCE"/>
    <w:rsid w:val="00A346C2"/>
    <w:rsid w:val="00A41525"/>
    <w:rsid w:val="00A47E42"/>
    <w:rsid w:val="00A62289"/>
    <w:rsid w:val="00A722B3"/>
    <w:rsid w:val="00A73199"/>
    <w:rsid w:val="00A75D82"/>
    <w:rsid w:val="00A77C69"/>
    <w:rsid w:val="00A93B86"/>
    <w:rsid w:val="00AB4521"/>
    <w:rsid w:val="00AC7970"/>
    <w:rsid w:val="00AE5596"/>
    <w:rsid w:val="00AE7413"/>
    <w:rsid w:val="00AF33EA"/>
    <w:rsid w:val="00B141AF"/>
    <w:rsid w:val="00B238D6"/>
    <w:rsid w:val="00B37B9E"/>
    <w:rsid w:val="00B40FDD"/>
    <w:rsid w:val="00B45600"/>
    <w:rsid w:val="00B5535C"/>
    <w:rsid w:val="00B5574F"/>
    <w:rsid w:val="00B73143"/>
    <w:rsid w:val="00B91CC2"/>
    <w:rsid w:val="00BA2767"/>
    <w:rsid w:val="00BA5727"/>
    <w:rsid w:val="00BB276D"/>
    <w:rsid w:val="00BB570F"/>
    <w:rsid w:val="00BD1BBD"/>
    <w:rsid w:val="00BD5588"/>
    <w:rsid w:val="00BE5A98"/>
    <w:rsid w:val="00BF1B25"/>
    <w:rsid w:val="00BF34CD"/>
    <w:rsid w:val="00BF3BCB"/>
    <w:rsid w:val="00C15212"/>
    <w:rsid w:val="00C24CE8"/>
    <w:rsid w:val="00C2502B"/>
    <w:rsid w:val="00C40BAF"/>
    <w:rsid w:val="00C40FE3"/>
    <w:rsid w:val="00C411E9"/>
    <w:rsid w:val="00C51FD4"/>
    <w:rsid w:val="00C56AD9"/>
    <w:rsid w:val="00C57B93"/>
    <w:rsid w:val="00C66393"/>
    <w:rsid w:val="00C81F86"/>
    <w:rsid w:val="00C878C4"/>
    <w:rsid w:val="00C943A1"/>
    <w:rsid w:val="00C952D1"/>
    <w:rsid w:val="00CB037B"/>
    <w:rsid w:val="00CB2FFB"/>
    <w:rsid w:val="00CB35F5"/>
    <w:rsid w:val="00CB3623"/>
    <w:rsid w:val="00CD3777"/>
    <w:rsid w:val="00CD3806"/>
    <w:rsid w:val="00CD519A"/>
    <w:rsid w:val="00CE0DBF"/>
    <w:rsid w:val="00CE299A"/>
    <w:rsid w:val="00CE47E1"/>
    <w:rsid w:val="00CF4359"/>
    <w:rsid w:val="00D04BA3"/>
    <w:rsid w:val="00D04F8F"/>
    <w:rsid w:val="00D10A70"/>
    <w:rsid w:val="00D434C0"/>
    <w:rsid w:val="00D4464D"/>
    <w:rsid w:val="00D740AE"/>
    <w:rsid w:val="00D93F9C"/>
    <w:rsid w:val="00D95C87"/>
    <w:rsid w:val="00DB7407"/>
    <w:rsid w:val="00DC5A0F"/>
    <w:rsid w:val="00DC5C88"/>
    <w:rsid w:val="00DD2BFF"/>
    <w:rsid w:val="00DE5BF1"/>
    <w:rsid w:val="00DF3A7A"/>
    <w:rsid w:val="00E00002"/>
    <w:rsid w:val="00E07CE9"/>
    <w:rsid w:val="00E20D01"/>
    <w:rsid w:val="00E27FDA"/>
    <w:rsid w:val="00E348FC"/>
    <w:rsid w:val="00E34DFF"/>
    <w:rsid w:val="00E4109E"/>
    <w:rsid w:val="00E5242F"/>
    <w:rsid w:val="00E5384E"/>
    <w:rsid w:val="00E6006C"/>
    <w:rsid w:val="00E642FE"/>
    <w:rsid w:val="00E954DA"/>
    <w:rsid w:val="00E963A3"/>
    <w:rsid w:val="00E965C9"/>
    <w:rsid w:val="00EA0144"/>
    <w:rsid w:val="00EA1E90"/>
    <w:rsid w:val="00EB59C8"/>
    <w:rsid w:val="00EC06EE"/>
    <w:rsid w:val="00F11F85"/>
    <w:rsid w:val="00F208A6"/>
    <w:rsid w:val="00F23088"/>
    <w:rsid w:val="00F23592"/>
    <w:rsid w:val="00F24F81"/>
    <w:rsid w:val="00F272C1"/>
    <w:rsid w:val="00F40136"/>
    <w:rsid w:val="00F4251F"/>
    <w:rsid w:val="00F43A18"/>
    <w:rsid w:val="00F53977"/>
    <w:rsid w:val="00F65B85"/>
    <w:rsid w:val="00F8378B"/>
    <w:rsid w:val="00F842B7"/>
    <w:rsid w:val="00F84C99"/>
    <w:rsid w:val="00FA1566"/>
    <w:rsid w:val="00FC0573"/>
    <w:rsid w:val="00FC3D1D"/>
    <w:rsid w:val="00FD3F2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AC054"/>
  <w14:defaultImageDpi w14:val="0"/>
  <w15:docId w15:val="{746FBAA3-6041-43C7-B20B-B3DBFC17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F24F81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24F81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6142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142E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56142E"/>
    <w:rPr>
      <w:rFonts w:ascii="Times New Roman" w:hAnsi="Times New Roman" w:cs="Times New Roman"/>
      <w:sz w:val="20"/>
      <w:szCs w:val="20"/>
      <w:lang w:val="x-none" w:eastAsia="sk-SK"/>
    </w:rPr>
  </w:style>
  <w:style w:type="paragraph" w:styleId="Odsekzoznamu">
    <w:name w:val="List Paragraph"/>
    <w:aliases w:val="Odsek zoznamu1,Odsek"/>
    <w:basedOn w:val="Normlny"/>
    <w:link w:val="OdsekzoznamuChar"/>
    <w:uiPriority w:val="34"/>
    <w:qFormat/>
    <w:rsid w:val="00514E59"/>
    <w:pPr>
      <w:ind w:left="720"/>
      <w:contextualSpacing/>
    </w:pPr>
  </w:style>
  <w:style w:type="paragraph" w:customStyle="1" w:styleId="Odstavecseseznamem">
    <w:name w:val="Odstavec se seznamem"/>
    <w:basedOn w:val="Normlny"/>
    <w:uiPriority w:val="34"/>
    <w:qFormat/>
    <w:rsid w:val="003F0912"/>
    <w:pPr>
      <w:ind w:left="720"/>
      <w:contextualSpacing/>
    </w:pPr>
    <w:rPr>
      <w:rFonts w:ascii="Calibri" w:hAnsi="Calibri"/>
    </w:rPr>
  </w:style>
  <w:style w:type="character" w:customStyle="1" w:styleId="OdsekzoznamuChar">
    <w:name w:val="Odsek zoznamu Char"/>
    <w:aliases w:val="Odsek zoznamu1 Char,Odsek Char"/>
    <w:link w:val="Odsekzoznamu"/>
    <w:uiPriority w:val="34"/>
    <w:locked/>
    <w:rsid w:val="00FD3F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26795-B8CC-4A94-A3CE-3C27A0C11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AC14D37-42AA-4C3F-908D-1D49A4AF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Moravčík, Ľubomír</cp:lastModifiedBy>
  <cp:revision>16</cp:revision>
  <cp:lastPrinted>2021-05-11T14:35:00Z</cp:lastPrinted>
  <dcterms:created xsi:type="dcterms:W3CDTF">2019-08-15T15:08:00Z</dcterms:created>
  <dcterms:modified xsi:type="dcterms:W3CDTF">2021-05-12T12:10:00Z</dcterms:modified>
</cp:coreProperties>
</file>