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1B" w:rsidRPr="00F9528E" w:rsidRDefault="00F1081B" w:rsidP="00F1081B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 xml:space="preserve">SPrÁva o Účasti verejnosti na Tvorbe právnych Predpisov </w:t>
      </w:r>
    </w:p>
    <w:p w:rsidR="00F1081B" w:rsidRPr="00F9528E" w:rsidRDefault="00F1081B" w:rsidP="00F1081B">
      <w:pPr>
        <w:widowControl/>
        <w:jc w:val="both"/>
        <w:rPr>
          <w:color w:val="000000"/>
        </w:rPr>
      </w:pPr>
    </w:p>
    <w:p w:rsidR="00F1081B" w:rsidRDefault="00F1081B" w:rsidP="00F1081B">
      <w:pPr>
        <w:widowControl/>
        <w:jc w:val="center"/>
        <w:rPr>
          <w:color w:val="000000"/>
          <w:lang w:val="en-US"/>
        </w:rPr>
      </w:pPr>
    </w:p>
    <w:p w:rsidR="00A04CC0" w:rsidRDefault="00F1081B" w:rsidP="00A04CC0">
      <w:pPr>
        <w:jc w:val="both"/>
      </w:pPr>
      <w:r w:rsidRPr="00427F13">
        <w:t xml:space="preserve">Verejnosť bola o príprave </w:t>
      </w:r>
      <w:r w:rsidR="005A716B" w:rsidRPr="00C90A00">
        <w:t>návrh</w:t>
      </w:r>
      <w:r w:rsidR="005A716B">
        <w:t>u</w:t>
      </w:r>
      <w:r w:rsidR="005A716B" w:rsidRPr="00C90A00">
        <w:t xml:space="preserve"> </w:t>
      </w:r>
      <w:r w:rsidR="004E3256" w:rsidRPr="007636A8">
        <w:t>zákona</w:t>
      </w:r>
      <w:r w:rsidR="0043558C">
        <w:t>,</w:t>
      </w:r>
      <w:r w:rsidR="004E3256" w:rsidRPr="007636A8">
        <w:t xml:space="preserve"> ktorým sa mení a dopĺňa zákon č. 106/2018 Z. z. o</w:t>
      </w:r>
      <w:r w:rsidR="004E3256">
        <w:t> </w:t>
      </w:r>
      <w:r w:rsidR="004E3256" w:rsidRPr="007636A8">
        <w:t>prevádzke</w:t>
      </w:r>
      <w:r w:rsidR="004E3256">
        <w:t xml:space="preserve"> </w:t>
      </w:r>
      <w:r w:rsidR="004E3256" w:rsidRPr="007636A8">
        <w:t>vozidiel v cestnej premávke a o zmene a doplnení niektorých zákonov</w:t>
      </w:r>
      <w:r w:rsidR="0011176F">
        <w:t xml:space="preserve"> v znení neskorších predpisov</w:t>
      </w:r>
      <w:r w:rsidR="004E3256" w:rsidRPr="007636A8">
        <w:t xml:space="preserve"> a ktorým sa</w:t>
      </w:r>
      <w:r w:rsidR="004E3256">
        <w:t> </w:t>
      </w:r>
      <w:r w:rsidR="004E3256" w:rsidRPr="007636A8">
        <w:t>menia a</w:t>
      </w:r>
      <w:r w:rsidR="004E3256">
        <w:t> </w:t>
      </w:r>
      <w:r w:rsidR="004E3256" w:rsidRPr="007636A8">
        <w:t>dopĺňajú</w:t>
      </w:r>
      <w:r w:rsidR="004E3256">
        <w:t xml:space="preserve"> </w:t>
      </w:r>
      <w:r w:rsidR="004E3256" w:rsidRPr="007636A8">
        <w:t>niektoré zákony</w:t>
      </w:r>
      <w:r w:rsidR="004E3256" w:rsidRPr="00427F13">
        <w:t xml:space="preserve"> </w:t>
      </w:r>
      <w:r w:rsidRPr="00427F13">
        <w:t xml:space="preserve">informovaná prostredníctvom predbežnej informácie </w:t>
      </w:r>
      <w:r>
        <w:t>z</w:t>
      </w:r>
      <w:r w:rsidRPr="00427F13">
        <w:t>verejnenej v</w:t>
      </w:r>
      <w:r w:rsidR="00C56AE6">
        <w:t> </w:t>
      </w:r>
      <w:r w:rsidRPr="006C1996">
        <w:t>informačnom</w:t>
      </w:r>
      <w:r w:rsidR="00C56AE6">
        <w:t xml:space="preserve"> </w:t>
      </w:r>
      <w:r w:rsidRPr="006C1996">
        <w:t xml:space="preserve">systéme verejnej správy Slov-Lex </w:t>
      </w:r>
      <w:r w:rsidRPr="00603E89">
        <w:t>(PI/20</w:t>
      </w:r>
      <w:r w:rsidR="0011176F">
        <w:t>20</w:t>
      </w:r>
      <w:r w:rsidRPr="00603E89">
        <w:t>/</w:t>
      </w:r>
      <w:r w:rsidR="0011176F">
        <w:t>276</w:t>
      </w:r>
      <w:r w:rsidRPr="00603E89">
        <w:t xml:space="preserve">) </w:t>
      </w:r>
      <w:r w:rsidR="00257000">
        <w:t xml:space="preserve">v období </w:t>
      </w:r>
      <w:bookmarkStart w:id="0" w:name="_GoBack"/>
      <w:bookmarkEnd w:id="0"/>
      <w:r w:rsidRPr="00603E89">
        <w:t xml:space="preserve">od </w:t>
      </w:r>
      <w:r w:rsidR="0011176F">
        <w:t>16</w:t>
      </w:r>
      <w:r w:rsidRPr="00603E89">
        <w:t xml:space="preserve">. </w:t>
      </w:r>
      <w:r w:rsidR="0011176F">
        <w:t>decembra</w:t>
      </w:r>
      <w:r w:rsidRPr="00603E89">
        <w:t xml:space="preserve"> 20</w:t>
      </w:r>
      <w:r w:rsidR="0011176F">
        <w:t>20</w:t>
      </w:r>
      <w:r w:rsidRPr="00603E89">
        <w:t xml:space="preserve"> do</w:t>
      </w:r>
      <w:r w:rsidR="00121097" w:rsidRPr="00603E89">
        <w:t> </w:t>
      </w:r>
      <w:r w:rsidR="0011176F">
        <w:t>1</w:t>
      </w:r>
      <w:r w:rsidRPr="00603E89">
        <w:t>.</w:t>
      </w:r>
      <w:r w:rsidR="004B6033" w:rsidRPr="00603E89">
        <w:t> </w:t>
      </w:r>
      <w:r w:rsidR="0011176F">
        <w:t>februára</w:t>
      </w:r>
      <w:r w:rsidRPr="00603E89">
        <w:t xml:space="preserve"> 20</w:t>
      </w:r>
      <w:r w:rsidR="0011176F">
        <w:t>21</w:t>
      </w:r>
      <w:r w:rsidRPr="00724A2B">
        <w:t>.</w:t>
      </w:r>
      <w:r w:rsidRPr="006C1996">
        <w:t xml:space="preserve"> </w:t>
      </w:r>
    </w:p>
    <w:p w:rsidR="00A04CC0" w:rsidRDefault="00A04CC0" w:rsidP="00A04CC0">
      <w:pPr>
        <w:jc w:val="both"/>
      </w:pPr>
    </w:p>
    <w:p w:rsidR="00A04CC0" w:rsidRDefault="00A04CC0" w:rsidP="00A04CC0">
      <w:pPr>
        <w:jc w:val="both"/>
      </w:pPr>
      <w:r>
        <w:t>K predbežnej informácii o predmetnom návrhu zákona boli vznesené tri vyjadrenia.</w:t>
      </w:r>
    </w:p>
    <w:p w:rsidR="00A04CC0" w:rsidRDefault="00A04CC0" w:rsidP="00A04CC0">
      <w:pPr>
        <w:jc w:val="both"/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3718"/>
        <w:gridCol w:w="593"/>
        <w:gridCol w:w="3681"/>
      </w:tblGrid>
      <w:tr w:rsidR="00A04CC0" w:rsidRPr="00A04CC0" w:rsidTr="00A04CC0">
        <w:trPr>
          <w:jc w:val="center"/>
        </w:trPr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4CC0" w:rsidRPr="00A04CC0" w:rsidRDefault="00A04CC0" w:rsidP="00347546">
            <w:pPr>
              <w:jc w:val="center"/>
              <w:rPr>
                <w:b/>
                <w:bCs/>
                <w:sz w:val="22"/>
                <w:szCs w:val="22"/>
              </w:rPr>
            </w:pPr>
            <w:r w:rsidRPr="00A04CC0">
              <w:rPr>
                <w:b/>
                <w:bCs/>
                <w:sz w:val="22"/>
                <w:szCs w:val="22"/>
              </w:rPr>
              <w:t>Subjekt</w:t>
            </w:r>
          </w:p>
        </w:tc>
        <w:tc>
          <w:tcPr>
            <w:tcW w:w="1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4CC0" w:rsidRPr="00A04CC0" w:rsidRDefault="00A04CC0" w:rsidP="00347546">
            <w:pPr>
              <w:jc w:val="center"/>
              <w:rPr>
                <w:b/>
                <w:bCs/>
                <w:sz w:val="22"/>
                <w:szCs w:val="22"/>
              </w:rPr>
            </w:pPr>
            <w:r w:rsidRPr="00A04CC0">
              <w:rPr>
                <w:b/>
                <w:bCs/>
                <w:sz w:val="22"/>
                <w:szCs w:val="22"/>
              </w:rPr>
              <w:t>Vyjadrenia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4CC0" w:rsidRPr="00A04CC0" w:rsidRDefault="00A04CC0" w:rsidP="0034754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04CC0">
              <w:rPr>
                <w:b/>
                <w:bCs/>
                <w:sz w:val="22"/>
                <w:szCs w:val="22"/>
              </w:rPr>
              <w:t>Vyh</w:t>
            </w:r>
            <w:proofErr w:type="spellEnd"/>
            <w:r w:rsidRPr="00A04CC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4CC0" w:rsidRPr="00A04CC0" w:rsidRDefault="00A04CC0" w:rsidP="00347546">
            <w:pPr>
              <w:jc w:val="center"/>
              <w:rPr>
                <w:b/>
                <w:bCs/>
                <w:sz w:val="22"/>
                <w:szCs w:val="22"/>
              </w:rPr>
            </w:pPr>
            <w:r w:rsidRPr="00A04CC0">
              <w:rPr>
                <w:b/>
                <w:bCs/>
                <w:sz w:val="22"/>
                <w:szCs w:val="22"/>
              </w:rPr>
              <w:t>Spôsob vyhodnotenia</w:t>
            </w:r>
          </w:p>
        </w:tc>
      </w:tr>
      <w:tr w:rsidR="00A04CC0" w:rsidRPr="00A04CC0" w:rsidTr="00A04CC0">
        <w:trPr>
          <w:jc w:val="center"/>
        </w:trPr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4CC0" w:rsidRPr="00A04CC0" w:rsidRDefault="00A04CC0" w:rsidP="00347546">
            <w:pPr>
              <w:jc w:val="center"/>
              <w:rPr>
                <w:b/>
                <w:bCs/>
                <w:sz w:val="22"/>
                <w:szCs w:val="22"/>
              </w:rPr>
            </w:pPr>
            <w:r w:rsidRPr="00A04CC0">
              <w:rPr>
                <w:b/>
                <w:bCs/>
                <w:sz w:val="22"/>
                <w:szCs w:val="22"/>
              </w:rPr>
              <w:t>APZ (Asociácia priemyselných zväzov)</w:t>
            </w:r>
          </w:p>
        </w:tc>
        <w:tc>
          <w:tcPr>
            <w:tcW w:w="1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4CC0" w:rsidRPr="00A04CC0" w:rsidRDefault="00A04CC0" w:rsidP="00A04CC0">
            <w:pPr>
              <w:rPr>
                <w:sz w:val="22"/>
                <w:szCs w:val="22"/>
              </w:rPr>
            </w:pPr>
            <w:r w:rsidRPr="00A04CC0">
              <w:rPr>
                <w:sz w:val="22"/>
                <w:szCs w:val="22"/>
              </w:rPr>
              <w:t>V predbežnej informácii sa uvádza, že</w:t>
            </w:r>
            <w:r>
              <w:rPr>
                <w:sz w:val="22"/>
                <w:szCs w:val="22"/>
              </w:rPr>
              <w:t> </w:t>
            </w:r>
            <w:r w:rsidRPr="00A04CC0">
              <w:rPr>
                <w:sz w:val="22"/>
                <w:szCs w:val="22"/>
              </w:rPr>
              <w:t>hlavným dôvodom vypracovania návrhu novely zákona je implementácia nariadenia Európskeho parlamentu a</w:t>
            </w:r>
            <w:r>
              <w:rPr>
                <w:sz w:val="22"/>
                <w:szCs w:val="22"/>
              </w:rPr>
              <w:t> </w:t>
            </w:r>
            <w:r w:rsidRPr="00A04CC0">
              <w:rPr>
                <w:sz w:val="22"/>
                <w:szCs w:val="22"/>
              </w:rPr>
              <w:t>Rady</w:t>
            </w:r>
            <w:r>
              <w:rPr>
                <w:sz w:val="22"/>
                <w:szCs w:val="22"/>
              </w:rPr>
              <w:t xml:space="preserve"> </w:t>
            </w:r>
            <w:r w:rsidRPr="00A04CC0">
              <w:rPr>
                <w:sz w:val="22"/>
                <w:szCs w:val="22"/>
              </w:rPr>
              <w:t>(EÚ) 2019/2144. V materiáli sa uvádza, že Nariadenie (EÚ) 2019/2144 je samostatným regulačným aktom pre schvaľovanie vozidiel a z tohto dôvodu je potrebné ho doplniť do zákona č.</w:t>
            </w:r>
            <w:r>
              <w:rPr>
                <w:sz w:val="22"/>
                <w:szCs w:val="22"/>
              </w:rPr>
              <w:t> </w:t>
            </w:r>
            <w:r w:rsidRPr="00A04CC0">
              <w:rPr>
                <w:sz w:val="22"/>
                <w:szCs w:val="22"/>
              </w:rPr>
              <w:t xml:space="preserve">106/2018 Z. z., aby prípadné porušenie povinností výrobcami vozidiel bolo </w:t>
            </w:r>
            <w:proofErr w:type="spellStart"/>
            <w:r w:rsidRPr="00A04CC0">
              <w:rPr>
                <w:sz w:val="22"/>
                <w:szCs w:val="22"/>
              </w:rPr>
              <w:t>sankciovateľné</w:t>
            </w:r>
            <w:proofErr w:type="spellEnd"/>
            <w:r w:rsidRPr="00A04CC0">
              <w:rPr>
                <w:sz w:val="22"/>
                <w:szCs w:val="22"/>
              </w:rPr>
              <w:t>. V predbežnej informácii sa však bližšie neuvádza, akým spôsobom predkladateľ navrhuje sankcie uplatňovať, prípadne aká bude ich výška. Z toho dôvodu navrhujeme k návrhu zákona uskutočniť konzultácie ešte pred samotným MPK za účelom získania bližších informácií k tomuto bodu.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4CC0" w:rsidRPr="00A04CC0" w:rsidRDefault="00A04CC0" w:rsidP="00347546">
            <w:pPr>
              <w:jc w:val="center"/>
              <w:rPr>
                <w:sz w:val="22"/>
                <w:szCs w:val="22"/>
              </w:rPr>
            </w:pPr>
            <w:r w:rsidRPr="00A04CC0">
              <w:rPr>
                <w:sz w:val="22"/>
                <w:szCs w:val="22"/>
              </w:rPr>
              <w:t>A</w:t>
            </w:r>
          </w:p>
        </w:tc>
        <w:tc>
          <w:tcPr>
            <w:tcW w:w="19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4CC0" w:rsidRPr="00A04CC0" w:rsidRDefault="00A04CC0" w:rsidP="00F62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Konzultácia sa uskutočnila dňa 2.2.202</w:t>
            </w:r>
            <w:r w:rsidR="00F629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</w:tr>
      <w:tr w:rsidR="00A04CC0" w:rsidRPr="00A04CC0" w:rsidTr="00A04CC0">
        <w:trPr>
          <w:jc w:val="center"/>
        </w:trPr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4CC0" w:rsidRPr="00A04CC0" w:rsidRDefault="00A04CC0" w:rsidP="00347546">
            <w:pPr>
              <w:jc w:val="center"/>
              <w:rPr>
                <w:b/>
                <w:bCs/>
                <w:sz w:val="22"/>
                <w:szCs w:val="22"/>
              </w:rPr>
            </w:pPr>
            <w:r w:rsidRPr="00A04CC0">
              <w:rPr>
                <w:b/>
                <w:bCs/>
                <w:sz w:val="22"/>
                <w:szCs w:val="22"/>
              </w:rPr>
              <w:t>APZ (Asociácia priemyselných zväzov)</w:t>
            </w:r>
          </w:p>
        </w:tc>
        <w:tc>
          <w:tcPr>
            <w:tcW w:w="1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4CC0" w:rsidRPr="00A04CC0" w:rsidRDefault="00A04CC0" w:rsidP="00A04CC0">
            <w:pPr>
              <w:rPr>
                <w:sz w:val="22"/>
                <w:szCs w:val="22"/>
              </w:rPr>
            </w:pPr>
            <w:r w:rsidRPr="00A04CC0">
              <w:rPr>
                <w:sz w:val="22"/>
                <w:szCs w:val="22"/>
              </w:rPr>
              <w:t>V zmysle predbežnej informácie sa uvádza, že jedným z dôvodov vypracovania návrhu novely zákona je prehodnotenie celého systému podrobenia vozidla oprave v</w:t>
            </w:r>
            <w:r>
              <w:rPr>
                <w:sz w:val="22"/>
                <w:szCs w:val="22"/>
              </w:rPr>
              <w:t> </w:t>
            </w:r>
            <w:r w:rsidRPr="00A04CC0">
              <w:rPr>
                <w:sz w:val="22"/>
                <w:szCs w:val="22"/>
              </w:rPr>
              <w:t>certifikovanom</w:t>
            </w:r>
            <w:r>
              <w:rPr>
                <w:sz w:val="22"/>
                <w:szCs w:val="22"/>
              </w:rPr>
              <w:t xml:space="preserve"> </w:t>
            </w:r>
            <w:r w:rsidRPr="00A04CC0">
              <w:rPr>
                <w:sz w:val="22"/>
                <w:szCs w:val="22"/>
              </w:rPr>
              <w:t>mieste opravy po</w:t>
            </w:r>
            <w:r>
              <w:rPr>
                <w:sz w:val="22"/>
                <w:szCs w:val="22"/>
              </w:rPr>
              <w:t> </w:t>
            </w:r>
            <w:r w:rsidRPr="00A04CC0">
              <w:rPr>
                <w:sz w:val="22"/>
                <w:szCs w:val="22"/>
              </w:rPr>
              <w:t xml:space="preserve">dopravnej nehode alebo škodovej udalosti, ktorá mala vplyv na hlavné bezpečnostné prvky vozidla, ktorými sú zavesenie kolies, deformačné zóny, systémy </w:t>
            </w:r>
            <w:proofErr w:type="spellStart"/>
            <w:r w:rsidRPr="00A04CC0">
              <w:rPr>
                <w:sz w:val="22"/>
                <w:szCs w:val="22"/>
              </w:rPr>
              <w:t>airbagov</w:t>
            </w:r>
            <w:proofErr w:type="spellEnd"/>
            <w:r w:rsidRPr="00A04CC0">
              <w:rPr>
                <w:sz w:val="22"/>
                <w:szCs w:val="22"/>
              </w:rPr>
              <w:t>, riadenie alebo brzdy. Oceňujeme, že predkladateľ prichádza s</w:t>
            </w:r>
            <w:r>
              <w:rPr>
                <w:sz w:val="22"/>
                <w:szCs w:val="22"/>
              </w:rPr>
              <w:t> </w:t>
            </w:r>
            <w:r w:rsidRPr="00A04CC0">
              <w:rPr>
                <w:sz w:val="22"/>
                <w:szCs w:val="22"/>
              </w:rPr>
              <w:t>potrebou</w:t>
            </w:r>
            <w:r>
              <w:rPr>
                <w:sz w:val="22"/>
                <w:szCs w:val="22"/>
              </w:rPr>
              <w:t xml:space="preserve"> </w:t>
            </w:r>
            <w:r w:rsidRPr="00A04CC0">
              <w:rPr>
                <w:sz w:val="22"/>
                <w:szCs w:val="22"/>
              </w:rPr>
              <w:t xml:space="preserve">prehodnotenia aktuálnej právnej úpravy certifikovaných miest opravy, nakoľko už dlhodobo poukazujeme na nevhodnosť jej aktuálneho nastavenia. Za kľúčový </w:t>
            </w:r>
            <w:r w:rsidRPr="00A04CC0">
              <w:rPr>
                <w:sz w:val="22"/>
                <w:szCs w:val="22"/>
              </w:rPr>
              <w:lastRenderedPageBreak/>
              <w:t>problém aktuálnej právnej úpravy považujeme to, že režimu certifikácie zo</w:t>
            </w:r>
            <w:r>
              <w:rPr>
                <w:sz w:val="22"/>
                <w:szCs w:val="22"/>
              </w:rPr>
              <w:t> </w:t>
            </w:r>
            <w:r w:rsidRPr="00A04CC0">
              <w:rPr>
                <w:sz w:val="22"/>
                <w:szCs w:val="22"/>
              </w:rPr>
              <w:t xml:space="preserve">strany nezávislého národného profesijného združenia, ktoré je členom Európskej asociácie pre predaj a opravy motorových vozidiel CECRA, podliehajú v zmysle aktuálnej legislatívy aj autorizované opravovne definované v </w:t>
            </w:r>
            <w:proofErr w:type="spellStart"/>
            <w:r w:rsidRPr="00A04CC0">
              <w:rPr>
                <w:sz w:val="22"/>
                <w:szCs w:val="22"/>
              </w:rPr>
              <w:t>ust</w:t>
            </w:r>
            <w:proofErr w:type="spellEnd"/>
            <w:r w:rsidRPr="00A04CC0">
              <w:rPr>
                <w:sz w:val="22"/>
                <w:szCs w:val="22"/>
              </w:rPr>
              <w:t>. § 2 ods. 27 zákona č. 106/2018 Z. z. o</w:t>
            </w:r>
            <w:r>
              <w:rPr>
                <w:sz w:val="22"/>
                <w:szCs w:val="22"/>
              </w:rPr>
              <w:t> </w:t>
            </w:r>
            <w:r w:rsidRPr="00A04CC0">
              <w:rPr>
                <w:sz w:val="22"/>
                <w:szCs w:val="22"/>
              </w:rPr>
              <w:t>prevádzke</w:t>
            </w:r>
            <w:r>
              <w:rPr>
                <w:sz w:val="22"/>
                <w:szCs w:val="22"/>
              </w:rPr>
              <w:t xml:space="preserve"> </w:t>
            </w:r>
            <w:r w:rsidRPr="00A04CC0">
              <w:rPr>
                <w:sz w:val="22"/>
                <w:szCs w:val="22"/>
              </w:rPr>
              <w:t>vozidiel v cestnej premávke a o zmene a doplnení niektorých zákonov (ďalej len „Zákon“). Sme názoru, že</w:t>
            </w:r>
            <w:r>
              <w:rPr>
                <w:sz w:val="22"/>
                <w:szCs w:val="22"/>
              </w:rPr>
              <w:t> </w:t>
            </w:r>
            <w:r w:rsidRPr="00A04CC0">
              <w:rPr>
                <w:sz w:val="22"/>
                <w:szCs w:val="22"/>
              </w:rPr>
              <w:t>autorizované opravovne by mali mať priamo zo zákona postavenie certifikovaného miesta opravy, bez</w:t>
            </w:r>
            <w:r>
              <w:rPr>
                <w:sz w:val="22"/>
                <w:szCs w:val="22"/>
              </w:rPr>
              <w:t> </w:t>
            </w:r>
            <w:r w:rsidRPr="00A04CC0">
              <w:rPr>
                <w:sz w:val="22"/>
                <w:szCs w:val="22"/>
              </w:rPr>
              <w:t>potreby dodatočnej certifikácia zo strany ďalšieho subjektu. Naše presvedčenie opierame o predovšetkým o</w:t>
            </w:r>
            <w:r>
              <w:rPr>
                <w:sz w:val="22"/>
                <w:szCs w:val="22"/>
              </w:rPr>
              <w:t> </w:t>
            </w:r>
            <w:r w:rsidRPr="00A04CC0">
              <w:rPr>
                <w:sz w:val="22"/>
                <w:szCs w:val="22"/>
              </w:rPr>
              <w:t xml:space="preserve"> to, že na základe zmluvného vzťahu s</w:t>
            </w:r>
            <w:r>
              <w:rPr>
                <w:sz w:val="22"/>
                <w:szCs w:val="22"/>
              </w:rPr>
              <w:t> </w:t>
            </w:r>
            <w:r w:rsidRPr="00A04CC0">
              <w:rPr>
                <w:sz w:val="22"/>
                <w:szCs w:val="22"/>
              </w:rPr>
              <w:t>výrobcom</w:t>
            </w:r>
            <w:r>
              <w:rPr>
                <w:sz w:val="22"/>
                <w:szCs w:val="22"/>
              </w:rPr>
              <w:t xml:space="preserve"> </w:t>
            </w:r>
            <w:r w:rsidRPr="00A04CC0">
              <w:rPr>
                <w:sz w:val="22"/>
                <w:szCs w:val="22"/>
              </w:rPr>
              <w:t>alebo zástupcom výrobcu je autorizovaná opravovňa povinná dodržiavať technologické postupy stanovené na opravy a údržbu, má prístup k informáciám o opravách, náhradným dielom, k vybaveniu pracoviska predpísaným náradím a špecializovanými prípravkami, je povinná absolvovať predpísané školenia a priebežné vzdelávanie stanovené výrobcom alebo zástupcom výrobcu, pričom výrobca alebo zástupca výrobcu zabezpečuje kontrolu dodržiavania štandardov a</w:t>
            </w:r>
            <w:r>
              <w:rPr>
                <w:sz w:val="22"/>
                <w:szCs w:val="22"/>
              </w:rPr>
              <w:t> </w:t>
            </w:r>
            <w:r w:rsidRPr="00A04CC0">
              <w:rPr>
                <w:sz w:val="22"/>
                <w:szCs w:val="22"/>
              </w:rPr>
              <w:t>zmluvných</w:t>
            </w:r>
            <w:r>
              <w:rPr>
                <w:sz w:val="22"/>
                <w:szCs w:val="22"/>
              </w:rPr>
              <w:t xml:space="preserve"> </w:t>
            </w:r>
            <w:r w:rsidRPr="00A04CC0">
              <w:rPr>
                <w:sz w:val="22"/>
                <w:szCs w:val="22"/>
              </w:rPr>
              <w:t>podmienok, ktoré v prípade neplnenia zo strany autorizovanej opravovne môžu viesť k ukončeniu zmluvného vzťahu s výrobcom alebo zástupcom výrobcu. To znamená, že garancia splnenia podmienky podľa § 2 ods. 27 veta prvá Zákona , t. j. , že oprava vozidiel je vykonávaná spôsobom, ktorý z bezpečnostného a environmentálneho hľadiska určil výrobca vozidla, a že autorizovaná opravovňa má prístup k</w:t>
            </w:r>
            <w:r>
              <w:rPr>
                <w:sz w:val="22"/>
                <w:szCs w:val="22"/>
              </w:rPr>
              <w:t> </w:t>
            </w:r>
            <w:r w:rsidRPr="00A04CC0">
              <w:rPr>
                <w:sz w:val="22"/>
                <w:szCs w:val="22"/>
              </w:rPr>
              <w:t>informáciám</w:t>
            </w:r>
            <w:r>
              <w:rPr>
                <w:sz w:val="22"/>
                <w:szCs w:val="22"/>
              </w:rPr>
              <w:t xml:space="preserve"> </w:t>
            </w:r>
            <w:r w:rsidRPr="00A04CC0">
              <w:rPr>
                <w:sz w:val="22"/>
                <w:szCs w:val="22"/>
              </w:rPr>
              <w:t xml:space="preserve">o opravách a údržbe výrobcu vozidla je daná už samotnou existenciou zmluvného vzťahu medzi výrobcom/zástupcom výrobcu a autorizovanou opravovňou. Z toho dôvodu by povinnosť certifikácie mala byť zachovaná len pre nezávislé opravovne, ktoré vykonávajú svoju </w:t>
            </w:r>
            <w:r w:rsidRPr="00A04CC0">
              <w:rPr>
                <w:sz w:val="22"/>
                <w:szCs w:val="22"/>
              </w:rPr>
              <w:lastRenderedPageBreak/>
              <w:t>činnosť bez zmluvného vzťahu s</w:t>
            </w:r>
            <w:r>
              <w:rPr>
                <w:sz w:val="22"/>
                <w:szCs w:val="22"/>
              </w:rPr>
              <w:t> </w:t>
            </w:r>
            <w:r w:rsidRPr="00A04CC0">
              <w:rPr>
                <w:sz w:val="22"/>
                <w:szCs w:val="22"/>
              </w:rPr>
              <w:t>výrobcom</w:t>
            </w:r>
            <w:r>
              <w:rPr>
                <w:sz w:val="22"/>
                <w:szCs w:val="22"/>
              </w:rPr>
              <w:t xml:space="preserve"> </w:t>
            </w:r>
            <w:r w:rsidRPr="00A04CC0">
              <w:rPr>
                <w:sz w:val="22"/>
                <w:szCs w:val="22"/>
              </w:rPr>
              <w:t>a rešpektujúc potrebu preukázania dostatku informácii a</w:t>
            </w:r>
            <w:r>
              <w:rPr>
                <w:sz w:val="22"/>
                <w:szCs w:val="22"/>
              </w:rPr>
              <w:t> </w:t>
            </w:r>
            <w:r w:rsidRPr="00A04CC0">
              <w:rPr>
                <w:sz w:val="22"/>
                <w:szCs w:val="22"/>
              </w:rPr>
              <w:t>znalostí</w:t>
            </w:r>
            <w:r>
              <w:rPr>
                <w:sz w:val="22"/>
                <w:szCs w:val="22"/>
              </w:rPr>
              <w:t xml:space="preserve"> </w:t>
            </w:r>
            <w:r w:rsidRPr="00A04CC0">
              <w:rPr>
                <w:sz w:val="22"/>
                <w:szCs w:val="22"/>
              </w:rPr>
              <w:t>potrebných pre správny postup opravy vozidla po dopravnej nehode alebo škodovej udalosti, ktorá mala vplyv na hlavné bezpečnostné prvky vozidla.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4CC0" w:rsidRPr="00A04CC0" w:rsidRDefault="00A04CC0" w:rsidP="00347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</w:t>
            </w:r>
          </w:p>
        </w:tc>
        <w:tc>
          <w:tcPr>
            <w:tcW w:w="19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4CC0" w:rsidRPr="00A04CC0" w:rsidRDefault="00A04CC0" w:rsidP="00347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Systém opráv vozidiel v certifikovaných miestach opravy je súčasťou </w:t>
            </w:r>
            <w:r w:rsidR="00A11E20">
              <w:rPr>
                <w:sz w:val="22"/>
                <w:szCs w:val="22"/>
              </w:rPr>
              <w:t xml:space="preserve">úpravy </w:t>
            </w:r>
            <w:r>
              <w:rPr>
                <w:sz w:val="22"/>
                <w:szCs w:val="22"/>
              </w:rPr>
              <w:t>návrhu zákona.</w:t>
            </w:r>
          </w:p>
        </w:tc>
      </w:tr>
      <w:tr w:rsidR="00A04CC0" w:rsidRPr="00A11E20" w:rsidTr="00A04CC0">
        <w:trPr>
          <w:jc w:val="center"/>
        </w:trPr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4CC0" w:rsidRPr="00A04CC0" w:rsidRDefault="00A04CC0" w:rsidP="00A04CC0">
            <w:pPr>
              <w:jc w:val="center"/>
              <w:rPr>
                <w:b/>
                <w:bCs/>
                <w:sz w:val="22"/>
                <w:szCs w:val="22"/>
              </w:rPr>
            </w:pPr>
            <w:r w:rsidRPr="00A04CC0">
              <w:rPr>
                <w:b/>
                <w:bCs/>
                <w:sz w:val="22"/>
                <w:szCs w:val="22"/>
              </w:rPr>
              <w:lastRenderedPageBreak/>
              <w:t>ČESMAD (ČESMAD Slovakia)</w:t>
            </w:r>
          </w:p>
        </w:tc>
        <w:tc>
          <w:tcPr>
            <w:tcW w:w="1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4CC0" w:rsidRPr="00A04CC0" w:rsidRDefault="00A04CC0" w:rsidP="00A04CC0">
            <w:pPr>
              <w:rPr>
                <w:sz w:val="22"/>
                <w:szCs w:val="22"/>
              </w:rPr>
            </w:pPr>
            <w:r w:rsidRPr="00A04CC0">
              <w:rPr>
                <w:sz w:val="22"/>
                <w:szCs w:val="22"/>
              </w:rPr>
              <w:t>Ako združenie cestných dopravcov na</w:t>
            </w:r>
            <w:r>
              <w:rPr>
                <w:sz w:val="22"/>
                <w:szCs w:val="22"/>
              </w:rPr>
              <w:t> </w:t>
            </w:r>
            <w:r w:rsidRPr="00A04CC0">
              <w:rPr>
                <w:sz w:val="22"/>
                <w:szCs w:val="22"/>
              </w:rPr>
              <w:t>Slovensku by sme Vás radi požiadali o</w:t>
            </w:r>
            <w:r>
              <w:rPr>
                <w:sz w:val="22"/>
                <w:szCs w:val="22"/>
              </w:rPr>
              <w:t> </w:t>
            </w:r>
            <w:r w:rsidRPr="00A04CC0">
              <w:rPr>
                <w:sz w:val="22"/>
                <w:szCs w:val="22"/>
              </w:rPr>
              <w:t>odbornú</w:t>
            </w:r>
            <w:r>
              <w:rPr>
                <w:sz w:val="22"/>
                <w:szCs w:val="22"/>
              </w:rPr>
              <w:t xml:space="preserve"> </w:t>
            </w:r>
            <w:r w:rsidRPr="00A04CC0">
              <w:rPr>
                <w:sz w:val="22"/>
                <w:szCs w:val="22"/>
              </w:rPr>
              <w:t xml:space="preserve">konzultáciu k pripravovanej novele zákona č. 106/2018 </w:t>
            </w:r>
            <w:proofErr w:type="spellStart"/>
            <w:r w:rsidRPr="00A04CC0">
              <w:rPr>
                <w:sz w:val="22"/>
                <w:szCs w:val="22"/>
              </w:rPr>
              <w:t>Z.z</w:t>
            </w:r>
            <w:proofErr w:type="spellEnd"/>
            <w:r w:rsidRPr="00A04CC0">
              <w:rPr>
                <w:sz w:val="22"/>
                <w:szCs w:val="22"/>
              </w:rPr>
              <w:t>. o</w:t>
            </w:r>
            <w:r>
              <w:rPr>
                <w:sz w:val="22"/>
                <w:szCs w:val="22"/>
              </w:rPr>
              <w:t> </w:t>
            </w:r>
            <w:r w:rsidRPr="00A04CC0">
              <w:rPr>
                <w:sz w:val="22"/>
                <w:szCs w:val="22"/>
              </w:rPr>
              <w:t>prevádzke</w:t>
            </w:r>
            <w:r>
              <w:rPr>
                <w:sz w:val="22"/>
                <w:szCs w:val="22"/>
              </w:rPr>
              <w:t xml:space="preserve"> </w:t>
            </w:r>
            <w:r w:rsidRPr="00A04CC0">
              <w:rPr>
                <w:sz w:val="22"/>
                <w:szCs w:val="22"/>
              </w:rPr>
              <w:t>vozidiel v cestnej premávke a o zmene a doplnení niektorých zákonov v znení neskorších predpisov a ktorým sa menia a dopĺňajú niektoré zákony. V</w:t>
            </w:r>
            <w:r>
              <w:rPr>
                <w:sz w:val="22"/>
                <w:szCs w:val="22"/>
              </w:rPr>
              <w:t> </w:t>
            </w:r>
            <w:r w:rsidRPr="00A04CC0">
              <w:rPr>
                <w:sz w:val="22"/>
                <w:szCs w:val="22"/>
              </w:rPr>
              <w:t>rámci</w:t>
            </w:r>
            <w:r>
              <w:rPr>
                <w:sz w:val="22"/>
                <w:szCs w:val="22"/>
              </w:rPr>
              <w:t xml:space="preserve"> </w:t>
            </w:r>
            <w:r w:rsidRPr="00A04CC0">
              <w:rPr>
                <w:sz w:val="22"/>
                <w:szCs w:val="22"/>
              </w:rPr>
              <w:t>konzultácie by sme chceli prediskutovať možnosti novelizácie aj iných ustanovení predmetného zákona.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4CC0" w:rsidRPr="00A04CC0" w:rsidRDefault="00A04CC0" w:rsidP="00A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9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4CC0" w:rsidRPr="00A04CC0" w:rsidRDefault="00A04CC0" w:rsidP="00F62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Konzultácia sa uskutočnila dňa </w:t>
            </w:r>
            <w:r w:rsidR="00A11E20" w:rsidRPr="00A11E20">
              <w:rPr>
                <w:sz w:val="22"/>
                <w:szCs w:val="22"/>
              </w:rPr>
              <w:t>4</w:t>
            </w:r>
            <w:r w:rsidRPr="00A11E20">
              <w:rPr>
                <w:sz w:val="22"/>
                <w:szCs w:val="22"/>
              </w:rPr>
              <w:t>.2.202</w:t>
            </w:r>
            <w:r w:rsidR="00F629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446A9F" w:rsidRDefault="00446A9F" w:rsidP="00294C85">
      <w:pPr>
        <w:jc w:val="both"/>
      </w:pPr>
    </w:p>
    <w:sectPr w:rsidR="00446A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1B"/>
    <w:rsid w:val="00053127"/>
    <w:rsid w:val="0011176F"/>
    <w:rsid w:val="00121097"/>
    <w:rsid w:val="00257000"/>
    <w:rsid w:val="00294C85"/>
    <w:rsid w:val="003C7973"/>
    <w:rsid w:val="00427F13"/>
    <w:rsid w:val="0043558C"/>
    <w:rsid w:val="00446A9F"/>
    <w:rsid w:val="004B6033"/>
    <w:rsid w:val="004E3256"/>
    <w:rsid w:val="005A716B"/>
    <w:rsid w:val="005F429E"/>
    <w:rsid w:val="00603E89"/>
    <w:rsid w:val="006C1996"/>
    <w:rsid w:val="00724A2B"/>
    <w:rsid w:val="00750324"/>
    <w:rsid w:val="007C6878"/>
    <w:rsid w:val="0080165F"/>
    <w:rsid w:val="0085457D"/>
    <w:rsid w:val="00A04CC0"/>
    <w:rsid w:val="00A11E20"/>
    <w:rsid w:val="00A73AA4"/>
    <w:rsid w:val="00A843BF"/>
    <w:rsid w:val="00B82873"/>
    <w:rsid w:val="00C56AE6"/>
    <w:rsid w:val="00C90A00"/>
    <w:rsid w:val="00DA5584"/>
    <w:rsid w:val="00DC485D"/>
    <w:rsid w:val="00F1081B"/>
    <w:rsid w:val="00F6297A"/>
    <w:rsid w:val="00F6468E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EC820"/>
  <w14:defaultImageDpi w14:val="0"/>
  <w15:docId w15:val="{8D854E2A-016D-40E6-8E18-70E26590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81B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dopravy a výstavby SR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a výstavby SR;Lubomir.Moravcik@mindop.sk</dc:creator>
  <cp:keywords/>
  <dc:description/>
  <cp:lastModifiedBy>Moravčík, Ľubomír</cp:lastModifiedBy>
  <cp:revision>15</cp:revision>
  <dcterms:created xsi:type="dcterms:W3CDTF">2018-09-26T16:48:00Z</dcterms:created>
  <dcterms:modified xsi:type="dcterms:W3CDTF">2021-03-18T10:08:00Z</dcterms:modified>
</cp:coreProperties>
</file>