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DA23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14:paraId="63FC6E84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43EE77E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628BD2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19A01FC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2E7A01B4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16B7FA4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EEEB58F" w14:textId="77777777" w:rsidR="003501A1" w:rsidRPr="009C1A47" w:rsidRDefault="007C46A4" w:rsidP="00C26D8C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C1A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Návrh zákona, </w:t>
            </w:r>
            <w:r w:rsidRPr="009C1A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cs-CZ"/>
              </w:rPr>
              <w:t xml:space="preserve">ktorým </w:t>
            </w:r>
            <w:r w:rsidRPr="009C1A47">
              <w:rPr>
                <w:rStyle w:val="Zstupntext"/>
                <w:b w:val="0"/>
                <w:sz w:val="20"/>
                <w:szCs w:val="20"/>
              </w:rPr>
              <w:t xml:space="preserve">sa mení a dopĺňa zákon č. </w:t>
            </w:r>
            <w:hyperlink r:id="rId9" w:tooltip="Odkaz na predpis alebo ustanovenie" w:history="1">
              <w:r w:rsidRPr="009C1A47">
                <w:rPr>
                  <w:rStyle w:val="Hypertextovprepojenie"/>
                  <w:rFonts w:ascii="Times New Roman" w:hAnsi="Times New Roman" w:cs="Times New Roman"/>
                  <w:b w:val="0"/>
                  <w:color w:val="000000"/>
                  <w:sz w:val="20"/>
                  <w:szCs w:val="20"/>
                  <w:u w:val="none"/>
                </w:rPr>
                <w:t xml:space="preserve">474/2013 Z. z. </w:t>
              </w:r>
            </w:hyperlink>
            <w:r w:rsidRPr="009C1A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 výbere mýta za užívanie vymedzených úsekov pozemných komunikácií a o zmene a doplnení niektorých zákonov v znení neskorších predpisov a ktorým sa menia a dopĺňajú niektoré zákony.</w:t>
            </w:r>
          </w:p>
        </w:tc>
      </w:tr>
      <w:tr w:rsidR="003501A1" w:rsidRPr="00A179AE" w14:paraId="7A2A56A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B085825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72037BE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C7035" w14:textId="77777777"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14:paraId="20798C2E" w14:textId="77777777" w:rsidR="003501A1" w:rsidRPr="00A179AE" w:rsidRDefault="003501A1" w:rsidP="007B71A4"/>
        </w:tc>
      </w:tr>
      <w:tr w:rsidR="003501A1" w:rsidRPr="00A179AE" w14:paraId="4FE28AC8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AB539C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576D15F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B254C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09648BF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0F30102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57A8836" w14:textId="77777777"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C85B55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50E1ADB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1598200" w14:textId="77777777"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1DD37F5" w14:textId="5370440C" w:rsidR="003501A1" w:rsidRPr="00A179AE" w:rsidRDefault="0095293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B87284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32B975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7929026C" w14:textId="1789BACA" w:rsidR="003501A1" w:rsidRPr="0095293A" w:rsidRDefault="0095293A" w:rsidP="007B71A4">
            <w:pPr>
              <w:rPr>
                <w:i/>
              </w:rPr>
            </w:pPr>
            <w:r w:rsidRPr="0095293A">
              <w:rPr>
                <w:color w:val="000000"/>
              </w:rPr>
              <w:t>Smernica Európskeho parlamentu a Rady 2019/520 z 19. marca 2019 o interoperabilite elektronických cestných mýtnych systémov a uľahčení cezhraničnej výmeny informácií o neuhradenom cestnom mýte v Ú</w:t>
            </w:r>
            <w:r w:rsidRPr="0095293A">
              <w:rPr>
                <w:color w:val="000000"/>
              </w:rPr>
              <w:t>nii (Ú. v. EÚ L 91, 29.3.2019).</w:t>
            </w:r>
          </w:p>
          <w:p w14:paraId="2BE60779" w14:textId="2DC7453E" w:rsidR="003501A1" w:rsidRPr="00A179AE" w:rsidRDefault="003501A1" w:rsidP="007B71A4">
            <w:bookmarkStart w:id="0" w:name="_GoBack"/>
            <w:bookmarkEnd w:id="0"/>
          </w:p>
        </w:tc>
      </w:tr>
      <w:tr w:rsidR="003501A1" w:rsidRPr="00A179AE" w14:paraId="6ECB3E56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D74FE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85" w14:textId="0CA08643" w:rsidR="003501A1" w:rsidRPr="00171D78" w:rsidRDefault="00171D78" w:rsidP="007B71A4">
            <w:pPr>
              <w:rPr>
                <w:highlight w:val="yellow"/>
              </w:rPr>
            </w:pPr>
            <w:r w:rsidRPr="00EA58C0">
              <w:t>25.- 31. 3.2021</w:t>
            </w:r>
          </w:p>
        </w:tc>
      </w:tr>
      <w:tr w:rsidR="003501A1" w:rsidRPr="00A179AE" w14:paraId="6F95CDEB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6236A4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AD1" w14:textId="404205F5" w:rsidR="003501A1" w:rsidRPr="00D328CF" w:rsidRDefault="00171D78" w:rsidP="00805D7E">
            <w:pPr>
              <w:rPr>
                <w:highlight w:val="yellow"/>
              </w:rPr>
            </w:pPr>
            <w:r>
              <w:t>a</w:t>
            </w:r>
            <w:r w:rsidR="00D328CF" w:rsidRPr="00D328CF">
              <w:t>príl 2021</w:t>
            </w:r>
          </w:p>
        </w:tc>
      </w:tr>
      <w:tr w:rsidR="003501A1" w:rsidRPr="00A179AE" w14:paraId="54B9BA1F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109A0D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44F" w14:textId="42DEFB1C" w:rsidR="003501A1" w:rsidRPr="00D328CF" w:rsidRDefault="00171D78" w:rsidP="00212FDE">
            <w:r>
              <w:t>m</w:t>
            </w:r>
            <w:r w:rsidR="00D328CF" w:rsidRPr="00D328CF">
              <w:t>áj 2021</w:t>
            </w:r>
          </w:p>
        </w:tc>
      </w:tr>
      <w:tr w:rsidR="003501A1" w:rsidRPr="00A179AE" w14:paraId="7684406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2625C7" w14:textId="77777777" w:rsidR="003501A1" w:rsidRPr="00A179AE" w:rsidRDefault="003501A1" w:rsidP="007B71A4"/>
        </w:tc>
      </w:tr>
      <w:tr w:rsidR="003501A1" w:rsidRPr="00A179AE" w14:paraId="370218E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A8564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15F40E8D" w14:textId="77777777" w:rsidTr="00191452">
        <w:trPr>
          <w:trHeight w:val="495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A06B" w14:textId="3F22BEFA" w:rsidR="003501A1" w:rsidRPr="00870903" w:rsidRDefault="00870903" w:rsidP="00296EDD">
            <w:pPr>
              <w:jc w:val="both"/>
              <w:rPr>
                <w:color w:val="000000"/>
              </w:rPr>
            </w:pPr>
            <w:r w:rsidRPr="00870903">
              <w:rPr>
                <w:color w:val="000000"/>
              </w:rPr>
              <w:t xml:space="preserve">Potreba harmonizácie cezhraničnej výmeny údajov potrebných pre objasnenie neuhradených cestných poplatkov v inom členskom štáte EÚ a potreba </w:t>
            </w:r>
            <w:r w:rsidR="00296EDD">
              <w:rPr>
                <w:color w:val="000000"/>
              </w:rPr>
              <w:t>uľahčenia</w:t>
            </w:r>
            <w:r w:rsidR="00296EDD" w:rsidRPr="00870903">
              <w:rPr>
                <w:color w:val="000000"/>
              </w:rPr>
              <w:t xml:space="preserve"> </w:t>
            </w:r>
            <w:r w:rsidRPr="00870903">
              <w:rPr>
                <w:color w:val="000000"/>
              </w:rPr>
              <w:t>interoperability (vzájomného prepojenia) elektronických mýtnych systémov v rá</w:t>
            </w:r>
            <w:r>
              <w:rPr>
                <w:color w:val="000000"/>
              </w:rPr>
              <w:t>mci EÚ.</w:t>
            </w:r>
          </w:p>
        </w:tc>
      </w:tr>
      <w:tr w:rsidR="003501A1" w:rsidRPr="00A179AE" w14:paraId="5BAA667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DEFD5B" w14:textId="77777777"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12A6AB97" w14:textId="77777777" w:rsidTr="000F4C15">
        <w:trPr>
          <w:trHeight w:val="30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F931" w14:textId="25068095" w:rsidR="003501A1" w:rsidRPr="00870903" w:rsidRDefault="009C1A47" w:rsidP="00DF4186">
            <w:pPr>
              <w:jc w:val="both"/>
            </w:pPr>
            <w:r w:rsidRPr="00870903">
              <w:rPr>
                <w:color w:val="000000"/>
              </w:rPr>
              <w:t xml:space="preserve">Transpozícia </w:t>
            </w:r>
            <w:r w:rsidR="00DF4186">
              <w:rPr>
                <w:color w:val="000000"/>
              </w:rPr>
              <w:t>s</w:t>
            </w:r>
            <w:r w:rsidRPr="00870903">
              <w:rPr>
                <w:color w:val="000000"/>
              </w:rPr>
              <w:t>mernice Európskeho Parlamentu a Rady (EÚ) 2019/520 z 19. marca 2019 o interoperabilite elektronických cestných mýtnych systémov a uľahčení cezhraničnej výmeny informácií o neuhradenom cestnom mýte v</w:t>
            </w:r>
            <w:r w:rsidR="00870903" w:rsidRPr="00870903">
              <w:rPr>
                <w:color w:val="000000"/>
              </w:rPr>
              <w:t> </w:t>
            </w:r>
            <w:r w:rsidRPr="00870903">
              <w:rPr>
                <w:color w:val="000000"/>
              </w:rPr>
              <w:t>Únii</w:t>
            </w:r>
            <w:r w:rsidR="00870903" w:rsidRPr="00870903">
              <w:rPr>
                <w:color w:val="000000"/>
              </w:rPr>
              <w:t>.</w:t>
            </w:r>
          </w:p>
        </w:tc>
      </w:tr>
      <w:tr w:rsidR="003501A1" w:rsidRPr="00A179AE" w14:paraId="7A37C46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116AB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15DFAA6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74A30" w14:textId="2FE0C644" w:rsidR="00D26766" w:rsidRPr="00BD3E09" w:rsidRDefault="00D26766" w:rsidP="00825AB5">
            <w:pPr>
              <w:jc w:val="both"/>
            </w:pPr>
            <w:r w:rsidRPr="00FE31DC">
              <w:t>Podnikateľské prostredie vo všeobecnosti, užív</w:t>
            </w:r>
            <w:r w:rsidR="00825AB5">
              <w:t>atelia vymedzených úsekov ciest, Národná diaľničná spoločnosť, a.s.</w:t>
            </w:r>
          </w:p>
          <w:p w14:paraId="2365DD18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45ABAA3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98EC3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33F24FF2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CDEF5" w14:textId="1EF05761" w:rsidR="003501A1" w:rsidRPr="00A179AE" w:rsidRDefault="00A549ED" w:rsidP="00870903">
            <w:pPr>
              <w:jc w:val="both"/>
              <w:rPr>
                <w:i/>
              </w:rPr>
            </w:pPr>
            <w:r w:rsidRPr="00F65A8B">
              <w:t>Nulov</w:t>
            </w:r>
            <w:r w:rsidR="00EC0DE2" w:rsidRPr="00F65A8B">
              <w:t>ý variant.</w:t>
            </w:r>
            <w:r w:rsidRPr="00F65A8B">
              <w:t xml:space="preserve"> </w:t>
            </w:r>
            <w:r w:rsidR="00C46DA0">
              <w:t xml:space="preserve">Opomenutie novelizácie </w:t>
            </w:r>
            <w:r w:rsidR="00870903">
              <w:t>zákona č.</w:t>
            </w:r>
            <w:r w:rsidR="00C46DA0">
              <w:t xml:space="preserve"> </w:t>
            </w:r>
            <w:r w:rsidR="00870903">
              <w:t>474</w:t>
            </w:r>
            <w:r w:rsidR="00D26766">
              <w:t>/2013</w:t>
            </w:r>
            <w:r w:rsidR="00C46DA0">
              <w:t xml:space="preserve"> Z. z. by predstavovalo prekážku </w:t>
            </w:r>
            <w:r w:rsidR="006533C7">
              <w:br/>
            </w:r>
            <w:r w:rsidR="00C46DA0">
              <w:t xml:space="preserve">pre </w:t>
            </w:r>
            <w:r w:rsidR="00870903">
              <w:t>transpozíciu smernice.</w:t>
            </w:r>
          </w:p>
        </w:tc>
      </w:tr>
      <w:tr w:rsidR="003501A1" w:rsidRPr="00A179AE" w14:paraId="62CBA5D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1F1C2D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39695715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A601BF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DD1A8" w14:textId="77777777" w:rsidR="003501A1" w:rsidRPr="00A179AE" w:rsidRDefault="0095293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80E8A2" w14:textId="77777777" w:rsidR="003501A1" w:rsidRPr="00A179AE" w:rsidRDefault="0095293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5DDBEF68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E9E5E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124E388B" w14:textId="77777777" w:rsidR="00E97FF7" w:rsidRPr="00A179AE" w:rsidRDefault="00E97FF7" w:rsidP="00CD72AA"/>
        </w:tc>
      </w:tr>
      <w:tr w:rsidR="003501A1" w:rsidRPr="00A179AE" w14:paraId="104271D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97C4A7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6100A5FF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C9B3BA" w14:textId="77777777" w:rsidR="003501A1" w:rsidRPr="00EA58C0" w:rsidRDefault="000133CB" w:rsidP="000133CB">
            <w:pPr>
              <w:jc w:val="both"/>
              <w:rPr>
                <w:color w:val="000000"/>
              </w:rPr>
            </w:pPr>
            <w:r w:rsidRPr="00EA58C0">
              <w:t xml:space="preserve">Transpozícia smernice </w:t>
            </w:r>
            <w:r w:rsidRPr="00EA58C0">
              <w:rPr>
                <w:color w:val="000000"/>
              </w:rPr>
              <w:t>Európskeho Parlamentu a Rady (EÚ) 2019/520 z 19. marca 2019 o interoperabilite elektronických cestných mýtnych systémov a uľahčení cezhraničnej výmeny informácií o neuhradenom cestnom mýte v</w:t>
            </w:r>
            <w:r w:rsidR="00DB7864" w:rsidRPr="00EA58C0">
              <w:rPr>
                <w:color w:val="000000"/>
              </w:rPr>
              <w:t> </w:t>
            </w:r>
            <w:r w:rsidRPr="00EA58C0">
              <w:rPr>
                <w:color w:val="000000"/>
              </w:rPr>
              <w:t>Únii</w:t>
            </w:r>
            <w:r w:rsidR="00DB7864" w:rsidRPr="00EA58C0">
              <w:rPr>
                <w:color w:val="000000"/>
              </w:rPr>
              <w:t xml:space="preserve">. </w:t>
            </w:r>
          </w:p>
          <w:p w14:paraId="6016AD3B" w14:textId="3468CA3A" w:rsidR="00DB7864" w:rsidRPr="000133CB" w:rsidRDefault="00DC1229" w:rsidP="00A508E0">
            <w:pPr>
              <w:jc w:val="both"/>
            </w:pPr>
            <w:r w:rsidRPr="00EA58C0">
              <w:rPr>
                <w:color w:val="000000"/>
              </w:rPr>
              <w:t>Návrh zákona  nejde nad rámec mi</w:t>
            </w:r>
            <w:r w:rsidR="00A508E0" w:rsidRPr="00EA58C0">
              <w:rPr>
                <w:color w:val="000000"/>
              </w:rPr>
              <w:t>n</w:t>
            </w:r>
            <w:r w:rsidRPr="00EA58C0">
              <w:rPr>
                <w:color w:val="000000"/>
              </w:rPr>
              <w:t>im</w:t>
            </w:r>
            <w:r w:rsidR="00A508E0" w:rsidRPr="00EA58C0">
              <w:rPr>
                <w:color w:val="000000"/>
              </w:rPr>
              <w:t>álnej</w:t>
            </w:r>
            <w:r w:rsidR="00DC7DE3" w:rsidRPr="00EA58C0">
              <w:rPr>
                <w:color w:val="000000"/>
              </w:rPr>
              <w:t xml:space="preserve"> transpozičnej povinnosti - </w:t>
            </w:r>
            <w:r w:rsidRPr="00EA58C0">
              <w:rPr>
                <w:color w:val="000000"/>
              </w:rPr>
              <w:t>p</w:t>
            </w:r>
            <w:r w:rsidR="00DB7864" w:rsidRPr="00EA58C0">
              <w:rPr>
                <w:color w:val="000000"/>
              </w:rPr>
              <w:t xml:space="preserve">redkladateľom v rámci transpozície do právneho poriadku SR nebol identifikovaný </w:t>
            </w:r>
            <w:r w:rsidR="002945C9" w:rsidRPr="00EA58C0">
              <w:rPr>
                <w:color w:val="000000"/>
              </w:rPr>
              <w:t xml:space="preserve">efekt tzv. </w:t>
            </w:r>
            <w:r w:rsidR="00DC7DE3" w:rsidRPr="00EA58C0">
              <w:rPr>
                <w:i/>
                <w:color w:val="000000"/>
              </w:rPr>
              <w:t>gold-platingu</w:t>
            </w:r>
            <w:r w:rsidR="002945C9" w:rsidRPr="00EA58C0">
              <w:rPr>
                <w:color w:val="000000"/>
              </w:rPr>
              <w:t>.</w:t>
            </w:r>
          </w:p>
        </w:tc>
      </w:tr>
      <w:tr w:rsidR="003501A1" w:rsidRPr="00A179AE" w14:paraId="4F55D761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ED0140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19A1823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B348A11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1AE1727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7D15" w14:textId="77777777"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14:paraId="5F756E86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EFE410" w14:textId="77777777" w:rsidR="004F6F1F" w:rsidRDefault="004F6F1F" w:rsidP="00B378DB"/>
          <w:p w14:paraId="6F0D2E8C" w14:textId="77777777" w:rsidR="00D13B6F" w:rsidRDefault="00D13B6F" w:rsidP="004C60B8">
            <w:pPr>
              <w:ind w:left="142" w:hanging="142"/>
            </w:pPr>
          </w:p>
          <w:p w14:paraId="67BFB0E9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3FF2C4D1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141BEE3A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1DFA66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1CF51568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E8EF26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71BD18F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430A08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3E480D1" w14:textId="6FC33897" w:rsidR="003501A1" w:rsidRPr="00A179AE" w:rsidRDefault="00F467F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E965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4A405C" w14:textId="77777777" w:rsidR="003501A1" w:rsidRPr="00A179AE" w:rsidRDefault="00856BC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3DF3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E719FF" w14:textId="77777777" w:rsidR="003501A1" w:rsidRPr="00A179AE" w:rsidRDefault="006C09EA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1D62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0D8D0F7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7E735F78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227129" w14:textId="2F5EDDB6" w:rsidR="003501A1" w:rsidRPr="00A179AE" w:rsidRDefault="00296ED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C0164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AE4ED0" w14:textId="656C5553" w:rsidR="003501A1" w:rsidRPr="00A179AE" w:rsidRDefault="00296EDD" w:rsidP="007B71A4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27A92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F51A4A" w14:textId="77777777"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6E43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4C7F3997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D5584A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BA8F070" w14:textId="77777777" w:rsidR="003501A1" w:rsidRPr="00A179AE" w:rsidRDefault="002E6C5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CE58F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9F75F1" w14:textId="08123290" w:rsidR="003501A1" w:rsidRPr="00A179AE" w:rsidRDefault="00296E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C73F8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79CDA1" w14:textId="77777777" w:rsidR="003501A1" w:rsidRPr="00A179AE" w:rsidRDefault="00543CB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7FD7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EA53849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7D13191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F676E1A" w14:textId="77777777" w:rsidR="003501A1" w:rsidRPr="00A179AE" w:rsidRDefault="002E6C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7C0E5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B00F26" w14:textId="3D2A76E2" w:rsidR="003501A1" w:rsidRPr="00A179AE" w:rsidRDefault="00296ED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1E552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073D54" w14:textId="77777777" w:rsidR="003501A1" w:rsidRPr="00A179AE" w:rsidRDefault="00543CB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87E62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6F45731D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36D3BB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0978975" w14:textId="211F9B43" w:rsidR="003501A1" w:rsidRPr="00A179AE" w:rsidRDefault="00296E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12206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0315D3" w14:textId="77777777" w:rsidR="003501A1" w:rsidRPr="00A179AE" w:rsidRDefault="002E6C5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0AB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CD81ED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E1A58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1E7E581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65E14DF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2539A3B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0C6DE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1E9E8D3" w14:textId="77777777"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5A6A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26C00F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30187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CCA8C03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06E94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2F86EE" w14:textId="152A0BAD" w:rsidR="003501A1" w:rsidRPr="00A179AE" w:rsidRDefault="00AF105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83F5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82AF24" w14:textId="12EE8EB6" w:rsidR="003501A1" w:rsidRPr="00A179AE" w:rsidRDefault="00AF105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5DD4E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87E263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BCC5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3698"/>
        <w:gridCol w:w="96"/>
        <w:gridCol w:w="559"/>
        <w:gridCol w:w="1188"/>
        <w:gridCol w:w="96"/>
        <w:gridCol w:w="566"/>
        <w:gridCol w:w="1039"/>
        <w:gridCol w:w="94"/>
        <w:gridCol w:w="547"/>
        <w:gridCol w:w="1205"/>
        <w:gridCol w:w="92"/>
      </w:tblGrid>
      <w:tr w:rsidR="0045465B" w:rsidRPr="00A179AE" w14:paraId="093C338B" w14:textId="77777777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6A1CA5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9995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C8FAB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096F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D827D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3C4AF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D4E28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3515064C" w14:textId="77777777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921B42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12CA2EC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2F973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DD86FB8" w14:textId="77777777"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AF80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538A2E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8E7E4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25A2432" w14:textId="77777777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29F5DBE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6DBE41E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B1F2E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777EEBF" w14:textId="77777777" w:rsidR="001A1559" w:rsidRPr="00A179AE" w:rsidRDefault="00691B9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ED05C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5C0B07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C875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691B94" w14:paraId="1DB48021" w14:textId="77777777" w:rsidTr="00691B94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2" w:type="dxa"/>
          <w:trHeight w:val="270"/>
          <w:jc w:val="center"/>
        </w:trPr>
        <w:tc>
          <w:tcPr>
            <w:tcW w:w="3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72B5706" w14:textId="77777777" w:rsid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Vplyvy na manželstvo, rodičovstvo a </w:t>
            </w:r>
          </w:p>
          <w:p w14:paraId="64B6583F" w14:textId="77777777" w:rsidR="00691B94" w:rsidRP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 rodinu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4546" w14:textId="77777777" w:rsidR="00691B94" w:rsidRDefault="00691B94" w:rsidP="0077752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  </w:t>
            </w:r>
            <w:r w:rsidRPr="00691B94">
              <w:rPr>
                <w:rFonts w:ascii="Times" w:hAnsi="Times" w:cs="Times"/>
                <w:b/>
              </w:rPr>
              <w:t xml:space="preserve"> </w:t>
            </w:r>
            <w:r w:rsidR="00777523">
              <w:rPr>
                <w:rFonts w:ascii="Times" w:hAnsi="Times" w:cs="Times"/>
                <w:b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66D9" w14:textId="77777777" w:rsidR="00691B94" w:rsidRDefault="00777523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</w:t>
            </w:r>
            <w:r w:rsidR="00691B94">
              <w:rPr>
                <w:rFonts w:ascii="Times" w:hAnsi="Times" w:cs="Times"/>
              </w:rPr>
              <w:t> </w:t>
            </w:r>
            <w:sdt>
              <w:sdtPr>
                <w:rPr>
                  <w:b/>
                </w:rPr>
                <w:id w:val="-1907526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9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>
              <w:rPr>
                <w:rFonts w:ascii="Times" w:hAnsi="Times" w:cs="Times"/>
              </w:rPr>
              <w:t xml:space="preserve">     </w:t>
            </w:r>
            <w:r w:rsidR="00691B94" w:rsidRPr="00691B94">
              <w:rPr>
                <w:rFonts w:ascii="Times" w:hAnsi="Times" w:cs="Times"/>
                <w:b/>
              </w:rPr>
              <w:t>Žiadne</w:t>
            </w:r>
          </w:p>
        </w:tc>
        <w:tc>
          <w:tcPr>
            <w:tcW w:w="18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5333" w14:textId="77777777" w:rsidR="00691B94" w:rsidRDefault="00691B94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 w:rsidR="00777523"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   </w:t>
            </w:r>
            <w:r>
              <w:rPr>
                <w:rFonts w:ascii="Times" w:hAnsi="Times" w:cs="Times"/>
              </w:rPr>
              <w:t xml:space="preserve"> </w:t>
            </w:r>
            <w:r w:rsidR="00777523">
              <w:rPr>
                <w:rFonts w:ascii="Times" w:hAnsi="Times" w:cs="Times"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Negatívne</w:t>
            </w:r>
          </w:p>
        </w:tc>
      </w:tr>
    </w:tbl>
    <w:p w14:paraId="30A43919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593831A9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2F3605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376081A9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A1AA788" w14:textId="4E9DC799" w:rsidR="00A508E0" w:rsidRPr="00C47C1D" w:rsidRDefault="00A508E0" w:rsidP="00A508E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color w:val="000000" w:themeColor="text1"/>
              </w:rPr>
            </w:pPr>
            <w:r w:rsidRPr="00C47C1D">
              <w:rPr>
                <w:color w:val="000000" w:themeColor="text1"/>
              </w:rPr>
              <w:t xml:space="preserve">Predkladaný návrh zákona predpokladá negatívny vplyv na rozpočet verejnej správy </w:t>
            </w:r>
            <w:r w:rsidRPr="00C47C1D">
              <w:rPr>
                <w:color w:val="000000" w:themeColor="text1"/>
              </w:rPr>
              <w:br/>
              <w:t xml:space="preserve">v rokoch 2021 až 2024, a to z dôvodu nákladov na úpravu informačných systémov </w:t>
            </w:r>
            <w:r w:rsidRPr="00C47C1D">
              <w:rPr>
                <w:color w:val="000000" w:themeColor="text1"/>
              </w:rPr>
              <w:br/>
              <w:t>v gescii MDV SR a MV SR, najmä Jednotného informačného systému v cestnej doprave – Modulu správnych deliktov v gescii MDV SR, v rámci ktorých sú zarátané aj náklady na zabezpečenie úradných rozhodnutí v úradných jazykoch členských štátov EÚ, Európskeho informačného systému vozidiel a vodičských preukazov (EUCARIS) – implementácie Modulu Toll a vyvolaných zmien v informačných systémoch v gescii MV SR, nákladov na posilnenie administratívnych kapacít a materiálovo-technického vybavenia Centra logistického zabezpečenia administratívnych činností (CLZAČ) MV SR. Náklady MDV SR predstavujú maximálny pesimistický odhad. Ide o expertný odhad hornej hranice výdavkov MDV SR, ktorý bude pred realizáciou úpravy informačného systému spresnený a doplnený o detaily rozpočtu.</w:t>
            </w:r>
          </w:p>
          <w:p w14:paraId="7B99F72D" w14:textId="77777777" w:rsidR="00A508E0" w:rsidRPr="00C47C1D" w:rsidRDefault="00A508E0" w:rsidP="00A508E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color w:val="000000" w:themeColor="text1"/>
              </w:rPr>
            </w:pPr>
            <w:r w:rsidRPr="00C47C1D">
              <w:rPr>
                <w:color w:val="000000" w:themeColor="text1"/>
              </w:rPr>
              <w:t>Prípadné zvýšenie limitu počtu zamestnancov, osobných výdavkov a nákladov na materiálovo-technické vybavenie CLZAČ MV SR bude riešené v gescii MV SR.</w:t>
            </w:r>
          </w:p>
          <w:p w14:paraId="7FC1A381" w14:textId="77777777" w:rsidR="00A508E0" w:rsidRDefault="00A508E0" w:rsidP="00A508E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Cs/>
                <w:color w:val="000000" w:themeColor="text1"/>
              </w:rPr>
            </w:pPr>
            <w:r w:rsidRPr="00C47C1D">
              <w:rPr>
                <w:color w:val="000000" w:themeColor="text1"/>
              </w:rPr>
              <w:t>Zároveň sa predpokladá tiež pozitívny vplyv na rozpočet verejnej správy vo vzťahu k príjmom z výberu pokút od zahraničných prevádzkovateľov; výška tohto vplyvu však záleží od vymožiteľnosti cezhraničného sankcionovania, preto pozitívny vplyv nie je možné vyčísliť. Z týchto príjmov navrhujeme pokryť náklady súvisiace s návrhom.</w:t>
            </w:r>
          </w:p>
          <w:p w14:paraId="3C663087" w14:textId="32C6629B" w:rsidR="00A508E0" w:rsidRPr="00A508E0" w:rsidRDefault="00A508E0" w:rsidP="00A508E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Cs/>
                <w:color w:val="000000" w:themeColor="text1"/>
              </w:rPr>
            </w:pPr>
          </w:p>
        </w:tc>
      </w:tr>
      <w:tr w:rsidR="003501A1" w:rsidRPr="00A179AE" w14:paraId="1B81F30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5B095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4BD38C57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EB4B" w14:textId="77777777" w:rsidR="003501A1" w:rsidRPr="008F6D24" w:rsidRDefault="00646AFC" w:rsidP="00646AFC">
            <w:pPr>
              <w:jc w:val="both"/>
            </w:pPr>
            <w:r w:rsidRPr="008F6D24">
              <w:t>Ministerstvo dopravy a</w:t>
            </w:r>
            <w:r w:rsidR="009548EE" w:rsidRPr="008F6D24">
              <w:t xml:space="preserve"> výstavby Slovenskej republiky, Sekcia cestnej dopravy a pozemných komunikácii</w:t>
            </w:r>
            <w:r w:rsidR="00F85EA2" w:rsidRPr="008F6D24">
              <w:t xml:space="preserve"> </w:t>
            </w:r>
            <w:r w:rsidR="009548EE" w:rsidRPr="008F6D24">
              <w:t xml:space="preserve">– Mgr. </w:t>
            </w:r>
            <w:r w:rsidR="00BC063A" w:rsidRPr="008F6D24">
              <w:t>Tomáš Pšenka</w:t>
            </w:r>
            <w:r w:rsidR="00014591" w:rsidRPr="008F6D24">
              <w:t>,</w:t>
            </w:r>
            <w:r w:rsidR="009548EE" w:rsidRPr="008F6D24">
              <w:t xml:space="preserve">  </w:t>
            </w:r>
            <w:r w:rsidR="00C31ACF">
              <w:t>e-</w:t>
            </w:r>
            <w:r w:rsidR="008F6D24" w:rsidRPr="008F6D24">
              <w:t xml:space="preserve">mail: </w:t>
            </w:r>
            <w:hyperlink r:id="rId10" w:history="1">
              <w:r w:rsidR="008F6D24" w:rsidRPr="008F6D24">
                <w:rPr>
                  <w:rStyle w:val="Hypertextovprepojenie"/>
                </w:rPr>
                <w:t>tomas.psenka@mindop.sk</w:t>
              </w:r>
            </w:hyperlink>
            <w:r w:rsidR="008F6D24" w:rsidRPr="008F6D24">
              <w:t xml:space="preserve">, </w:t>
            </w:r>
            <w:r w:rsidR="009548EE" w:rsidRPr="008F6D24">
              <w:t>tel.</w:t>
            </w:r>
            <w:r w:rsidR="00430CF8" w:rsidRPr="008F6D24">
              <w:t xml:space="preserve"> </w:t>
            </w:r>
            <w:r w:rsidR="00014591" w:rsidRPr="008F6D24">
              <w:t>č. 02/59494</w:t>
            </w:r>
            <w:r w:rsidR="00BC063A" w:rsidRPr="008F6D24">
              <w:t>635</w:t>
            </w:r>
            <w:r w:rsidR="007324EF" w:rsidRPr="008F6D24">
              <w:t xml:space="preserve">, Mgr. Peter Považan, </w:t>
            </w:r>
            <w:r w:rsidR="00C31ACF">
              <w:t>e-</w:t>
            </w:r>
            <w:r w:rsidR="008F6D24" w:rsidRPr="008F6D24">
              <w:t xml:space="preserve">mail: </w:t>
            </w:r>
            <w:hyperlink r:id="rId11" w:history="1">
              <w:r w:rsidR="008F6D24" w:rsidRPr="008F6D24">
                <w:rPr>
                  <w:rStyle w:val="Hypertextovprepojenie"/>
                </w:rPr>
                <w:t>peter.povazan@mindop.sk</w:t>
              </w:r>
            </w:hyperlink>
            <w:r w:rsidR="008F6D24" w:rsidRPr="008F6D24">
              <w:t xml:space="preserve">, </w:t>
            </w:r>
            <w:r w:rsidR="007324EF" w:rsidRPr="008F6D24">
              <w:t>tel. č. 02/59494347</w:t>
            </w:r>
          </w:p>
        </w:tc>
      </w:tr>
      <w:tr w:rsidR="003501A1" w:rsidRPr="00A179AE" w14:paraId="75255BA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DBBB54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3272EE75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C641" w14:textId="05E181BA" w:rsidR="003501A1" w:rsidRPr="00F05AD9" w:rsidRDefault="00F05AD9" w:rsidP="00F05AD9">
            <w:pPr>
              <w:jc w:val="both"/>
            </w:pPr>
            <w:r w:rsidRPr="00F65A8B">
              <w:t>Pri spracovaní doložky vybraných vplyvov predkladateľ vychádzal z</w:t>
            </w:r>
            <w:r w:rsidR="00296EDD">
              <w:t xml:space="preserve"> dostupných </w:t>
            </w:r>
            <w:r w:rsidRPr="00F65A8B">
              <w:t>podkladov</w:t>
            </w:r>
            <w:r w:rsidR="004734D1">
              <w:t>, najmä</w:t>
            </w:r>
            <w:r w:rsidRPr="00F65A8B">
              <w:t xml:space="preserve"> </w:t>
            </w:r>
            <w:r w:rsidR="006533C7">
              <w:br/>
            </w:r>
            <w:r w:rsidR="00296EDD">
              <w:t xml:space="preserve">k </w:t>
            </w:r>
            <w:r w:rsidR="004734D1">
              <w:t>predpokladaným úpravám informačných systémov</w:t>
            </w:r>
            <w:r w:rsidR="00296EDD">
              <w:t xml:space="preserve"> v gescii MDV SR a MV SR</w:t>
            </w:r>
            <w:r w:rsidR="002E6C5A">
              <w:t>.</w:t>
            </w:r>
          </w:p>
          <w:p w14:paraId="2AD46D54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7D35959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E32C82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2E5A4957" w14:textId="77777777" w:rsidTr="006533C7">
        <w:trPr>
          <w:trHeight w:val="5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81857" w14:textId="77777777" w:rsidR="00E12618" w:rsidRDefault="00E12618" w:rsidP="002E6C5A">
            <w:pPr>
              <w:rPr>
                <w:b/>
                <w:sz w:val="22"/>
                <w:szCs w:val="22"/>
              </w:rPr>
            </w:pPr>
          </w:p>
          <w:p w14:paraId="55B33CE3" w14:textId="77777777" w:rsidR="00DB7864" w:rsidRPr="00DB7864" w:rsidRDefault="00DB7864" w:rsidP="00DB7864">
            <w:pPr>
              <w:jc w:val="both"/>
            </w:pPr>
            <w:r w:rsidRPr="00DB7864">
              <w:rPr>
                <w:b/>
                <w:bCs/>
              </w:rPr>
              <w:t>II. P</w:t>
            </w:r>
            <w:r w:rsidRPr="00DB7864">
              <w:rPr>
                <w:b/>
              </w:rPr>
              <w:t>r</w:t>
            </w:r>
            <w:r w:rsidRPr="00DB7864">
              <w:rPr>
                <w:b/>
                <w:bCs/>
              </w:rPr>
              <w:t>ipomienky a návrhy zm</w:t>
            </w:r>
            <w:r w:rsidRPr="00DB7864">
              <w:rPr>
                <w:b/>
              </w:rPr>
              <w:t>ie</w:t>
            </w:r>
            <w:r w:rsidRPr="00DB7864">
              <w:rPr>
                <w:b/>
                <w:bCs/>
              </w:rPr>
              <w:t xml:space="preserve">n: </w:t>
            </w:r>
            <w:r w:rsidRPr="00DB7864">
              <w:rPr>
                <w:bCs/>
              </w:rPr>
              <w:t>Komisia uplatňuje k materiálu nasledovné pripomienky a odporúčania:</w:t>
            </w:r>
          </w:p>
          <w:p w14:paraId="5833A4D5" w14:textId="77777777" w:rsidR="00DB7864" w:rsidRPr="00DB7864" w:rsidRDefault="00DB7864" w:rsidP="00DB7864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50476D73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lang w:eastAsia="ar-SA"/>
              </w:rPr>
            </w:pPr>
            <w:r w:rsidRPr="00DB7864">
              <w:rPr>
                <w:rStyle w:val="norm00e1lnychar1"/>
                <w:b/>
                <w:bCs/>
                <w:color w:val="000000"/>
                <w:lang w:eastAsia="ar-SA"/>
              </w:rPr>
              <w:t>K doložke vybraných vplyvov</w:t>
            </w:r>
          </w:p>
          <w:p w14:paraId="5F3EA819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Komisia odporúča doplniť termín procesu PPK. Zároveň Komisia odporúča zosúladiť časť 3 ciele, kde sa uvádza, že ide o transpozíciu smernice Európskeho Parlamentu a Rady (EÚ) 2019/520 s časťou 7 Transpozícia práva EÚ- žiadna. Komisia žiada predkladateľa, aby do časti 7. Transpozícia práva EÚ Doložky vybraných 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lastRenderedPageBreak/>
              <w:t>vplyvov doplnil presné určenie smernice, ktorá byť návrhom transponovaná a zároveň aby uviedol aj skutočnosť, či návrh nejde nad rámec minimálnej transpozičnej povinnosti - tzv. identifikácia efektu gold-platingu, a to najmä z hľadiska odôvodnenosti, resp. neodôvodnenosti jeho existencie v prípade jeho identifikácie; za týmto účelom Komisia žiada predkladateľa o priloženie Tabuľky zhody návrhu právneho predpisu s právom Európskej únie.</w:t>
            </w:r>
          </w:p>
          <w:p w14:paraId="54F964A8" w14:textId="491A3180" w:rsidR="006B1E52" w:rsidRPr="00A508E0" w:rsidRDefault="006B1E52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Stanovisko MDV SR: Pripomienka akceptovaná. </w:t>
            </w:r>
          </w:p>
          <w:p w14:paraId="0CE9E2D4" w14:textId="77777777" w:rsidR="006B1E52" w:rsidRPr="00A508E0" w:rsidRDefault="006B1E52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01C3A053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Komisia žiada o vyznačenie aj negatívnych vplyvov na podnikateľské prostredie (pozitívne vplyvy súvisia s možnosťou prejsť po spoplatnených cestách EÚ pri úhrade mýta na základe jednej zmluvy a jednej interoperabilnej palubnej jednotky pre každé vozidlo. Na druhej strane zákon stanovuje a upravuje podmienky registrácie poskytovateľov Európskej služby elektronického výberu mýta, pričom sa špecifikuje, čo má žiadosť o udelenie oprávnenia obsahovať a aké dokumenty je k nej potrebné priložiť.)</w:t>
            </w:r>
          </w:p>
          <w:p w14:paraId="01C7C2CD" w14:textId="5D8D62B5" w:rsidR="006B1E52" w:rsidRPr="00A508E0" w:rsidRDefault="006B1E52" w:rsidP="006B1E52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Stanovisko MDV SR: Pripomienka neakceptovaná. Predkladateľ neidentifikoval negatívne vplyvy na podnikateľské prostredie, pretože návrhom, naopak, dochádza k zmierneniu </w:t>
            </w:r>
            <w:r w:rsidR="00957857" w:rsidRPr="00A508E0">
              <w:rPr>
                <w:rStyle w:val="norm00e1lnychar1"/>
                <w:bCs/>
                <w:color w:val="000000"/>
                <w:lang w:eastAsia="ar-SA"/>
              </w:rPr>
              <w:t xml:space="preserve">súčasných 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podmienok pre vykonávanie Európskej služby elektronického výberu mýta.  </w:t>
            </w:r>
          </w:p>
          <w:p w14:paraId="48EA5071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601CD30C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/>
                <w:bCs/>
                <w:color w:val="000000"/>
                <w:lang w:eastAsia="ar-SA"/>
              </w:rPr>
              <w:t>K vplyvom na podnikateľské prostredie</w:t>
            </w:r>
          </w:p>
          <w:p w14:paraId="4CD95597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Komisia odporúča bod 3.2. vyhodnotenie konzultácií doplniť o hlavné body konzultácií a výsledky konzultácií. Komisia odporúča premiestniť uplatňovanie interoperability elektronických mýtnych systémov z nepriamych do administratívnych vplyvov, vzhľadom k deklarovanému  záujmu dopravcov k zníženiu administratívnych nákladov Komisia odporúča uviesť kvantifikáciu uvedeného vplyvu. Komisia žiada dopracovať negatívny vplyv spolu s jeho kvantifikáciou. Komisia žiada doplniť tabuľku v bode 3.3.4 Súhrnná tabuľka nákladov regulácie o kvantifikáciu, pokiaľ nie je možný výpočet na celé prostredie namiesto 0 Komisia odporúča uvádzať N/A.</w:t>
            </w:r>
          </w:p>
          <w:p w14:paraId="531BCEAE" w14:textId="77777777" w:rsidR="006B1E52" w:rsidRPr="00A508E0" w:rsidRDefault="006B1E52" w:rsidP="006B1E52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Stanovisko MDV SR: Pripomienka akceptovaná. </w:t>
            </w:r>
          </w:p>
          <w:p w14:paraId="19A109A9" w14:textId="77777777" w:rsidR="006B1E52" w:rsidRPr="00A508E0" w:rsidRDefault="006B1E52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48B560B7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Komisia žiada predkladateľa o bližšie popísanie pozitívneho vplyvu predloženého materiálu na podnikateľské prostredie, vrátanie MSP, v súvislosti s avizovaným znižovaním administratívnych nákladov na podnikateľské prostredie. Komisia preto žiada predkladateľa o doplnenie a dopracovanie Analýzy vplyvov na podnikateľské prostredie.</w:t>
            </w:r>
          </w:p>
          <w:p w14:paraId="25F0A566" w14:textId="42AA8BD7" w:rsidR="006E3C9A" w:rsidRPr="00A508E0" w:rsidRDefault="006E3C9A" w:rsidP="006E3C9A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Stanovisko MDV SR: Pripomienka </w:t>
            </w:r>
            <w:r w:rsidR="005F63F3" w:rsidRPr="00A508E0">
              <w:rPr>
                <w:rStyle w:val="norm00e1lnychar1"/>
                <w:bCs/>
                <w:color w:val="000000"/>
                <w:lang w:eastAsia="ar-SA"/>
              </w:rPr>
              <w:t>ne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akceptovaná. </w:t>
            </w:r>
            <w:r w:rsidR="005F63F3" w:rsidRPr="00A508E0">
              <w:rPr>
                <w:rStyle w:val="norm00e1lnychar1"/>
                <w:bCs/>
                <w:color w:val="000000"/>
                <w:lang w:eastAsia="ar-SA"/>
              </w:rPr>
              <w:t xml:space="preserve">Vzhľadom na charakter navrhovanej právnej úpravy nie je možné </w:t>
            </w:r>
            <w:r w:rsidR="00957857" w:rsidRPr="00A508E0">
              <w:rPr>
                <w:rStyle w:val="norm00e1lnychar1"/>
                <w:bCs/>
                <w:color w:val="000000"/>
                <w:lang w:eastAsia="ar-SA"/>
              </w:rPr>
              <w:t xml:space="preserve">podrobnejšie </w:t>
            </w:r>
            <w:r w:rsidR="005F63F3" w:rsidRPr="00A508E0">
              <w:rPr>
                <w:rStyle w:val="norm00e1lnychar1"/>
                <w:bCs/>
                <w:color w:val="000000"/>
                <w:lang w:eastAsia="ar-SA"/>
              </w:rPr>
              <w:t xml:space="preserve">popísať pozitívny vplyv na podnikateľské prostredie. </w:t>
            </w:r>
          </w:p>
          <w:p w14:paraId="32FFBCBB" w14:textId="77777777" w:rsidR="006E3C9A" w:rsidRPr="00A508E0" w:rsidRDefault="006E3C9A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714C24AB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Komisia rovnako žiada o popis a vyčíslenie úspor v nadväznosti na avizovaný a v Doložke vybraných vplyvov vyznačený pozitívny vplyv predloženého materiálu na podnikateľské prostredie. Odporúčaným riešením je využitie výpočtu ako na celé podnikateľské prostredie, tak na jeden dotknutý podnikateľský subjekt. Využitím </w:t>
            </w:r>
            <w:hyperlink r:id="rId12" w:history="1">
              <w:r w:rsidRPr="00EA58C0">
                <w:rPr>
                  <w:rStyle w:val="Hypertextovprepojenie"/>
                  <w:bCs/>
                  <w:color w:val="auto"/>
                  <w:u w:val="none"/>
                  <w:lang w:eastAsia="ar-SA"/>
                </w:rPr>
                <w:t>kalkulačky nákladov regulácie</w:t>
              </w:r>
            </w:hyperlink>
            <w:r w:rsidRPr="00EA58C0">
              <w:rPr>
                <w:rStyle w:val="norm00e1lnychar1"/>
                <w:bCs/>
                <w:lang w:eastAsia="ar-SA"/>
              </w:rPr>
              <w:t xml:space="preserve"> 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t>MH SR a nasledovných predpokladov je možné urobiť prepočet v uvedenom rozsahu:</w:t>
            </w:r>
          </w:p>
          <w:p w14:paraId="1127AC4F" w14:textId="77777777" w:rsidR="00DB7864" w:rsidRPr="00A508E0" w:rsidRDefault="00DB7864" w:rsidP="00DB7864">
            <w:pPr>
              <w:pStyle w:val="norm00e1lny"/>
              <w:spacing w:line="240" w:lineRule="atLeast"/>
              <w:ind w:left="851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Počet dopravcov v SR je 16 210 (zdroj: Finstat). Počet registrovaných palubných jednotiek (PJ) na SR je 72 779 (zdroj: Skytoll, údaj k 31.10.2019). Z uvedeného vyplýva, že 1 vozidlo disponuje cca 5PJ. V zmysle novej regulácie bude 1 vozidlo potrebovať len 1PJ.</w:t>
            </w:r>
          </w:p>
          <w:p w14:paraId="3A0A13AA" w14:textId="77777777" w:rsidR="00DB7864" w:rsidRPr="00A508E0" w:rsidRDefault="00DB7864" w:rsidP="00DB7864">
            <w:pPr>
              <w:pStyle w:val="norm00e1lny"/>
              <w:spacing w:line="240" w:lineRule="atLeast"/>
              <w:ind w:left="851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Priemerný čas na obstaranie 1PJ je 3h.</w:t>
            </w:r>
          </w:p>
          <w:p w14:paraId="2FA126BE" w14:textId="77777777" w:rsidR="00DB7864" w:rsidRPr="00A508E0" w:rsidRDefault="00DB7864" w:rsidP="00DB7864">
            <w:pPr>
              <w:pStyle w:val="norm00e1lny"/>
              <w:spacing w:line="240" w:lineRule="atLeast"/>
              <w:ind w:left="851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Priemerná hrubá mesačná mzda v národnom hospodárstve za rok 2019 činila 1092,00 €.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tab/>
            </w:r>
          </w:p>
          <w:p w14:paraId="54581386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Dôjde k úspore spojenej s obstarávaním 4PJ, Komisia túto úsporu vyčísľuje využitím kalkulačky nákladov regulácie MH SR na 871 662 € / celé podnikateľské prostredie, resp. 82 € / 1 podnikateľský subjekt. </w:t>
            </w:r>
          </w:p>
          <w:p w14:paraId="51F1E6FA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Komisia zároveň identifikovala náklady na vrátenie už registrovaných PJ do krajín, kde boli vydané. Administratívne úkony spojené s vrátením 1 PJ sa odhadujú na čas trvania 1h. Za predpokladu, že 1 dopravca vráti 4 PJ, jeho náklady dosiahnu 27 € / 1 podnikateľský subjekt, resp. 290 554 € /celé podnikateľské prostredie. </w:t>
            </w:r>
          </w:p>
          <w:p w14:paraId="4836E2DB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Dosiahnuté úspory zo zavedenia regulácie je potrebné očistiť od nákladov na vrátenie registrovaných PJ. Celkovú úsporu regulácie tak Komisia odhaduje vo výške 55 € / 1 podnikateľský subjekt a 581 108 € / celé podnikateľské prostredie. </w:t>
            </w:r>
          </w:p>
          <w:p w14:paraId="219A0FC7" w14:textId="77777777" w:rsidR="00957857" w:rsidRPr="00A508E0" w:rsidRDefault="006E3C9A" w:rsidP="007D086E">
            <w:pPr>
              <w:jc w:val="both"/>
              <w:rPr>
                <w:color w:val="000000" w:themeColor="text1"/>
              </w:rPr>
            </w:pPr>
            <w:r w:rsidRPr="00A508E0">
              <w:rPr>
                <w:rStyle w:val="norm00e1lnychar1"/>
                <w:bCs/>
                <w:color w:val="000000" w:themeColor="text1"/>
                <w:lang w:eastAsia="ar-SA"/>
              </w:rPr>
              <w:t xml:space="preserve">Stanovisko MDV SR: Pripomienka neakceptovaná. Predkladateľ </w:t>
            </w:r>
            <w:r w:rsidR="007D086E" w:rsidRPr="00A508E0">
              <w:rPr>
                <w:rStyle w:val="norm00e1lnychar1"/>
                <w:bCs/>
                <w:color w:val="000000" w:themeColor="text1"/>
                <w:lang w:eastAsia="ar-SA"/>
              </w:rPr>
              <w:t>zdôrazňuje, že transponovaná smernica</w:t>
            </w:r>
            <w:r w:rsidR="007D086E" w:rsidRPr="00A508E0">
              <w:rPr>
                <w:color w:val="000000" w:themeColor="text1"/>
              </w:rPr>
              <w:t xml:space="preserve"> upravuje podmienky s cieľom zjednodušiť a urýchliť zavádzanie Európskej služby elektronického výberu mýta (EETS). Treba podotknúť, že dopravcovi postačí uzatvoriť jednu zmluvu a vybaviť vozidlo jednou palubnou jednotkou od poskytovateľa EETS, ktorého si zvolí a ktorému bude odvádzať mýto za jazdy vo viacerých mýtnych doménach. Poskytovateľ EETS následne odvedie vybrané mýto príslušnému správcovi mýta. Palubné jednotky</w:t>
            </w:r>
            <w:r w:rsidR="00957857" w:rsidRPr="00A508E0">
              <w:rPr>
                <w:color w:val="000000" w:themeColor="text1"/>
              </w:rPr>
              <w:t xml:space="preserve"> z iných mýtnych domén</w:t>
            </w:r>
            <w:r w:rsidR="007D086E" w:rsidRPr="00A508E0">
              <w:rPr>
                <w:color w:val="000000" w:themeColor="text1"/>
              </w:rPr>
              <w:t>, ktoré dopravca nebude potrebovať, vráti a zároveň ukončí zmluvy s ich poskytovateľmi</w:t>
            </w:r>
            <w:r w:rsidR="00957857" w:rsidRPr="00A508E0">
              <w:rPr>
                <w:color w:val="000000" w:themeColor="text1"/>
              </w:rPr>
              <w:t>, čo však neupravuje tento návrh</w:t>
            </w:r>
            <w:r w:rsidR="007D086E" w:rsidRPr="00A508E0">
              <w:rPr>
                <w:color w:val="000000" w:themeColor="text1"/>
              </w:rPr>
              <w:t xml:space="preserve">. Ide o jednoduchý administratívny úkon, nie „uspôsobenie“ </w:t>
            </w:r>
            <w:r w:rsidR="007D086E" w:rsidRPr="00A508E0">
              <w:rPr>
                <w:color w:val="000000" w:themeColor="text1"/>
              </w:rPr>
              <w:lastRenderedPageBreak/>
              <w:t>vozidla na nový systém.</w:t>
            </w:r>
          </w:p>
          <w:p w14:paraId="1D881F85" w14:textId="775DF6BF" w:rsidR="00957857" w:rsidRPr="00A508E0" w:rsidRDefault="007D086E" w:rsidP="007D086E">
            <w:pPr>
              <w:jc w:val="both"/>
              <w:rPr>
                <w:color w:val="000000" w:themeColor="text1"/>
              </w:rPr>
            </w:pPr>
            <w:r w:rsidRPr="00A508E0">
              <w:rPr>
                <w:color w:val="000000" w:themeColor="text1"/>
              </w:rPr>
              <w:t>Samozrejme</w:t>
            </w:r>
            <w:r w:rsidR="00C47C1D">
              <w:rPr>
                <w:color w:val="000000" w:themeColor="text1"/>
              </w:rPr>
              <w:t>,</w:t>
            </w:r>
            <w:r w:rsidRPr="00A508E0">
              <w:rPr>
                <w:color w:val="000000" w:themeColor="text1"/>
              </w:rPr>
              <w:t xml:space="preserve"> dopravca môže zostať pri súčasnom systéme, ak sa tak rozhodne.</w:t>
            </w:r>
          </w:p>
          <w:p w14:paraId="3A05F8B1" w14:textId="2200D58D" w:rsidR="007D086E" w:rsidRPr="00A508E0" w:rsidRDefault="007D086E" w:rsidP="007D086E">
            <w:pPr>
              <w:jc w:val="both"/>
              <w:rPr>
                <w:color w:val="000000" w:themeColor="text1"/>
              </w:rPr>
            </w:pPr>
            <w:r w:rsidRPr="00A508E0">
              <w:rPr>
                <w:color w:val="000000" w:themeColor="text1"/>
              </w:rPr>
              <w:t xml:space="preserve">V nadväznosti na uvedené je potrebné uviesť, že predostreté výpočty vychádzajú z nepochopenia podstaty danej problematiky a v kontexte predloženého návrhu pôsobia nekorektne. </w:t>
            </w:r>
          </w:p>
          <w:p w14:paraId="1F3651B3" w14:textId="01E8F408" w:rsidR="006E3C9A" w:rsidRPr="00A508E0" w:rsidRDefault="006E3C9A" w:rsidP="006E3C9A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0FA3EFE1" w14:textId="77777777" w:rsidR="006E3C9A" w:rsidRPr="00A508E0" w:rsidRDefault="006E3C9A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17CA4E72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/>
                <w:bCs/>
                <w:color w:val="000000"/>
                <w:lang w:eastAsia="ar-SA"/>
              </w:rPr>
              <w:t>K vplyvom na rozpočet verejnej správy</w:t>
            </w:r>
          </w:p>
          <w:p w14:paraId="47302855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V doložke vybraných vplyvov je uvedený pozitívny vplyv a negatívny vplyv na rozpočet verejnej správy, ktorý nie je rozpočtovo zabezpečený. Predkladateľ uvádza, že pozitívny vplyv súvisiaci s príjmami z pokút od zahraničných prevádzkovateľov, ktorých výška záleží od vymožiteľnosti cezhraničného sankcionovania, sa nedá vyčísliť. V analýze vplyvov na rozpočet verejnej správy sú výdavky vyčíslené na rok 2021 v sume 1,5 mil. eur a v rokoch 2022 až 2024 každoročne v sume 100 tis. eur z dôvodu implementačných a prevádzkových nákladov na úpravu informačných systémov ako rozpočtovo nezabezpečené.</w:t>
            </w:r>
          </w:p>
          <w:p w14:paraId="1D881235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Komisia žiada doplniť overiteľný prepočet, na základe ktorého bola stanovená výška výdavkov na úpravu informačných systémov MDV SR a MV SR, resp. alternatívne doplniť, že ide o expertný odhad hornej hranice výdavkov, ktorý bude pred realizáciou úpravy IS spresnený. V analýze sú odhadnuté výdavky na roky 2021 až 2024 na upgrade informačných systémov MDV SR a MV SR v celkovej sume 1,8 mil. eur. Nie je uvedené, akým spôsobom bola suma výdavkov stanovená. V analýze je uvedené, že ide o pesimistický odhad hornej hranice výdavkov. Komisia žiada doplniť overiteľný a detailný rozpočet na úrovni jednotkových cien nakupovaných SW/HW, cien práce IT pozícií a odhadovaný rozsah prácnosti v človekohodinách. Alternatívne Komisia žiada doplniť, že výška výdavkov na upgrade IS je expertný odhad na úrovni hornej hranice výdavkov, ktorý bude pred realizáciou upgradu IS ďalej spresňovaný v súlade s uznesením vlády č. 649/2020, podľa ktorého má každá investícia nad 1 mil. eur prejsť hodnotením MF SR, pričom jedným z podkladov je aj detailný rozpočet projektu.</w:t>
            </w:r>
          </w:p>
          <w:p w14:paraId="2DAAA3DF" w14:textId="5E7CF609" w:rsidR="0003387B" w:rsidRPr="00A508E0" w:rsidRDefault="0003387B" w:rsidP="0003387B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Stanovisko MDV SR: Pripomienka akceptovaná. Dokument bol </w:t>
            </w:r>
            <w:r w:rsidR="00957857" w:rsidRPr="00A508E0">
              <w:rPr>
                <w:rStyle w:val="norm00e1lnychar1"/>
                <w:bCs/>
                <w:color w:val="000000"/>
                <w:lang w:eastAsia="ar-SA"/>
              </w:rPr>
              <w:t xml:space="preserve">v popise 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doplnený podľa požiadaviek.  </w:t>
            </w:r>
          </w:p>
          <w:p w14:paraId="45114432" w14:textId="77777777" w:rsidR="0003387B" w:rsidRPr="00A508E0" w:rsidRDefault="0003387B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4272155F" w14:textId="77777777" w:rsidR="0003387B" w:rsidRPr="00A508E0" w:rsidRDefault="0003387B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082F401E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Za oblasť zamestnanosti sa v bodoch „2.2.1. Financovanie návrhu...“ a „2.2.4 Výpočty vplyvov na verejné financie“ uvádza, že implementácia Modulu Toll si môže vyžiadať  posilnenie administratívnych kapacít Centra logistického zabezpečenia administratívnych činností MV SR. V analýze nie sú v tejto súvislosti kvantifikované žiadne konkrétne vplyvy. Prípadné zvýšenie limitu počtu zamestnancov a osobných výdavkov kapitoly súvisiace s implementáciou Modulu Toll Komisia žiada zabezpečiť v rámci schválených limitov počtu zamestnancov a osobných výdavkov kapitoly MV SR na príslušné rozpočtové roky. </w:t>
            </w:r>
          </w:p>
          <w:p w14:paraId="40FBF465" w14:textId="150D4F54" w:rsidR="0003387B" w:rsidRPr="00A508E0" w:rsidRDefault="0003387B" w:rsidP="0003387B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Stanovisko MDV SR: Pripomienka vzatá na vedomie. Textácia v </w:t>
            </w:r>
            <w:r w:rsidR="00957857" w:rsidRPr="00A508E0">
              <w:rPr>
                <w:rStyle w:val="norm00e1lnychar1"/>
                <w:bCs/>
                <w:color w:val="000000"/>
                <w:lang w:eastAsia="ar-SA"/>
              </w:rPr>
              <w:t>popise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 doplnená.  </w:t>
            </w:r>
          </w:p>
          <w:p w14:paraId="1BC9B360" w14:textId="77777777" w:rsidR="0003387B" w:rsidRPr="00A508E0" w:rsidRDefault="0003387B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17BB6F9B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Zároveň sa v analýze v bodoch 2.2.1. a 2.2.4. uvádza predpokladaný vplyv na rozpočet verejnej správy v súvislosti s nákladmi na zabezpečenie úradných rozhodnutí v úradných jazykoch členských štátov a posilnením materiálovo-technického vybavenia Centra logistického zabezpečenia administratívnych činností MV SR. Uvedené výdavky nie sú kvantifikované, čo je potrebné doplniť.</w:t>
            </w:r>
          </w:p>
          <w:p w14:paraId="7C974147" w14:textId="3AA8F978" w:rsidR="0003387B" w:rsidRPr="00A508E0" w:rsidRDefault="0003387B" w:rsidP="0003387B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Stanovisko MDV SR: Pripomienka vzatá na vedomie. Textácia v </w:t>
            </w:r>
            <w:r w:rsidR="00957857" w:rsidRPr="00A508E0">
              <w:rPr>
                <w:rStyle w:val="norm00e1lnychar1"/>
                <w:bCs/>
                <w:color w:val="000000"/>
                <w:lang w:eastAsia="ar-SA"/>
              </w:rPr>
              <w:t>popise</w:t>
            </w: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 doplnená.  </w:t>
            </w:r>
          </w:p>
          <w:p w14:paraId="3BEC8AD7" w14:textId="77777777" w:rsidR="0003387B" w:rsidRPr="00A508E0" w:rsidRDefault="0003387B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0CB54356" w14:textId="77777777" w:rsidR="00DB7864" w:rsidRPr="00A508E0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 xml:space="preserve">V bode 2.1.1. Financovanie návrhu - Návrh na riešenie úbytku príjmov alebo zvýšených výdavkov nie je uvedený návrh na krytie zvýšených výdavkov. V súvislosti s nekrytým vplyvom na rok 2021 Komisia uvádza, že uvedené je v rozpore s úlohou C.13. uznesenia vlády SR č. 649/2020 k návrhu rozpočtu verejnej správy na roky 2021 až 2023 „nepredkladať v roku 2021 návrhy legislatívnych predpisov a iných materiálov, ktoré zakladajú nároky na zvýšenie počtu zamestnancov a zvýšenie výdavkov alebo úbytok príjmov schválených v štátnom rozpočte na rok 2021 s rozpočtovými dôsledkami na štátny rozpočet alebo na iné rozpočty tvoriace rozpočet verejnej správy“. </w:t>
            </w:r>
          </w:p>
          <w:p w14:paraId="593C136B" w14:textId="5A06ED79" w:rsidR="0003387B" w:rsidRDefault="0003387B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A508E0">
              <w:rPr>
                <w:rStyle w:val="norm00e1lnychar1"/>
                <w:bCs/>
                <w:color w:val="000000"/>
                <w:lang w:eastAsia="ar-SA"/>
              </w:rPr>
              <w:t>Stanovisko MDV SR: Pripomienka vzatá na vedomie, bod 2.1.1. bol náležite doplnený.</w:t>
            </w:r>
          </w:p>
          <w:p w14:paraId="57190921" w14:textId="77777777" w:rsidR="0003387B" w:rsidRPr="00DB7864" w:rsidRDefault="0003387B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20E4EC4C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DB7864">
              <w:rPr>
                <w:rStyle w:val="norm00e1lnychar1"/>
                <w:bCs/>
                <w:color w:val="000000"/>
                <w:lang w:eastAsia="ar-SA"/>
              </w:rPr>
              <w:t xml:space="preserve">S návrhom zákona bude možné súhlasiť len za podmienky, že všetky vplyvy na rozpočet verejnej správy  budú zabezpečené v rámci schválených limitov dotknutých kapitol a nebudú predstavovať nekrytý vplyv na rozpočet verejnej správy. </w:t>
            </w:r>
          </w:p>
          <w:p w14:paraId="0949DFFA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  <w:r w:rsidRPr="00DB7864">
              <w:rPr>
                <w:rStyle w:val="norm00e1lnychar1"/>
                <w:bCs/>
                <w:color w:val="000000"/>
                <w:lang w:eastAsia="ar-SA"/>
              </w:rPr>
              <w:t xml:space="preserve">Doložku vybraných vplyvov a analýzu vplyvov na rozpočet verejnej správy Komisia žiada upraviť v zmysle uvedených pripomienok. </w:t>
            </w:r>
          </w:p>
          <w:p w14:paraId="72222E6B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245BAC58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  <w:lang w:eastAsia="ar-SA"/>
              </w:rPr>
            </w:pPr>
          </w:p>
          <w:p w14:paraId="6BEF6DFA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</w:pPr>
            <w:r w:rsidRPr="00DB7864">
              <w:rPr>
                <w:rStyle w:val="norm00e1lnychar1"/>
                <w:b/>
                <w:bCs/>
                <w:color w:val="000000"/>
                <w:lang w:eastAsia="ar-SA"/>
              </w:rPr>
              <w:t>I</w:t>
            </w:r>
            <w:r w:rsidRPr="00DB7864">
              <w:rPr>
                <w:rStyle w:val="norm00e1lnychar1"/>
                <w:b/>
                <w:bCs/>
              </w:rPr>
              <w:t xml:space="preserve">II. Záver: </w:t>
            </w:r>
            <w:r w:rsidRPr="00DB7864">
              <w:rPr>
                <w:rStyle w:val="norm00e1lnychar1"/>
              </w:rPr>
              <w:t xml:space="preserve">Stála pracovná komisia na posudzovanie vybraných vplyvov vyjadruje </w:t>
            </w:r>
          </w:p>
          <w:p w14:paraId="5B5B10FF" w14:textId="77777777" w:rsidR="00DB7864" w:rsidRPr="00DB7864" w:rsidRDefault="00DB7864" w:rsidP="00DB7864">
            <w:pPr>
              <w:pStyle w:val="norm00e1lny"/>
            </w:pPr>
          </w:p>
          <w:p w14:paraId="4FA7E62B" w14:textId="77777777" w:rsidR="00DB7864" w:rsidRPr="00DB7864" w:rsidRDefault="00DB7864" w:rsidP="00DB7864">
            <w:pPr>
              <w:pStyle w:val="norm00e1lny"/>
            </w:pPr>
            <w:r w:rsidRPr="00DB7864">
              <w:lastRenderedPageBreak/>
              <w:t> </w:t>
            </w:r>
          </w:p>
          <w:p w14:paraId="7735F029" w14:textId="77777777" w:rsidR="00DB7864" w:rsidRPr="00DB7864" w:rsidRDefault="00DB7864" w:rsidP="00DB7864">
            <w:pPr>
              <w:pStyle w:val="norm00e1lny"/>
              <w:spacing w:line="240" w:lineRule="atLeast"/>
              <w:jc w:val="center"/>
            </w:pPr>
            <w:r w:rsidRPr="00DB7864">
              <w:rPr>
                <w:rStyle w:val="norm00e1lnychar1"/>
                <w:b/>
                <w:bCs/>
              </w:rPr>
              <w:t>nesúhlasné stanovisko</w:t>
            </w:r>
          </w:p>
          <w:p w14:paraId="6B4B4E5A" w14:textId="77777777" w:rsidR="00DB7864" w:rsidRPr="00DB7864" w:rsidRDefault="00DB7864" w:rsidP="00DB7864">
            <w:pPr>
              <w:pStyle w:val="norm00e1lny"/>
            </w:pPr>
          </w:p>
          <w:p w14:paraId="4309BD78" w14:textId="77777777" w:rsidR="00DB7864" w:rsidRPr="00DB7864" w:rsidRDefault="00DB7864" w:rsidP="00DB7864">
            <w:pPr>
              <w:pStyle w:val="norm00e1lny"/>
            </w:pPr>
            <w:r w:rsidRPr="00DB7864">
              <w:t> </w:t>
            </w:r>
          </w:p>
          <w:p w14:paraId="67B67849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</w:pPr>
            <w:r w:rsidRPr="00DB7864">
              <w:rPr>
                <w:rStyle w:val="norm00e1lnychar1"/>
              </w:rPr>
              <w:t>s materiálom predloženým na predbežné pripomienkové konanie s odporúčaním na jeho dopracovanie podľa pripomienok v bode II.</w:t>
            </w:r>
          </w:p>
          <w:p w14:paraId="5E318499" w14:textId="77777777" w:rsidR="00DB7864" w:rsidRPr="00DB7864" w:rsidRDefault="00DB7864" w:rsidP="00DB7864">
            <w:pPr>
              <w:pStyle w:val="norm00e1lny"/>
            </w:pPr>
          </w:p>
          <w:p w14:paraId="2CB8D9FE" w14:textId="77777777" w:rsidR="00DB7864" w:rsidRPr="00DB7864" w:rsidRDefault="00DB7864" w:rsidP="00DB7864">
            <w:pPr>
              <w:pStyle w:val="norm00e1lny"/>
            </w:pPr>
          </w:p>
          <w:p w14:paraId="4A8FBB24" w14:textId="77777777" w:rsidR="00DB7864" w:rsidRPr="00DB7864" w:rsidRDefault="00DB7864" w:rsidP="00DB7864">
            <w:pPr>
              <w:pStyle w:val="norm00e1lny"/>
              <w:spacing w:line="240" w:lineRule="atLeast"/>
              <w:jc w:val="both"/>
            </w:pPr>
            <w:r w:rsidRPr="00DB7864">
              <w:rPr>
                <w:rStyle w:val="norm00e1lnychar1"/>
                <w:b/>
                <w:bCs/>
              </w:rPr>
              <w:t>IV. Poznámka:</w:t>
            </w:r>
            <w:r w:rsidRPr="00DB7864">
              <w:rPr>
                <w:rStyle w:val="norm00e1lnychar1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070B3411" w14:textId="77777777" w:rsidR="00DB7864" w:rsidRPr="00DB7864" w:rsidRDefault="00DB7864" w:rsidP="00DB7864">
            <w:pPr>
              <w:pStyle w:val="norm00e1lny"/>
            </w:pPr>
            <w:r w:rsidRPr="00DB7864">
              <w:t> </w:t>
            </w:r>
          </w:p>
          <w:p w14:paraId="53D91770" w14:textId="77777777" w:rsidR="00DB7864" w:rsidRPr="00DB7864" w:rsidRDefault="00DB7864" w:rsidP="00DB7864">
            <w:pPr>
              <w:pStyle w:val="z00e1kladn00fd0020text"/>
              <w:spacing w:after="0" w:line="240" w:lineRule="atLeast"/>
              <w:jc w:val="both"/>
            </w:pPr>
            <w:r w:rsidRPr="00DB7864">
              <w:rPr>
                <w:rStyle w:val="z00e1kladn00fd0020textchar1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0BB809BD" w14:textId="77777777" w:rsidR="00DB7864" w:rsidRPr="004D1B93" w:rsidRDefault="00DB7864" w:rsidP="002E6C5A">
            <w:pPr>
              <w:rPr>
                <w:b/>
                <w:sz w:val="22"/>
                <w:szCs w:val="22"/>
              </w:rPr>
            </w:pPr>
          </w:p>
        </w:tc>
      </w:tr>
    </w:tbl>
    <w:p w14:paraId="58BC527D" w14:textId="77777777" w:rsidR="00CB3623" w:rsidRDefault="00CB3623" w:rsidP="006465C7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DB3F" w14:textId="77777777" w:rsidR="00E60E0A" w:rsidRDefault="00E60E0A" w:rsidP="003501A1">
      <w:r>
        <w:separator/>
      </w:r>
    </w:p>
  </w:endnote>
  <w:endnote w:type="continuationSeparator" w:id="0">
    <w:p w14:paraId="60C5EEF6" w14:textId="77777777" w:rsidR="00E60E0A" w:rsidRDefault="00E60E0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102D" w14:textId="77777777" w:rsidR="00E60E0A" w:rsidRDefault="00E60E0A" w:rsidP="003501A1">
      <w:r>
        <w:separator/>
      </w:r>
    </w:p>
  </w:footnote>
  <w:footnote w:type="continuationSeparator" w:id="0">
    <w:p w14:paraId="65C4BC9F" w14:textId="77777777" w:rsidR="00E60E0A" w:rsidRDefault="00E60E0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7A0"/>
    <w:multiLevelType w:val="hybridMultilevel"/>
    <w:tmpl w:val="B1FA481A"/>
    <w:lvl w:ilvl="0" w:tplc="95A0C9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2F82"/>
    <w:multiLevelType w:val="hybridMultilevel"/>
    <w:tmpl w:val="EBDE5DB8"/>
    <w:lvl w:ilvl="0" w:tplc="755470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20D3ACF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CB3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F95"/>
    <w:rsid w:val="000133CB"/>
    <w:rsid w:val="00014591"/>
    <w:rsid w:val="00024B92"/>
    <w:rsid w:val="0003387B"/>
    <w:rsid w:val="00036A60"/>
    <w:rsid w:val="00047DEE"/>
    <w:rsid w:val="000534D7"/>
    <w:rsid w:val="00064BED"/>
    <w:rsid w:val="00081435"/>
    <w:rsid w:val="00087970"/>
    <w:rsid w:val="000926CD"/>
    <w:rsid w:val="000A768A"/>
    <w:rsid w:val="000B2C04"/>
    <w:rsid w:val="000D2AED"/>
    <w:rsid w:val="000D40AB"/>
    <w:rsid w:val="000F17E4"/>
    <w:rsid w:val="000F4C15"/>
    <w:rsid w:val="00101464"/>
    <w:rsid w:val="0011693A"/>
    <w:rsid w:val="00122302"/>
    <w:rsid w:val="0014093F"/>
    <w:rsid w:val="001505A3"/>
    <w:rsid w:val="00155868"/>
    <w:rsid w:val="00171D78"/>
    <w:rsid w:val="00175FD8"/>
    <w:rsid w:val="00191452"/>
    <w:rsid w:val="00193DF0"/>
    <w:rsid w:val="00194AC6"/>
    <w:rsid w:val="00197578"/>
    <w:rsid w:val="001A1559"/>
    <w:rsid w:val="001D3191"/>
    <w:rsid w:val="001D4C31"/>
    <w:rsid w:val="00212FDE"/>
    <w:rsid w:val="002151E8"/>
    <w:rsid w:val="00232C73"/>
    <w:rsid w:val="00235168"/>
    <w:rsid w:val="00247D88"/>
    <w:rsid w:val="002508D7"/>
    <w:rsid w:val="00256600"/>
    <w:rsid w:val="0026363B"/>
    <w:rsid w:val="00266382"/>
    <w:rsid w:val="00266671"/>
    <w:rsid w:val="002727C1"/>
    <w:rsid w:val="00273E59"/>
    <w:rsid w:val="002800A0"/>
    <w:rsid w:val="00285A3D"/>
    <w:rsid w:val="00293B2C"/>
    <w:rsid w:val="002945C9"/>
    <w:rsid w:val="00296EDD"/>
    <w:rsid w:val="002A18E6"/>
    <w:rsid w:val="002A5CEF"/>
    <w:rsid w:val="002B6B16"/>
    <w:rsid w:val="002C448D"/>
    <w:rsid w:val="002C6E8F"/>
    <w:rsid w:val="002E6C5A"/>
    <w:rsid w:val="002F3641"/>
    <w:rsid w:val="003146B8"/>
    <w:rsid w:val="003156FD"/>
    <w:rsid w:val="0033633A"/>
    <w:rsid w:val="00340F94"/>
    <w:rsid w:val="003501A1"/>
    <w:rsid w:val="00364536"/>
    <w:rsid w:val="00365BB9"/>
    <w:rsid w:val="0037486A"/>
    <w:rsid w:val="00395098"/>
    <w:rsid w:val="00404C44"/>
    <w:rsid w:val="00410C40"/>
    <w:rsid w:val="0041665C"/>
    <w:rsid w:val="004271CF"/>
    <w:rsid w:val="00430CF8"/>
    <w:rsid w:val="00433CE8"/>
    <w:rsid w:val="0043432F"/>
    <w:rsid w:val="00442FA9"/>
    <w:rsid w:val="004467C8"/>
    <w:rsid w:val="00452F1A"/>
    <w:rsid w:val="0045465B"/>
    <w:rsid w:val="004734D1"/>
    <w:rsid w:val="0049546A"/>
    <w:rsid w:val="004B40CA"/>
    <w:rsid w:val="004C0326"/>
    <w:rsid w:val="004C60B8"/>
    <w:rsid w:val="004C794A"/>
    <w:rsid w:val="004D1B93"/>
    <w:rsid w:val="004D4FB6"/>
    <w:rsid w:val="004E0124"/>
    <w:rsid w:val="004E7796"/>
    <w:rsid w:val="004F6F1F"/>
    <w:rsid w:val="004F7D6F"/>
    <w:rsid w:val="00502056"/>
    <w:rsid w:val="0050473A"/>
    <w:rsid w:val="00506ED0"/>
    <w:rsid w:val="00512354"/>
    <w:rsid w:val="005212B4"/>
    <w:rsid w:val="00537A32"/>
    <w:rsid w:val="00543CB6"/>
    <w:rsid w:val="0056195C"/>
    <w:rsid w:val="00570B48"/>
    <w:rsid w:val="00574090"/>
    <w:rsid w:val="00582D43"/>
    <w:rsid w:val="00583B3A"/>
    <w:rsid w:val="00584092"/>
    <w:rsid w:val="005844FB"/>
    <w:rsid w:val="0059534E"/>
    <w:rsid w:val="005B16E6"/>
    <w:rsid w:val="005B1F0F"/>
    <w:rsid w:val="005B7750"/>
    <w:rsid w:val="005B7A8D"/>
    <w:rsid w:val="005C5B5B"/>
    <w:rsid w:val="005C609D"/>
    <w:rsid w:val="005E67BF"/>
    <w:rsid w:val="005F16CD"/>
    <w:rsid w:val="005F3C5E"/>
    <w:rsid w:val="005F63F3"/>
    <w:rsid w:val="00601B75"/>
    <w:rsid w:val="006027A1"/>
    <w:rsid w:val="006163A1"/>
    <w:rsid w:val="006347F3"/>
    <w:rsid w:val="00644D6D"/>
    <w:rsid w:val="006465C7"/>
    <w:rsid w:val="00646AFC"/>
    <w:rsid w:val="00651D70"/>
    <w:rsid w:val="006533C7"/>
    <w:rsid w:val="0066320B"/>
    <w:rsid w:val="00680165"/>
    <w:rsid w:val="00687110"/>
    <w:rsid w:val="00690700"/>
    <w:rsid w:val="00691B94"/>
    <w:rsid w:val="0069367B"/>
    <w:rsid w:val="00694A1D"/>
    <w:rsid w:val="006A37E7"/>
    <w:rsid w:val="006B1E52"/>
    <w:rsid w:val="006B3685"/>
    <w:rsid w:val="006B4E6C"/>
    <w:rsid w:val="006C09EA"/>
    <w:rsid w:val="006C3B7D"/>
    <w:rsid w:val="006D70BB"/>
    <w:rsid w:val="006E3C9A"/>
    <w:rsid w:val="00722095"/>
    <w:rsid w:val="00722A7A"/>
    <w:rsid w:val="007324EF"/>
    <w:rsid w:val="007365C3"/>
    <w:rsid w:val="00741466"/>
    <w:rsid w:val="007458D8"/>
    <w:rsid w:val="00763BD4"/>
    <w:rsid w:val="00773ADE"/>
    <w:rsid w:val="00777523"/>
    <w:rsid w:val="00782953"/>
    <w:rsid w:val="00782ABD"/>
    <w:rsid w:val="007937AC"/>
    <w:rsid w:val="007A0289"/>
    <w:rsid w:val="007B162A"/>
    <w:rsid w:val="007C46A4"/>
    <w:rsid w:val="007D086E"/>
    <w:rsid w:val="007E415B"/>
    <w:rsid w:val="008014CF"/>
    <w:rsid w:val="00805D7E"/>
    <w:rsid w:val="00824CC5"/>
    <w:rsid w:val="00825AB5"/>
    <w:rsid w:val="00836B25"/>
    <w:rsid w:val="00852447"/>
    <w:rsid w:val="00855FFD"/>
    <w:rsid w:val="00856BC6"/>
    <w:rsid w:val="008640C6"/>
    <w:rsid w:val="00870903"/>
    <w:rsid w:val="00874D1D"/>
    <w:rsid w:val="008A2CCF"/>
    <w:rsid w:val="008B1B71"/>
    <w:rsid w:val="008F06ED"/>
    <w:rsid w:val="008F6D24"/>
    <w:rsid w:val="00902548"/>
    <w:rsid w:val="00912328"/>
    <w:rsid w:val="009223E4"/>
    <w:rsid w:val="00926BE3"/>
    <w:rsid w:val="00936899"/>
    <w:rsid w:val="00940C17"/>
    <w:rsid w:val="0095293A"/>
    <w:rsid w:val="009548EE"/>
    <w:rsid w:val="00955645"/>
    <w:rsid w:val="00957857"/>
    <w:rsid w:val="00982C16"/>
    <w:rsid w:val="009970DF"/>
    <w:rsid w:val="009A4AF7"/>
    <w:rsid w:val="009C1A47"/>
    <w:rsid w:val="00A13BFB"/>
    <w:rsid w:val="00A508E0"/>
    <w:rsid w:val="00A549ED"/>
    <w:rsid w:val="00A577CB"/>
    <w:rsid w:val="00A60182"/>
    <w:rsid w:val="00A61ACC"/>
    <w:rsid w:val="00A731E3"/>
    <w:rsid w:val="00A90D1E"/>
    <w:rsid w:val="00AA4FC9"/>
    <w:rsid w:val="00AB78E8"/>
    <w:rsid w:val="00AC0C9D"/>
    <w:rsid w:val="00AC2477"/>
    <w:rsid w:val="00AC323B"/>
    <w:rsid w:val="00AC46A7"/>
    <w:rsid w:val="00AE1BCD"/>
    <w:rsid w:val="00AF0EB3"/>
    <w:rsid w:val="00AF1053"/>
    <w:rsid w:val="00AF6EA8"/>
    <w:rsid w:val="00B060CB"/>
    <w:rsid w:val="00B15F53"/>
    <w:rsid w:val="00B35FE5"/>
    <w:rsid w:val="00B36212"/>
    <w:rsid w:val="00B378DB"/>
    <w:rsid w:val="00B52065"/>
    <w:rsid w:val="00B635E8"/>
    <w:rsid w:val="00B6456B"/>
    <w:rsid w:val="00B65A86"/>
    <w:rsid w:val="00B67B7C"/>
    <w:rsid w:val="00B7051F"/>
    <w:rsid w:val="00B777A6"/>
    <w:rsid w:val="00BA2281"/>
    <w:rsid w:val="00BB46DD"/>
    <w:rsid w:val="00BC063A"/>
    <w:rsid w:val="00BC52A0"/>
    <w:rsid w:val="00BD74D5"/>
    <w:rsid w:val="00BE54B7"/>
    <w:rsid w:val="00BF4AF3"/>
    <w:rsid w:val="00C03B02"/>
    <w:rsid w:val="00C1115F"/>
    <w:rsid w:val="00C133CD"/>
    <w:rsid w:val="00C2365E"/>
    <w:rsid w:val="00C26D8C"/>
    <w:rsid w:val="00C31ACF"/>
    <w:rsid w:val="00C33D03"/>
    <w:rsid w:val="00C4189C"/>
    <w:rsid w:val="00C443E0"/>
    <w:rsid w:val="00C46DA0"/>
    <w:rsid w:val="00C47C1D"/>
    <w:rsid w:val="00C60283"/>
    <w:rsid w:val="00C63DE1"/>
    <w:rsid w:val="00C7175B"/>
    <w:rsid w:val="00C74E72"/>
    <w:rsid w:val="00CB3623"/>
    <w:rsid w:val="00CD50B1"/>
    <w:rsid w:val="00CD72AA"/>
    <w:rsid w:val="00CE0901"/>
    <w:rsid w:val="00CE31D7"/>
    <w:rsid w:val="00CE6EA4"/>
    <w:rsid w:val="00CE7518"/>
    <w:rsid w:val="00CE7BB3"/>
    <w:rsid w:val="00D13B6F"/>
    <w:rsid w:val="00D14540"/>
    <w:rsid w:val="00D21807"/>
    <w:rsid w:val="00D26766"/>
    <w:rsid w:val="00D328CF"/>
    <w:rsid w:val="00D33678"/>
    <w:rsid w:val="00D41CD1"/>
    <w:rsid w:val="00D51D9F"/>
    <w:rsid w:val="00D54F15"/>
    <w:rsid w:val="00D56ECE"/>
    <w:rsid w:val="00D75D35"/>
    <w:rsid w:val="00D817EC"/>
    <w:rsid w:val="00D923A3"/>
    <w:rsid w:val="00DA3E15"/>
    <w:rsid w:val="00DB7864"/>
    <w:rsid w:val="00DC1229"/>
    <w:rsid w:val="00DC2890"/>
    <w:rsid w:val="00DC7DE3"/>
    <w:rsid w:val="00DE2A12"/>
    <w:rsid w:val="00DF3356"/>
    <w:rsid w:val="00DF4186"/>
    <w:rsid w:val="00DF7C14"/>
    <w:rsid w:val="00E02C17"/>
    <w:rsid w:val="00E12618"/>
    <w:rsid w:val="00E25A7C"/>
    <w:rsid w:val="00E3526D"/>
    <w:rsid w:val="00E469B0"/>
    <w:rsid w:val="00E60E0A"/>
    <w:rsid w:val="00E66FA2"/>
    <w:rsid w:val="00E76E7E"/>
    <w:rsid w:val="00E83853"/>
    <w:rsid w:val="00E97FF7"/>
    <w:rsid w:val="00EA58C0"/>
    <w:rsid w:val="00EB1614"/>
    <w:rsid w:val="00EB59E3"/>
    <w:rsid w:val="00EC0DE2"/>
    <w:rsid w:val="00EE07D3"/>
    <w:rsid w:val="00EF466C"/>
    <w:rsid w:val="00EF5E5F"/>
    <w:rsid w:val="00F05AD9"/>
    <w:rsid w:val="00F22831"/>
    <w:rsid w:val="00F36D25"/>
    <w:rsid w:val="00F405DC"/>
    <w:rsid w:val="00F467FC"/>
    <w:rsid w:val="00F62771"/>
    <w:rsid w:val="00F65A8B"/>
    <w:rsid w:val="00F77548"/>
    <w:rsid w:val="00F85EA2"/>
    <w:rsid w:val="00FA1495"/>
    <w:rsid w:val="00FB3A76"/>
    <w:rsid w:val="00FB48C6"/>
    <w:rsid w:val="00FE1499"/>
    <w:rsid w:val="00FE31DC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6E14"/>
  <w15:docId w15:val="{4CD09556-B7E4-4994-8673-3035FA34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orm00e1lnychar1">
    <w:name w:val="norm_00e1lny__char1"/>
    <w:rsid w:val="00DB7864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DB7864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DB7864"/>
    <w:pPr>
      <w:spacing w:line="200" w:lineRule="atLeast"/>
    </w:pPr>
  </w:style>
  <w:style w:type="paragraph" w:customStyle="1" w:styleId="z00e1kladn00fd0020text">
    <w:name w:val="z_00e1kladn_00fd_0020text"/>
    <w:basedOn w:val="Normlny"/>
    <w:rsid w:val="00DB7864"/>
    <w:pPr>
      <w:spacing w:after="120" w:line="2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hsr.sk/uploads/files/Tk5z84W0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povazan@mindop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as.psenka@mindop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61/1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AB9FC5-EC9D-4F1E-B54C-8A70FAEC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9</cp:revision>
  <cp:lastPrinted>2020-01-23T13:38:00Z</cp:lastPrinted>
  <dcterms:created xsi:type="dcterms:W3CDTF">2021-03-31T12:21:00Z</dcterms:created>
  <dcterms:modified xsi:type="dcterms:W3CDTF">2021-04-26T14:22:00Z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