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A7" w:rsidRPr="00A266A7" w:rsidRDefault="00A266A7" w:rsidP="00A266A7">
      <w:pPr>
        <w:pStyle w:val="1podsek"/>
        <w:numPr>
          <w:ilvl w:val="0"/>
          <w:numId w:val="0"/>
        </w:numPr>
        <w:rPr>
          <w:sz w:val="20"/>
          <w:szCs w:val="20"/>
        </w:rPr>
      </w:pPr>
    </w:p>
    <w:p w:rsidR="006645E1" w:rsidRPr="0039506E" w:rsidRDefault="006645E1" w:rsidP="006645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</w:p>
    <w:p w:rsidR="006645E1" w:rsidRDefault="006741C8" w:rsidP="00664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NARIADENIE</w:t>
      </w:r>
      <w:r w:rsidR="006645E1">
        <w:rPr>
          <w:rFonts w:ascii="Times New Roman" w:hAnsi="Times New Roman" w:cs="Times New Roman"/>
          <w:b/>
          <w:sz w:val="24"/>
          <w:szCs w:val="24"/>
        </w:rPr>
        <w:t xml:space="preserve"> VLÁDY</w:t>
      </w:r>
    </w:p>
    <w:p w:rsidR="006645E1" w:rsidRDefault="006645E1" w:rsidP="00664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6645E1" w:rsidRDefault="006645E1" w:rsidP="00664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E1" w:rsidRPr="00376185" w:rsidRDefault="006645E1" w:rsidP="006645E1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85">
        <w:rPr>
          <w:rFonts w:ascii="Times New Roman" w:hAnsi="Times New Roman" w:cs="Times New Roman"/>
          <w:b/>
          <w:sz w:val="24"/>
          <w:szCs w:val="24"/>
        </w:rPr>
        <w:t>z ..........................20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76185">
        <w:rPr>
          <w:rFonts w:ascii="Times New Roman" w:hAnsi="Times New Roman" w:cs="Times New Roman"/>
          <w:b/>
          <w:sz w:val="24"/>
          <w:szCs w:val="24"/>
        </w:rPr>
        <w:t>,</w:t>
      </w:r>
    </w:p>
    <w:p w:rsidR="00A266A7" w:rsidRPr="00A266A7" w:rsidRDefault="00A266A7" w:rsidP="00A266A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A266A7" w:rsidRPr="00A266A7" w:rsidRDefault="00A266A7" w:rsidP="00A266A7">
      <w:pPr>
        <w:pStyle w:val="Nzov"/>
        <w:jc w:val="left"/>
      </w:pPr>
      <w:r w:rsidRPr="00A266A7">
        <w:t xml:space="preserve">                                                               </w:t>
      </w:r>
    </w:p>
    <w:p w:rsidR="00A266A7" w:rsidRPr="00A266A7" w:rsidRDefault="00A266A7" w:rsidP="006645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  <w:r w:rsidRPr="00A266A7">
        <w:rPr>
          <w:rFonts w:ascii="Times New Roman" w:hAnsi="Times New Roman" w:cs="Times New Roman"/>
          <w:b/>
          <w:bCs/>
          <w:sz w:val="24"/>
          <w:szCs w:val="24"/>
        </w:rPr>
        <w:t>ktorým sa dopĺňa nariadenie vlády Slovenskej republiky č. 43/2005 Z. z., ktorým sa ustanovujú podrobnosti o strategických hlukových mapách a akčných plánoch ochrany pred hlukom v znení neskorších predpisov</w:t>
      </w:r>
    </w:p>
    <w:p w:rsidR="00A266A7" w:rsidRPr="00A266A7" w:rsidRDefault="00A266A7" w:rsidP="00A266A7">
      <w:pPr>
        <w:tabs>
          <w:tab w:val="left" w:pos="3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66A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266A7" w:rsidRPr="00A266A7" w:rsidRDefault="00A266A7" w:rsidP="00A2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 xml:space="preserve">         Vláda Slovenskej republiky podľa § 4 ods. 4 zákona č. 2/2005 Z. z. o posudzovaní a kontrole hluku vo vonkajšom prostredí a o zmene zákona Národnej rady Slovenskej republiky č. 272/1994 Z. z. o ochrane zdravia ľudí v znení neskorších predpisov nariaďuje: </w:t>
      </w:r>
    </w:p>
    <w:p w:rsidR="00A266A7" w:rsidRPr="00A266A7" w:rsidRDefault="00A266A7" w:rsidP="00A2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6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Čl. I </w:t>
      </w:r>
    </w:p>
    <w:p w:rsidR="00A266A7" w:rsidRPr="00A266A7" w:rsidRDefault="00A266A7" w:rsidP="00A26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6A7" w:rsidRPr="00A266A7" w:rsidRDefault="00A266A7" w:rsidP="00A2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 xml:space="preserve">      Nariadenie vlády Slovenskej republiky č. 43/2005 Z. z., ktorým sa ustanovujú podrobnosti o strategických hlukových mapách a akčných plánoch ochrany pred hlukom v znení nariadenia vlády Slovenskej republiky č. 258/2008 Z. z. a nariadenia vlády </w:t>
      </w:r>
      <w:r w:rsidR="006741C8" w:rsidRPr="00A266A7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Pr="00A266A7">
        <w:rPr>
          <w:rFonts w:ascii="Times New Roman" w:hAnsi="Times New Roman" w:cs="Times New Roman"/>
          <w:sz w:val="24"/>
          <w:szCs w:val="24"/>
        </w:rPr>
        <w:t>č. 150/2018 Z. z. sa dopĺňa takto:</w:t>
      </w:r>
    </w:p>
    <w:p w:rsidR="00A266A7" w:rsidRPr="00A266A7" w:rsidRDefault="00A266A7" w:rsidP="00A266A7">
      <w:pPr>
        <w:spacing w:line="240" w:lineRule="auto"/>
        <w:rPr>
          <w:rFonts w:ascii="Times New Roman" w:hAnsi="Times New Roman" w:cs="Times New Roman"/>
          <w:sz w:val="24"/>
        </w:rPr>
      </w:pPr>
    </w:p>
    <w:p w:rsidR="00EC2ED3" w:rsidRDefault="00EC2ED3" w:rsidP="00EC2ED3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 odkazu 3 znie: </w:t>
      </w:r>
    </w:p>
    <w:p w:rsidR="00EC2ED3" w:rsidRPr="003764E8" w:rsidRDefault="00EC2ED3" w:rsidP="00EC2ED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764E8">
        <w:rPr>
          <w:rFonts w:ascii="Times New Roman" w:hAnsi="Times New Roman" w:cs="Times New Roman"/>
          <w:sz w:val="24"/>
          <w:szCs w:val="24"/>
        </w:rPr>
        <w:t>STN ISO 1996-2 Akustika. Opis, meranie a posudzovanie hluku vo vonkajšom prostredí. Časť 2: Určovanie hladín akustického tlaku (01 1621).“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ED3" w:rsidRDefault="00EC2ED3" w:rsidP="00EC2ED3">
      <w:pPr>
        <w:pStyle w:val="Zkladntext2"/>
      </w:pPr>
      <w:r>
        <w:t>2.V prílohe č. 1 v druhom bode sa na konci pripájajú tieto slová: „sú uvedené v prílohe č. 1aa.“.</w:t>
      </w:r>
    </w:p>
    <w:p w:rsidR="00EC2ED3" w:rsidRDefault="00EC2ED3" w:rsidP="00EC2ED3">
      <w:pPr>
        <w:pStyle w:val="Zkladntext2"/>
      </w:pPr>
    </w:p>
    <w:p w:rsidR="00EC2ED3" w:rsidRDefault="00EC2ED3" w:rsidP="00EC2ED3">
      <w:pPr>
        <w:pStyle w:val="Zkladntext2"/>
        <w:numPr>
          <w:ilvl w:val="0"/>
          <w:numId w:val="39"/>
        </w:numPr>
      </w:pPr>
      <w:r>
        <w:t>Za prílohu č. 1a sa vkladá príloha č. 1aa, ktorá vrátane nadpisu znie: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ab/>
      </w:r>
      <w:r w:rsidRPr="00A266A7">
        <w:rPr>
          <w:rFonts w:ascii="Times New Roman" w:hAnsi="Times New Roman" w:cs="Times New Roman"/>
          <w:sz w:val="24"/>
          <w:szCs w:val="24"/>
        </w:rPr>
        <w:tab/>
      </w:r>
      <w:r w:rsidRPr="00A266A7">
        <w:rPr>
          <w:rFonts w:ascii="Times New Roman" w:hAnsi="Times New Roman" w:cs="Times New Roman"/>
          <w:sz w:val="24"/>
          <w:szCs w:val="24"/>
        </w:rPr>
        <w:tab/>
      </w:r>
      <w:r w:rsidRPr="00A266A7">
        <w:rPr>
          <w:rFonts w:ascii="Times New Roman" w:hAnsi="Times New Roman" w:cs="Times New Roman"/>
          <w:sz w:val="24"/>
          <w:szCs w:val="24"/>
        </w:rPr>
        <w:tab/>
      </w:r>
      <w:r w:rsidRPr="00A266A7">
        <w:rPr>
          <w:rFonts w:ascii="Times New Roman" w:hAnsi="Times New Roman" w:cs="Times New Roman"/>
          <w:sz w:val="24"/>
          <w:szCs w:val="24"/>
        </w:rPr>
        <w:tab/>
      </w:r>
      <w:r w:rsidRPr="00A266A7">
        <w:rPr>
          <w:rFonts w:ascii="Times New Roman" w:hAnsi="Times New Roman" w:cs="Times New Roman"/>
          <w:sz w:val="24"/>
          <w:szCs w:val="24"/>
        </w:rPr>
        <w:tab/>
      </w:r>
      <w:r w:rsidRPr="00A266A7">
        <w:rPr>
          <w:rFonts w:ascii="Times New Roman" w:hAnsi="Times New Roman" w:cs="Times New Roman"/>
          <w:sz w:val="24"/>
          <w:szCs w:val="24"/>
        </w:rPr>
        <w:tab/>
      </w:r>
      <w:r w:rsidRPr="00A266A7">
        <w:rPr>
          <w:rFonts w:ascii="Times New Roman" w:hAnsi="Times New Roman" w:cs="Times New Roman"/>
          <w:sz w:val="24"/>
          <w:szCs w:val="24"/>
        </w:rPr>
        <w:tab/>
        <w:t xml:space="preserve">„Príloha č. 1aa </w:t>
      </w:r>
    </w:p>
    <w:p w:rsidR="00A266A7" w:rsidRPr="00A266A7" w:rsidRDefault="00A266A7" w:rsidP="00A266A7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ab/>
        <w:t>k nariadeniu vlády č. 43/2005 Z. z.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>METÓDY POSUDZOVANIA ŠKODLIVÝCH ÚČINKOV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266A7">
        <w:rPr>
          <w:rFonts w:ascii="Times New Roman" w:hAnsi="Times New Roman" w:cs="Times New Roman"/>
          <w:b/>
          <w:sz w:val="24"/>
          <w:szCs w:val="24"/>
        </w:rPr>
        <w:t>Škála škodlivých účinkov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6A7" w:rsidRPr="00A266A7" w:rsidRDefault="00A266A7" w:rsidP="00A266A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 xml:space="preserve"> Na účely posudzovania škodlivých účinkov sa berú do úvahy tieto dôsledky: 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widowControl w:val="0"/>
        <w:numPr>
          <w:ilvl w:val="0"/>
          <w:numId w:val="8"/>
        </w:numPr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 xml:space="preserve">ischemická choroba srdca (IHD) zodpovedajúca kódom BA40 až BA6Z medzinárodnej klasifikácie ICD-11 zavedenej Svetovou zdravotníckou organizáciou, </w:t>
      </w:r>
    </w:p>
    <w:p w:rsidR="00A266A7" w:rsidRPr="00A266A7" w:rsidRDefault="00A266A7" w:rsidP="00A266A7">
      <w:pPr>
        <w:widowControl w:val="0"/>
        <w:numPr>
          <w:ilvl w:val="0"/>
          <w:numId w:val="8"/>
        </w:numPr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 xml:space="preserve">vysoká miera obťažovania hlukom (HA), </w:t>
      </w:r>
    </w:p>
    <w:p w:rsidR="00A266A7" w:rsidRDefault="00A266A7" w:rsidP="00A266A7">
      <w:pPr>
        <w:widowControl w:val="0"/>
        <w:numPr>
          <w:ilvl w:val="0"/>
          <w:numId w:val="8"/>
        </w:numPr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C2ED3">
        <w:rPr>
          <w:rFonts w:ascii="Times New Roman" w:hAnsi="Times New Roman" w:cs="Times New Roman"/>
          <w:sz w:val="24"/>
          <w:szCs w:val="24"/>
        </w:rPr>
        <w:lastRenderedPageBreak/>
        <w:t>výrazné poruchy spánku (HSD).</w:t>
      </w:r>
    </w:p>
    <w:p w:rsidR="00EC2ED3" w:rsidRPr="00EC2ED3" w:rsidRDefault="00EC2ED3" w:rsidP="00EC2ED3">
      <w:pPr>
        <w:widowControl w:val="0"/>
        <w:suppressAutoHyphens/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</w:p>
    <w:p w:rsidR="00A266A7" w:rsidRPr="005C4CFC" w:rsidRDefault="00A266A7" w:rsidP="005C4CFC">
      <w:pPr>
        <w:pStyle w:val="Odsekzoznamu"/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C4CFC">
        <w:rPr>
          <w:rFonts w:ascii="Times New Roman" w:hAnsi="Times New Roman" w:cs="Times New Roman"/>
          <w:b/>
          <w:sz w:val="24"/>
          <w:szCs w:val="24"/>
        </w:rPr>
        <w:t>Výpočet miery škodlivých účinkov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 xml:space="preserve">Na výpočet miery škodlivých účinkov sa použije ktorýkoľvek z týchto parametrov: 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 xml:space="preserve"> relatívne riziko (RR) škodlivého účinku definované ako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Times New Roman" w:cs="Times New Roman"/>
              <w:color w:val="000000"/>
              <w:sz w:val="24"/>
              <w:szCs w:val="24"/>
            </w:rPr>
            <m:t>RR=</m:t>
          </m:r>
          <m:d>
            <m:dPr>
              <m:ctrlPr>
                <w:rPr>
                  <w:rFonts w:ascii="Cambria Math" w:hAnsi="Times New Roman" w:cs="Times New Roman"/>
                  <w:i/>
                  <w:color w:val="00000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Pravdepodobnos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ť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v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ý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skytu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š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kodliv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éh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úč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inku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v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pr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í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pade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obyvate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ľ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stva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vystaven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éh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š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pecifickej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ladine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environment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á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lne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luku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Pravdepodobnos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ť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v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ý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skytu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š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kodliv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éh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úč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inku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v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pr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í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pade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obyvate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ľ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stva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nevystaven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éh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š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pecifick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ej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ladine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environment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á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lne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o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m:t>h</m:t>
                      </m:r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luku</m:t>
                      </m:r>
                      <m:r>
                        <w:rPr>
                          <w:rFonts w:ascii="Cambria Math" w:hAnsi="Times New Roman" w:cs="Times New Roman"/>
                          <w:color w:val="000000"/>
                          <w:sz w:val="24"/>
                          <w:szCs w:val="24"/>
                        </w:rPr>
                        <m:t xml:space="preserve"> </m:t>
                      </m:r>
                    </m:e>
                  </m:eqArr>
                </m:den>
              </m:f>
            </m:e>
          </m:d>
        </m:oMath>
      </m:oMathPara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>(vzorec 1)</w:t>
      </w:r>
    </w:p>
    <w:p w:rsidR="00A266A7" w:rsidRPr="006645E1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4"/>
        </w:rPr>
      </w:pPr>
    </w:p>
    <w:p w:rsidR="00A266A7" w:rsidRPr="006645E1" w:rsidRDefault="00A266A7" w:rsidP="00A266A7">
      <w:pPr>
        <w:pStyle w:val="Odsekzoznamu"/>
        <w:widowControl w:val="0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6645E1">
        <w:rPr>
          <w:rFonts w:ascii="Times New Roman" w:hAnsi="Times New Roman" w:cs="Times New Roman"/>
          <w:sz w:val="24"/>
        </w:rPr>
        <w:t xml:space="preserve"> absolútne riziko (AR) škodlivého účinku definované ako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 xml:space="preserve">AR =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ý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skyt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š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kodliv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éh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úč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inku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pr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í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pade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obyvate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ľ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stva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vystaven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éh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  <m:ctrlPr>
                  <w:rPr>
                    <w:rFonts w:ascii="Cambria Math" w:eastAsia="Cambria Math" w:hAnsi="Times New Roman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š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pecifickej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h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ladine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environment</m:t>
                </m:r>
                <m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á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lne</m:t>
                </m:r>
                <m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h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o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</w:rPr>
                  <m:t xml:space="preserve"> </m:t>
                </m:r>
                <m: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  <m:t>h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luku</m:t>
                </m:r>
              </m:e>
            </m:eqArr>
          </m:e>
        </m:d>
      </m:oMath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>(vzorec 2)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5C4CFC" w:rsidRDefault="00A266A7" w:rsidP="005C4CFC">
      <w:pPr>
        <w:pStyle w:val="Odsekzoznamu"/>
        <w:widowControl w:val="0"/>
        <w:numPr>
          <w:ilvl w:val="1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5C4CFC">
        <w:rPr>
          <w:rFonts w:ascii="Times New Roman" w:hAnsi="Times New Roman" w:cs="Times New Roman"/>
          <w:b/>
          <w:sz w:val="24"/>
        </w:rPr>
        <w:t>IHD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 xml:space="preserve">Na účely výpočtu RR sa vzhľadom na škodlivý účinok IHD a </w:t>
      </w:r>
      <w:proofErr w:type="spellStart"/>
      <w:r w:rsidRPr="00A266A7">
        <w:rPr>
          <w:rFonts w:ascii="Times New Roman" w:hAnsi="Times New Roman" w:cs="Times New Roman"/>
          <w:sz w:val="24"/>
          <w:szCs w:val="24"/>
        </w:rPr>
        <w:t>incidenciu</w:t>
      </w:r>
      <w:proofErr w:type="spellEnd"/>
      <w:r w:rsidRPr="00A266A7">
        <w:rPr>
          <w:rFonts w:ascii="Times New Roman" w:hAnsi="Times New Roman" w:cs="Times New Roman"/>
          <w:sz w:val="24"/>
          <w:szCs w:val="24"/>
        </w:rPr>
        <w:t xml:space="preserve"> i) použijú tieto vzťahy dávka – účinok: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B20E1B" w:rsidP="00A266A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IHD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cestn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á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doprava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func>
                                    <m:funcPr>
                                      <m:ctrl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Times New Roman" w:cs="Times New Roman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m:t>1,08</m:t>
                                          </m:r>
                                        </m:e>
                                      </m:d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e>
                                  </m:func>
                                </m:num>
                                <m:den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*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d>
                            <m:dPr>
                              <m:endChr m:val=""/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dvn</m:t>
                                  </m:r>
                                </m:sub>
                              </m:sSub>
                              <m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d>
                                <m:dPr>
                                  <m:begChr m:val=""/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Times New Roman" w:cs="Times New Roman"/>
                                      <w:sz w:val="24"/>
                                      <w:szCs w:val="24"/>
                                    </w:rPr>
                                    <m:t>53</m:t>
                                  </m:r>
                                </m:e>
                              </m:d>
                            </m:e>
                          </m:d>
                        </m:e>
                      </m:d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   </m:t>
                      </m:r>
                    </m:sup>
                  </m:sSup>
                </m: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eqArr>
            </m:e>
          </m:d>
          <m:f>
            <m:fPr>
              <m:type m:val="noBar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pr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í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pade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dvn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viac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ako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53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dB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pr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í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pade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dvn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najviac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ako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53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dB</m:t>
              </m:r>
            </m:den>
          </m:f>
        </m:oMath>
      </m:oMathPara>
      <w:r w:rsidR="00A266A7" w:rsidRPr="00A266A7">
        <w:rPr>
          <w:rFonts w:ascii="Times New Roman" w:hAnsi="Times New Roman" w:cs="Times New Roman"/>
          <w:sz w:val="24"/>
          <w:szCs w:val="24"/>
        </w:rPr>
        <w:br/>
      </w:r>
    </w:p>
    <w:p w:rsidR="00A266A7" w:rsidRPr="00A266A7" w:rsidRDefault="00A266A7" w:rsidP="00A266A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>(vzorec 3)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>pre hluk z cestnej dopravy.</w:t>
      </w:r>
      <w:r w:rsidR="0080442C" w:rsidRPr="00B20E1B">
        <w:rPr>
          <w:rFonts w:ascii="Times New Roman" w:hAnsi="Times New Roman" w:cs="Times New Roman"/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hideGrammaticalError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allowPNG/&gt;&lt;w:targetScreenSz w:val=&quot;1024x768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70B6D&quot;/&gt;&lt;wsp:rsid wsp:val=&quot;000027D4&quot;/&gt;&lt;wsp:rsid wsp:val=&quot;000061D8&quot;/&gt;&lt;wsp:rsid wsp:val=&quot;0001128D&quot;/&gt;&lt;wsp:rsid wsp:val=&quot;000154D0&quot;/&gt;&lt;wsp:rsid wsp:val=&quot;000332BF&quot;/&gt;&lt;wsp:rsid wsp:val=&quot;00037470&quot;/&gt;&lt;wsp:rsid wsp:val=&quot;000448DD&quot;/&gt;&lt;wsp:rsid wsp:val=&quot;00055C47&quot;/&gt;&lt;wsp:rsid wsp:val=&quot;000572AC&quot;/&gt;&lt;wsp:rsid wsp:val=&quot;00061A09&quot;/&gt;&lt;wsp:rsid wsp:val=&quot;00064B86&quot;/&gt;&lt;wsp:rsid wsp:val=&quot;00070A9A&quot;/&gt;&lt;wsp:rsid wsp:val=&quot;0007166E&quot;/&gt;&lt;wsp:rsid wsp:val=&quot;00083BB4&quot;/&gt;&lt;wsp:rsid wsp:val=&quot;00084FB9&quot;/&gt;&lt;wsp:rsid wsp:val=&quot;000A3579&quot;/&gt;&lt;wsp:rsid wsp:val=&quot;000B0525&quot;/&gt;&lt;wsp:rsid wsp:val=&quot;000B3B8F&quot;/&gt;&lt;wsp:rsid wsp:val=&quot;000B47B1&quot;/&gt;&lt;wsp:rsid wsp:val=&quot;000B6590&quot;/&gt;&lt;wsp:rsid wsp:val=&quot;000C2495&quot;/&gt;&lt;wsp:rsid wsp:val=&quot;000C5374&quot;/&gt;&lt;wsp:rsid wsp:val=&quot;000C62D3&quot;/&gt;&lt;wsp:rsid wsp:val=&quot;000C7D7D&quot;/&gt;&lt;wsp:rsid wsp:val=&quot;000D18F0&quot;/&gt;&lt;wsp:rsid wsp:val=&quot;000D560C&quot;/&gt;&lt;wsp:rsid wsp:val=&quot;000F33C3&quot;/&gt;&lt;wsp:rsid wsp:val=&quot;000F44B9&quot;/&gt;&lt;wsp:rsid wsp:val=&quot;000F5F1E&quot;/&gt;&lt;wsp:rsid wsp:val=&quot;001033F6&quot;/&gt;&lt;wsp:rsid wsp:val=&quot;0011043A&quot;/&gt;&lt;wsp:rsid wsp:val=&quot;00111BC1&quot;/&gt;&lt;wsp:rsid wsp:val=&quot;00111C61&quot;/&gt;&lt;wsp:rsid wsp:val=&quot;0011589F&quot;/&gt;&lt;wsp:rsid wsp:val=&quot;001204A9&quot;/&gt;&lt;wsp:rsid wsp:val=&quot;001248CF&quot;/&gt;&lt;wsp:rsid wsp:val=&quot;00124A6A&quot;/&gt;&lt;wsp:rsid wsp:val=&quot;0013596E&quot;/&gt;&lt;wsp:rsid wsp:val=&quot;00140CA2&quot;/&gt;&lt;wsp:rsid wsp:val=&quot;00162E6B&quot;/&gt;&lt;wsp:rsid wsp:val=&quot;001660AA&quot;/&gt;&lt;wsp:rsid wsp:val=&quot;0016751A&quot;/&gt;&lt;wsp:rsid wsp:val=&quot;00181558&quot;/&gt;&lt;wsp:rsid wsp:val=&quot;0018608B&quot;/&gt;&lt;wsp:rsid wsp:val=&quot;00186857&quot;/&gt;&lt;wsp:rsid wsp:val=&quot;001915B6&quot;/&gt;&lt;wsp:rsid wsp:val=&quot;00195A54&quot;/&gt;&lt;wsp:rsid wsp:val=&quot;001A2434&quot;/&gt;&lt;wsp:rsid wsp:val=&quot;001A50B2&quot;/&gt;&lt;wsp:rsid wsp:val=&quot;001A76C8&quot;/&gt;&lt;wsp:rsid wsp:val=&quot;001B04A9&quot;/&gt;&lt;wsp:rsid wsp:val=&quot;001B1B26&quot;/&gt;&lt;wsp:rsid wsp:val=&quot;001B3DA2&quot;/&gt;&lt;wsp:rsid wsp:val=&quot;001C2E5B&quot;/&gt;&lt;wsp:rsid wsp:val=&quot;001E2658&quot;/&gt;&lt;wsp:rsid wsp:val=&quot;00201156&quot;/&gt;&lt;wsp:rsid wsp:val=&quot;00202062&quot;/&gt;&lt;wsp:rsid wsp:val=&quot;00203374&quot;/&gt;&lt;wsp:rsid wsp:val=&quot;002033C6&quot;/&gt;&lt;wsp:rsid wsp:val=&quot;00215C59&quot;/&gt;&lt;wsp:rsid wsp:val=&quot;00221988&quot;/&gt;&lt;wsp:rsid wsp:val=&quot;0022431A&quot;/&gt;&lt;wsp:rsid wsp:val=&quot;00227CC1&quot;/&gt;&lt;wsp:rsid wsp:val=&quot;00243309&quot;/&gt;&lt;wsp:rsid wsp:val=&quot;0025231D&quot;/&gt;&lt;wsp:rsid wsp:val=&quot;00264422&quot;/&gt;&lt;wsp:rsid wsp:val=&quot;00270E91&quot;/&gt;&lt;wsp:rsid wsp:val=&quot;0027390F&quot;/&gt;&lt;wsp:rsid wsp:val=&quot;00274DD5&quot;/&gt;&lt;wsp:rsid wsp:val=&quot;002851D6&quot;/&gt;&lt;wsp:rsid wsp:val=&quot;00290442&quot;/&gt;&lt;wsp:rsid wsp:val=&quot;00291D28&quot;/&gt;&lt;wsp:rsid wsp:val=&quot;002A3AC6&quot;/&gt;&lt;wsp:rsid wsp:val=&quot;002B12FF&quot;/&gt;&lt;wsp:rsid wsp:val=&quot;002B5155&quot;/&gt;&lt;wsp:rsid wsp:val=&quot;002C70A3&quot;/&gt;&lt;wsp:rsid wsp:val=&quot;002E2548&quot;/&gt;&lt;wsp:rsid wsp:val=&quot;002E2EFB&quot;/&gt;&lt;wsp:rsid wsp:val=&quot;002E42F2&quot;/&gt;&lt;wsp:rsid wsp:val=&quot;002E50E7&quot;/&gt;&lt;wsp:rsid wsp:val=&quot;002F1CC2&quot;/&gt;&lt;wsp:rsid wsp:val=&quot;002F7443&quot;/&gt;&lt;wsp:rsid wsp:val=&quot;003013A7&quot;/&gt;&lt;wsp:rsid wsp:val=&quot;0030603C&quot;/&gt;&lt;wsp:rsid wsp:val=&quot;00326EB8&quot;/&gt;&lt;wsp:rsid wsp:val=&quot;003314A7&quot;/&gt;&lt;wsp:rsid wsp:val=&quot;00336F16&quot;/&gt;&lt;wsp:rsid wsp:val=&quot;003373AC&quot;/&gt;&lt;wsp:rsid wsp:val=&quot;00344B6A&quot;/&gt;&lt;wsp:rsid wsp:val=&quot;0036571C&quot;/&gt;&lt;wsp:rsid wsp:val=&quot;00366E9D&quot;/&gt;&lt;wsp:rsid wsp:val=&quot;0037021A&quot;/&gt;&lt;wsp:rsid wsp:val=&quot;00370DA3&quot;/&gt;&lt;wsp:rsid wsp:val=&quot;00371937&quot;/&gt;&lt;wsp:rsid wsp:val=&quot;00372F56&quot;/&gt;&lt;wsp:rsid wsp:val=&quot;00374999&quot;/&gt;&lt;wsp:rsid wsp:val=&quot;00374F94&quot;/&gt;&lt;wsp:rsid wsp:val=&quot;00376245&quot;/&gt;&lt;wsp:rsid wsp:val=&quot;0038158B&quot;/&gt;&lt;wsp:rsid wsp:val=&quot;003861F1&quot;/&gt;&lt;wsp:rsid wsp:val=&quot;00390841&quot;/&gt;&lt;wsp:rsid wsp:val=&quot;00392FCC&quot;/&gt;&lt;wsp:rsid wsp:val=&quot;00394863&quot;/&gt;&lt;wsp:rsid wsp:val=&quot;003A2967&quot;/&gt;&lt;wsp:rsid wsp:val=&quot;003A3BBC&quot;/&gt;&lt;wsp:rsid wsp:val=&quot;003A77EC&quot;/&gt;&lt;wsp:rsid wsp:val=&quot;003B4842&quot;/&gt;&lt;wsp:rsid wsp:val=&quot;003B6B07&quot;/&gt;&lt;wsp:rsid wsp:val=&quot;003C2712&quot;/&gt;&lt;wsp:rsid wsp:val=&quot;003C347F&quot;/&gt;&lt;wsp:rsid wsp:val=&quot;003D6DF3&quot;/&gt;&lt;wsp:rsid wsp:val=&quot;003E3983&quot;/&gt;&lt;wsp:rsid wsp:val=&quot;003F5763&quot;/&gt;&lt;wsp:rsid wsp:val=&quot;00400CF5&quot;/&gt;&lt;wsp:rsid wsp:val=&quot;004010BD&quot;/&gt;&lt;wsp:rsid wsp:val=&quot;00415D7C&quot;/&gt;&lt;wsp:rsid wsp:val=&quot;00425C69&quot;/&gt;&lt;wsp:rsid wsp:val=&quot;004301B1&quot;/&gt;&lt;wsp:rsid wsp:val=&quot;0043151B&quot;/&gt;&lt;wsp:rsid wsp:val=&quot;00440980&quot;/&gt;&lt;wsp:rsid wsp:val=&quot;00443D2D&quot;/&gt;&lt;wsp:rsid wsp:val=&quot;00445B0E&quot;/&gt;&lt;wsp:rsid wsp:val=&quot;00453458&quot;/&gt;&lt;wsp:rsid wsp:val=&quot;00467505&quot;/&gt;&lt;wsp:rsid wsp:val=&quot;004765A2&quot;/&gt;&lt;wsp:rsid wsp:val=&quot;00494D3B&quot;/&gt;&lt;wsp:rsid wsp:val=&quot;00495B11&quot;/&gt;&lt;wsp:rsid wsp:val=&quot;004A683A&quot;/&gt;&lt;wsp:rsid wsp:val=&quot;004A7708&quot;/&gt;&lt;wsp:rsid wsp:val=&quot;004B3692&quot;/&gt;&lt;wsp:rsid wsp:val=&quot;004D150C&quot;/&gt;&lt;wsp:rsid wsp:val=&quot;004D41BE&quot;/&gt;&lt;wsp:rsid wsp:val=&quot;004E1AB0&quot;/&gt;&lt;wsp:rsid wsp:val=&quot;004F22C7&quot;/&gt;&lt;wsp:rsid wsp:val=&quot;004F7738&quot;/&gt;&lt;wsp:rsid wsp:val=&quot;004F7C20&quot;/&gt;&lt;wsp:rsid wsp:val=&quot;00515C4D&quot;/&gt;&lt;wsp:rsid wsp:val=&quot;00515CD7&quot;/&gt;&lt;wsp:rsid wsp:val=&quot;005214F0&quot;/&gt;&lt;wsp:rsid wsp:val=&quot;00525B2F&quot;/&gt;&lt;wsp:rsid wsp:val=&quot;005419E7&quot;/&gt;&lt;wsp:rsid wsp:val=&quot;00543472&quot;/&gt;&lt;wsp:rsid wsp:val=&quot;005612EC&quot;/&gt;&lt;wsp:rsid wsp:val=&quot;00567B0D&quot;/&gt;&lt;wsp:rsid wsp:val=&quot;0057163B&quot;/&gt;&lt;wsp:rsid wsp:val=&quot;005721FF&quot;/&gt;&lt;wsp:rsid wsp:val=&quot;0058024A&quot;/&gt;&lt;wsp:rsid wsp:val=&quot;0058624C&quot;/&gt;&lt;wsp:rsid wsp:val=&quot;00594D34&quot;/&gt;&lt;wsp:rsid wsp:val=&quot;00595479&quot;/&gt;&lt;wsp:rsid wsp:val=&quot;005A7647&quot;/&gt;&lt;wsp:rsid wsp:val=&quot;005B2314&quot;/&gt;&lt;wsp:rsid wsp:val=&quot;005B3109&quot;/&gt;&lt;wsp:rsid wsp:val=&quot;005C2FBF&quot;/&gt;&lt;wsp:rsid wsp:val=&quot;005D0140&quot;/&gt;&lt;wsp:rsid wsp:val=&quot;005D65A5&quot;/&gt;&lt;wsp:rsid wsp:val=&quot;005E03D4&quot;/&gt;&lt;wsp:rsid wsp:val=&quot;005E1721&quot;/&gt;&lt;wsp:rsid wsp:val=&quot;005F0618&quot;/&gt;&lt;wsp:rsid wsp:val=&quot;00607F70&quot;/&gt;&lt;wsp:rsid wsp:val=&quot;0061058B&quot;/&gt;&lt;wsp:rsid wsp:val=&quot;00614654&quot;/&gt;&lt;wsp:rsid wsp:val=&quot;0061667A&quot;/&gt;&lt;wsp:rsid wsp:val=&quot;00617680&quot;/&gt;&lt;wsp:rsid wsp:val=&quot;006312C3&quot;/&gt;&lt;wsp:rsid wsp:val=&quot;00635E6A&quot;/&gt;&lt;wsp:rsid wsp:val=&quot;00636E11&quot;/&gt;&lt;wsp:rsid wsp:val=&quot;00650320&quot;/&gt;&lt;wsp:rsid wsp:val=&quot;0065077C&quot;/&gt;&lt;wsp:rsid wsp:val=&quot;006561A9&quot;/&gt;&lt;wsp:rsid wsp:val=&quot;00657BC3&quot;/&gt;&lt;wsp:rsid wsp:val=&quot;00661676&quot;/&gt;&lt;wsp:rsid wsp:val=&quot;00662010&quot;/&gt;&lt;wsp:rsid wsp:val=&quot;006746A9&quot;/&gt;&lt;wsp:rsid wsp:val=&quot;00677805&quot;/&gt;&lt;wsp:rsid wsp:val=&quot;0068478D&quot;/&gt;&lt;wsp:rsid wsp:val=&quot;00684EE9&quot;/&gt;&lt;wsp:rsid wsp:val=&quot;006B03A0&quot;/&gt;&lt;wsp:rsid wsp:val=&quot;006B07EC&quot;/&gt;&lt;wsp:rsid wsp:val=&quot;006B7D1D&quot;/&gt;&lt;wsp:rsid wsp:val=&quot;006D24B9&quot;/&gt;&lt;wsp:rsid wsp:val=&quot;006D3BE2&quot;/&gt;&lt;wsp:rsid wsp:val=&quot;006D3E5D&quot;/&gt;&lt;wsp:rsid wsp:val=&quot;006D68AE&quot;/&gt;&lt;wsp:rsid wsp:val=&quot;006E6858&quot;/&gt;&lt;wsp:rsid wsp:val=&quot;006F0911&quot;/&gt;&lt;wsp:rsid wsp:val=&quot;006F2EDA&quot;/&gt;&lt;wsp:rsid wsp:val=&quot;00707E01&quot;/&gt;&lt;wsp:rsid wsp:val=&quot;00710E65&quot;/&gt;&lt;wsp:rsid wsp:val=&quot;00712011&quot;/&gt;&lt;wsp:rsid wsp:val=&quot;007142E3&quot;/&gt;&lt;wsp:rsid wsp:val=&quot;00714C2D&quot;/&gt;&lt;wsp:rsid wsp:val=&quot;0071634B&quot;/&gt;&lt;wsp:rsid wsp:val=&quot;00717192&quot;/&gt;&lt;wsp:rsid wsp:val=&quot;00721CFE&quot;/&gt;&lt;wsp:rsid wsp:val=&quot;0072443D&quot;/&gt;&lt;wsp:rsid wsp:val=&quot;007258EE&quot;/&gt;&lt;wsp:rsid wsp:val=&quot;00731FA0&quot;/&gt;&lt;wsp:rsid wsp:val=&quot;00743494&quot;/&gt;&lt;wsp:rsid wsp:val=&quot;007524FE&quot;/&gt;&lt;wsp:rsid wsp:val=&quot;007643FB&quot;/&gt;&lt;wsp:rsid wsp:val=&quot;007710AD&quot;/&gt;&lt;wsp:rsid wsp:val=&quot;00775A44&quot;/&gt;&lt;wsp:rsid wsp:val=&quot;00775CAE&quot;/&gt;&lt;wsp:rsid wsp:val=&quot;00775FA2&quot;/&gt;&lt;wsp:rsid wsp:val=&quot;00783687&quot;/&gt;&lt;wsp:rsid wsp:val=&quot;00785785&quot;/&gt;&lt;wsp:rsid wsp:val=&quot;0079259F&quot;/&gt;&lt;wsp:rsid wsp:val=&quot;00793388&quot;/&gt;&lt;wsp:rsid wsp:val=&quot;007A0A19&quot;/&gt;&lt;wsp:rsid wsp:val=&quot;007B629A&quot;/&gt;&lt;wsp:rsid wsp:val=&quot;007B6658&quot;/&gt;&lt;wsp:rsid wsp:val=&quot;007D28BC&quot;/&gt;&lt;wsp:rsid wsp:val=&quot;007D38C8&quot;/&gt;&lt;wsp:rsid wsp:val=&quot;007E657E&quot;/&gt;&lt;wsp:rsid wsp:val=&quot;007F12AF&quot;/&gt;&lt;wsp:rsid wsp:val=&quot;007F36E6&quot;/&gt;&lt;wsp:rsid wsp:val=&quot;007F456D&quot;/&gt;&lt;wsp:rsid wsp:val=&quot;007F6524&quot;/&gt;&lt;wsp:rsid wsp:val=&quot;008043DE&quot;/&gt;&lt;wsp:rsid wsp:val=&quot;00807BF2&quot;/&gt;&lt;wsp:rsid wsp:val=&quot;00811BDA&quot;/&gt;&lt;wsp:rsid wsp:val=&quot;008147D2&quot;/&gt;&lt;wsp:rsid wsp:val=&quot;00827425&quot;/&gt;&lt;wsp:rsid wsp:val=&quot;008324E6&quot;/&gt;&lt;wsp:rsid wsp:val=&quot;0083346B&quot;/&gt;&lt;wsp:rsid wsp:val=&quot;008411CE&quot;/&gt;&lt;wsp:rsid wsp:val=&quot;00846ACE&quot;/&gt;&lt;wsp:rsid wsp:val=&quot;00851E11&quot;/&gt;&lt;wsp:rsid wsp:val=&quot;00852B82&quot;/&gt;&lt;wsp:rsid wsp:val=&quot;0085387A&quot;/&gt;&lt;wsp:rsid wsp:val=&quot;0087233D&quot;/&gt;&lt;wsp:rsid wsp:val=&quot;00884931&quot;/&gt;&lt;wsp:rsid wsp:val=&quot;00891C39&quot;/&gt;&lt;wsp:rsid wsp:val=&quot;008B4E39&quot;/&gt;&lt;wsp:rsid wsp:val=&quot;008C04F9&quot;/&gt;&lt;wsp:rsid wsp:val=&quot;008C3407&quot;/&gt;&lt;wsp:rsid wsp:val=&quot;008C7850&quot;/&gt;&lt;wsp:rsid wsp:val=&quot;008D4E8A&quot;/&gt;&lt;wsp:rsid wsp:val=&quot;008D5B5A&quot;/&gt;&lt;wsp:rsid wsp:val=&quot;008E2606&quot;/&gt;&lt;wsp:rsid wsp:val=&quot;008E2766&quot;/&gt;&lt;wsp:rsid wsp:val=&quot;008E4A27&quot;/&gt;&lt;wsp:rsid wsp:val=&quot;008E524F&quot;/&gt;&lt;wsp:rsid wsp:val=&quot;008F4EC2&quot;/&gt;&lt;wsp:rsid wsp:val=&quot;008F606C&quot;/&gt;&lt;wsp:rsid wsp:val=&quot;008F68D4&quot;/&gt;&lt;wsp:rsid wsp:val=&quot;008F70D8&quot;/&gt;&lt;wsp:rsid wsp:val=&quot;00903C27&quot;/&gt;&lt;wsp:rsid wsp:val=&quot;00904421&quot;/&gt;&lt;wsp:rsid wsp:val=&quot;009057A9&quot;/&gt;&lt;wsp:rsid wsp:val=&quot;00907088&quot;/&gt;&lt;wsp:rsid wsp:val=&quot;00910BF4&quot;/&gt;&lt;wsp:rsid wsp:val=&quot;00915B75&quot;/&gt;&lt;wsp:rsid wsp:val=&quot;00923C60&quot;/&gt;&lt;wsp:rsid wsp:val=&quot;009342EF&quot;/&gt;&lt;wsp:rsid wsp:val=&quot;00944D97&quot;/&gt;&lt;wsp:rsid wsp:val=&quot;00950158&quot;/&gt;&lt;wsp:rsid wsp:val=&quot;00963E8D&quot;/&gt;&lt;wsp:rsid wsp:val=&quot;00966D52&quot;/&gt;&lt;wsp:rsid wsp:val=&quot;00967297&quot;/&gt;&lt;wsp:rsid wsp:val=&quot;00967624&quot;/&gt;&lt;wsp:rsid wsp:val=&quot;00971AEA&quot;/&gt;&lt;wsp:rsid wsp:val=&quot;00975DAC&quot;/&gt;&lt;wsp:rsid wsp:val=&quot;0097680E&quot;/&gt;&lt;wsp:rsid wsp:val=&quot;00977462&quot;/&gt;&lt;wsp:rsid wsp:val=&quot;00981324&quot;/&gt;&lt;wsp:rsid wsp:val=&quot;00982600&quot;/&gt;&lt;wsp:rsid wsp:val=&quot;00990033&quot;/&gt;&lt;wsp:rsid wsp:val=&quot;009907CA&quot;/&gt;&lt;wsp:rsid wsp:val=&quot;00990C0D&quot;/&gt;&lt;wsp:rsid wsp:val=&quot;00993EFA&quot;/&gt;&lt;wsp:rsid wsp:val=&quot;00997268&quot;/&gt;&lt;wsp:rsid wsp:val=&quot;009B4EDB&quot;/&gt;&lt;wsp:rsid wsp:val=&quot;009C019D&quot;/&gt;&lt;wsp:rsid wsp:val=&quot;009C1ED3&quot;/&gt;&lt;wsp:rsid wsp:val=&quot;009C6E1E&quot;/&gt;&lt;wsp:rsid wsp:val=&quot;009C7474&quot;/&gt;&lt;wsp:rsid wsp:val=&quot;009D2930&quot;/&gt;&lt;wsp:rsid wsp:val=&quot;009D5279&quot;/&gt;&lt;wsp:rsid wsp:val=&quot;009E3EDE&quot;/&gt;&lt;wsp:rsid wsp:val=&quot;009E54B2&quot;/&gt;&lt;wsp:rsid wsp:val=&quot;00A10D09&quot;/&gt;&lt;wsp:rsid wsp:val=&quot;00A10E6F&quot;/&gt;&lt;wsp:rsid wsp:val=&quot;00A16B34&quot;/&gt;&lt;wsp:rsid wsp:val=&quot;00A24D82&quot;/&gt;&lt;wsp:rsid wsp:val=&quot;00A26142&quot;/&gt;&lt;wsp:rsid wsp:val=&quot;00A35A86&quot;/&gt;&lt;wsp:rsid wsp:val=&quot;00A37AE4&quot;/&gt;&lt;wsp:rsid wsp:val=&quot;00A41CDA&quot;/&gt;&lt;wsp:rsid wsp:val=&quot;00A44B0A&quot;/&gt;&lt;wsp:rsid wsp:val=&quot;00A45305&quot;/&gt;&lt;wsp:rsid wsp:val=&quot;00A470B4&quot;/&gt;&lt;wsp:rsid wsp:val=&quot;00A6273F&quot;/&gt;&lt;wsp:rsid wsp:val=&quot;00A76A29&quot;/&gt;&lt;wsp:rsid wsp:val=&quot;00A82AFF&quot;/&gt;&lt;wsp:rsid wsp:val=&quot;00A84771&quot;/&gt;&lt;wsp:rsid wsp:val=&quot;00A86DBB&quot;/&gt;&lt;wsp:rsid wsp:val=&quot;00A926A2&quot;/&gt;&lt;wsp:rsid wsp:val=&quot;00A928F4&quot;/&gt;&lt;wsp:rsid wsp:val=&quot;00AB2707&quot;/&gt;&lt;wsp:rsid wsp:val=&quot;00AB5ABB&quot;/&gt;&lt;wsp:rsid wsp:val=&quot;00AC5323&quot;/&gt;&lt;wsp:rsid wsp:val=&quot;00AD1376&quot;/&gt;&lt;wsp:rsid wsp:val=&quot;00AE0E5D&quot;/&gt;&lt;wsp:rsid wsp:val=&quot;00AF0C88&quot;/&gt;&lt;wsp:rsid wsp:val=&quot;00AF6311&quot;/&gt;&lt;wsp:rsid wsp:val=&quot;00B002FF&quot;/&gt;&lt;wsp:rsid wsp:val=&quot;00B01727&quot;/&gt;&lt;wsp:rsid wsp:val=&quot;00B07DBA&quot;/&gt;&lt;wsp:rsid wsp:val=&quot;00B154CF&quot;/&gt;&lt;wsp:rsid wsp:val=&quot;00B21256&quot;/&gt;&lt;wsp:rsid wsp:val=&quot;00B223B1&quot;/&gt;&lt;wsp:rsid wsp:val=&quot;00B238D2&quot;/&gt;&lt;wsp:rsid wsp:val=&quot;00B347CE&quot;/&gt;&lt;wsp:rsid wsp:val=&quot;00B360D8&quot;/&gt;&lt;wsp:rsid wsp:val=&quot;00B56BA1&quot;/&gt;&lt;wsp:rsid wsp:val=&quot;00B62EA2&quot;/&gt;&lt;wsp:rsid wsp:val=&quot;00B704E4&quot;/&gt;&lt;wsp:rsid wsp:val=&quot;00B70B6D&quot;/&gt;&lt;wsp:rsid wsp:val=&quot;00B82C0F&quot;/&gt;&lt;wsp:rsid wsp:val=&quot;00B83166&quot;/&gt;&lt;wsp:rsid wsp:val=&quot;00B86A35&quot;/&gt;&lt;wsp:rsid wsp:val=&quot;00B9158B&quot;/&gt;&lt;wsp:rsid wsp:val=&quot;00B922BF&quot;/&gt;&lt;wsp:rsid wsp:val=&quot;00B9512C&quot;/&gt;&lt;wsp:rsid wsp:val=&quot;00BA7991&quot;/&gt;&lt;wsp:rsid wsp:val=&quot;00BB0477&quot;/&gt;&lt;wsp:rsid wsp:val=&quot;00BB1AF6&quot;/&gt;&lt;wsp:rsid wsp:val=&quot;00BB3EAF&quot;/&gt;&lt;wsp:rsid wsp:val=&quot;00BC061B&quot;/&gt;&lt;wsp:rsid wsp:val=&quot;00BC0A1E&quot;/&gt;&lt;wsp:rsid wsp:val=&quot;00BC46BF&quot;/&gt;&lt;wsp:rsid wsp:val=&quot;00BC77DC&quot;/&gt;&lt;wsp:rsid wsp:val=&quot;00BD1A8E&quot;/&gt;&lt;wsp:rsid wsp:val=&quot;00BD4CFD&quot;/&gt;&lt;wsp:rsid wsp:val=&quot;00BD5815&quot;/&gt;&lt;wsp:rsid wsp:val=&quot;00BE226E&quot;/&gt;&lt;wsp:rsid wsp:val=&quot;00BE38A8&quot;/&gt;&lt;wsp:rsid wsp:val=&quot;00BE5549&quot;/&gt;&lt;wsp:rsid wsp:val=&quot;00BF0AE5&quot;/&gt;&lt;wsp:rsid wsp:val=&quot;00BF0D39&quot;/&gt;&lt;wsp:rsid wsp:val=&quot;00BF494C&quot;/&gt;&lt;wsp:rsid wsp:val=&quot;00BF6362&quot;/&gt;&lt;wsp:rsid wsp:val=&quot;00C00FA3&quot;/&gt;&lt;wsp:rsid wsp:val=&quot;00C045B3&quot;/&gt;&lt;wsp:rsid wsp:val=&quot;00C051CD&quot;/&gt;&lt;wsp:rsid wsp:val=&quot;00C108CD&quot;/&gt;&lt;wsp:rsid wsp:val=&quot;00C15FBC&quot;/&gt;&lt;wsp:rsid wsp:val=&quot;00C22F8B&quot;/&gt;&lt;wsp:rsid wsp:val=&quot;00C35021&quot;/&gt;&lt;wsp:rsid wsp:val=&quot;00C42A86&quot;/&gt;&lt;wsp:rsid wsp:val=&quot;00C50610&quot;/&gt;&lt;wsp:rsid wsp:val=&quot;00C51824&quot;/&gt;&lt;wsp:rsid wsp:val=&quot;00C53E3A&quot;/&gt;&lt;wsp:rsid wsp:val=&quot;00C5603D&quot;/&gt;&lt;wsp:rsid wsp:val=&quot;00C643C4&quot;/&gt;&lt;wsp:rsid wsp:val=&quot;00C665E3&quot;/&gt;&lt;wsp:rsid wsp:val=&quot;00C72BFC&quot;/&gt;&lt;wsp:rsid wsp:val=&quot;00C72E4E&quot;/&gt;&lt;wsp:rsid wsp:val=&quot;00C73610&quot;/&gt;&lt;wsp:rsid wsp:val=&quot;00C753FA&quot;/&gt;&lt;wsp:rsid wsp:val=&quot;00C86506&quot;/&gt;&lt;wsp:rsid wsp:val=&quot;00CA4A2F&quot;/&gt;&lt;wsp:rsid wsp:val=&quot;00CA697D&quot;/&gt;&lt;wsp:rsid wsp:val=&quot;00CA6C3F&quot;/&gt;&lt;wsp:rsid wsp:val=&quot;00CB4C92&quot;/&gt;&lt;wsp:rsid wsp:val=&quot;00CC5E47&quot;/&gt;&lt;wsp:rsid wsp:val=&quot;00CC6CD2&quot;/&gt;&lt;wsp:rsid wsp:val=&quot;00CD2839&quot;/&gt;&lt;wsp:rsid wsp:val=&quot;00CF3C30&quot;/&gt;&lt;wsp:rsid wsp:val=&quot;00D04D91&quot;/&gt;&lt;wsp:rsid wsp:val=&quot;00D12BB3&quot;/&gt;&lt;wsp:rsid wsp:val=&quot;00D244E9&quot;/&gt;&lt;wsp:rsid wsp:val=&quot;00D24BF6&quot;/&gt;&lt;wsp:rsid wsp:val=&quot;00D26489&quot;/&gt;&lt;wsp:rsid wsp:val=&quot;00D31BFE&quot;/&gt;&lt;wsp:rsid wsp:val=&quot;00D334D7&quot;/&gt;&lt;wsp:rsid wsp:val=&quot;00D34600&quot;/&gt;&lt;wsp:rsid wsp:val=&quot;00D34CE5&quot;/&gt;&lt;wsp:rsid wsp:val=&quot;00D35B8C&quot;/&gt;&lt;wsp:rsid wsp:val=&quot;00D37D4A&quot;/&gt;&lt;wsp:rsid wsp:val=&quot;00D42F4E&quot;/&gt;&lt;wsp:rsid wsp:val=&quot;00D54798&quot;/&gt;&lt;wsp:rsid wsp:val=&quot;00D5522D&quot;/&gt;&lt;wsp:rsid wsp:val=&quot;00D61022&quot;/&gt;&lt;wsp:rsid wsp:val=&quot;00D66585&quot;/&gt;&lt;wsp:rsid wsp:val=&quot;00D678F7&quot;/&gt;&lt;wsp:rsid wsp:val=&quot;00D74769&quot;/&gt;&lt;wsp:rsid wsp:val=&quot;00D76480&quot;/&gt;&lt;wsp:rsid wsp:val=&quot;00D90DD0&quot;/&gt;&lt;wsp:rsid wsp:val=&quot;00D93096&quot;/&gt;&lt;wsp:rsid wsp:val=&quot;00DA37CF&quot;/&gt;&lt;wsp:rsid wsp:val=&quot;00DB651D&quot;/&gt;&lt;wsp:rsid wsp:val=&quot;00DB6AE4&quot;/&gt;&lt;wsp:rsid wsp:val=&quot;00DD09E8&quot;/&gt;&lt;wsp:rsid wsp:val=&quot;00DD5F0D&quot;/&gt;&lt;wsp:rsid wsp:val=&quot;00DE5694&quot;/&gt;&lt;wsp:rsid wsp:val=&quot;00DF2EAE&quot;/&gt;&lt;wsp:rsid wsp:val=&quot;00DF71FE&quot;/&gt;&lt;wsp:rsid wsp:val=&quot;00E02008&quot;/&gt;&lt;wsp:rsid wsp:val=&quot;00E16BAB&quot;/&gt;&lt;wsp:rsid wsp:val=&quot;00E20778&quot;/&gt;&lt;wsp:rsid wsp:val=&quot;00E22A2B&quot;/&gt;&lt;wsp:rsid wsp:val=&quot;00E2583D&quot;/&gt;&lt;wsp:rsid wsp:val=&quot;00E26D7B&quot;/&gt;&lt;wsp:rsid wsp:val=&quot;00E339A6&quot;/&gt;&lt;wsp:rsid wsp:val=&quot;00E33F16&quot;/&gt;&lt;wsp:rsid wsp:val=&quot;00E433DB&quot;/&gt;&lt;wsp:rsid wsp:val=&quot;00E44C9B&quot;/&gt;&lt;wsp:rsid wsp:val=&quot;00E45862&quot;/&gt;&lt;wsp:rsid wsp:val=&quot;00E64449&quot;/&gt;&lt;wsp:rsid wsp:val=&quot;00E66D0F&quot;/&gt;&lt;wsp:rsid wsp:val=&quot;00E67E10&quot;/&gt;&lt;wsp:rsid wsp:val=&quot;00E727AC&quot;/&gt;&lt;wsp:rsid wsp:val=&quot;00E80D43&quot;/&gt;&lt;wsp:rsid wsp:val=&quot;00E85FCD&quot;/&gt;&lt;wsp:rsid wsp:val=&quot;00E87E83&quot;/&gt;&lt;wsp:rsid wsp:val=&quot;00E91E1D&quot;/&gt;&lt;wsp:rsid wsp:val=&quot;00E921B8&quot;/&gt;&lt;wsp:rsid wsp:val=&quot;00EA45A4&quot;/&gt;&lt;wsp:rsid wsp:val=&quot;00EB667F&quot;/&gt;&lt;wsp:rsid wsp:val=&quot;00EB67CA&quot;/&gt;&lt;wsp:rsid wsp:val=&quot;00EB6A28&quot;/&gt;&lt;wsp:rsid wsp:val=&quot;00EC3680&quot;/&gt;&lt;wsp:rsid wsp:val=&quot;00ED1DB2&quot;/&gt;&lt;wsp:rsid wsp:val=&quot;00ED3C0D&quot;/&gt;&lt;wsp:rsid wsp:val=&quot;00EE097D&quot;/&gt;&lt;wsp:rsid wsp:val=&quot;00EF1D8D&quot;/&gt;&lt;wsp:rsid wsp:val=&quot;00F00CAD&quot;/&gt;&lt;wsp:rsid wsp:val=&quot;00F14C4E&quot;/&gt;&lt;wsp:rsid wsp:val=&quot;00F21E3A&quot;/&gt;&lt;wsp:rsid wsp:val=&quot;00F26765&quot;/&gt;&lt;wsp:rsid wsp:val=&quot;00F26D4C&quot;/&gt;&lt;wsp:rsid wsp:val=&quot;00F338DA&quot;/&gt;&lt;wsp:rsid wsp:val=&quot;00F42F66&quot;/&gt;&lt;wsp:rsid wsp:val=&quot;00F44B19&quot;/&gt;&lt;wsp:rsid wsp:val=&quot;00F44E87&quot;/&gt;&lt;wsp:rsid wsp:val=&quot;00F54331&quot;/&gt;&lt;wsp:rsid wsp:val=&quot;00F5479D&quot;/&gt;&lt;wsp:rsid wsp:val=&quot;00F56B0A&quot;/&gt;&lt;wsp:rsid wsp:val=&quot;00F6100D&quot;/&gt;&lt;wsp:rsid wsp:val=&quot;00F6697A&quot;/&gt;&lt;wsp:rsid wsp:val=&quot;00F77B54&quot;/&gt;&lt;wsp:rsid wsp:val=&quot;00F83771&quot;/&gt;&lt;wsp:rsid wsp:val=&quot;00F83A7C&quot;/&gt;&lt;wsp:rsid wsp:val=&quot;00F86F0B&quot;/&gt;&lt;wsp:rsid wsp:val=&quot;00F91DA6&quot;/&gt;&lt;wsp:rsid wsp:val=&quot;00FA4526&quot;/&gt;&lt;wsp:rsid wsp:val=&quot;00FA4EB0&quot;/&gt;&lt;wsp:rsid wsp:val=&quot;00FC1022&quot;/&gt;&lt;wsp:rsid wsp:val=&quot;00FD0EB9&quot;/&gt;&lt;wsp:rsid wsp:val=&quot;00FE7C5F&quot;/&gt;&lt;/wsp:rsids&gt;&lt;/w:docPr&gt;&lt;w:body&gt;&lt;w:p wsp:rsidR=&quot;00000000&quot; wsp:rsidRDefault=&quot;006D68AE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 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5C4CFC" w:rsidRDefault="00A266A7" w:rsidP="005C4CFC">
      <w:pPr>
        <w:pStyle w:val="Odsekzoznamu"/>
        <w:widowControl w:val="0"/>
        <w:numPr>
          <w:ilvl w:val="2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5C4CFC">
        <w:rPr>
          <w:rFonts w:ascii="Times New Roman" w:hAnsi="Times New Roman" w:cs="Times New Roman"/>
          <w:b/>
          <w:sz w:val="24"/>
        </w:rPr>
        <w:t>HA</w:t>
      </w:r>
    </w:p>
    <w:p w:rsidR="00A266A7" w:rsidRPr="006645E1" w:rsidRDefault="00A266A7" w:rsidP="00A266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66A7" w:rsidRPr="006645E1" w:rsidRDefault="00A266A7" w:rsidP="00A266A7">
      <w:pPr>
        <w:pStyle w:val="Odsekzoznamu"/>
        <w:ind w:left="426"/>
        <w:rPr>
          <w:rFonts w:ascii="Times New Roman" w:hAnsi="Times New Roman" w:cs="Times New Roman"/>
          <w:sz w:val="24"/>
        </w:rPr>
      </w:pPr>
      <w:r w:rsidRPr="006645E1">
        <w:rPr>
          <w:rFonts w:ascii="Times New Roman" w:hAnsi="Times New Roman" w:cs="Times New Roman"/>
          <w:sz w:val="24"/>
        </w:rPr>
        <w:t>Na účely výpočtu AR sa vzhľadom na škodlivý účinok HA použijú tieto vzťahy dávka – účinok:</w:t>
      </w:r>
    </w:p>
    <w:p w:rsidR="00A266A7" w:rsidRPr="00A266A7" w:rsidRDefault="00B20E1B" w:rsidP="00A266A7">
      <w:pPr>
        <w:pStyle w:val="Odsekzoznamu"/>
        <w:ind w:left="0"/>
        <w:jc w:val="right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 w:val="24"/>
                <w:szCs w:val="24"/>
              </w:rPr>
              <m:t>cestn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á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doprava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type m:val="skw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(78,9270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3,1162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dvn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+ 0,0342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dvn</m:t>
                    </m:r>
                  </m:sub>
                </m:sSub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100      </m:t>
            </m:r>
          </m:den>
        </m:f>
      </m:oMath>
      <w:r w:rsidR="00A266A7" w:rsidRPr="006645E1">
        <w:rPr>
          <w:rFonts w:ascii="Times New Roman" w:hAnsi="Times New Roman" w:cs="Times New Roman"/>
          <w:sz w:val="24"/>
        </w:rPr>
        <w:t>(vzorec 4)</w:t>
      </w:r>
    </w:p>
    <w:p w:rsidR="00A266A7" w:rsidRPr="00A266A7" w:rsidRDefault="00A266A7" w:rsidP="006645E1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>pre hluk z cestnej dopravy,</w:t>
      </w:r>
    </w:p>
    <w:p w:rsidR="00A266A7" w:rsidRPr="00A266A7" w:rsidRDefault="00B20E1B" w:rsidP="00A266A7">
      <w:pPr>
        <w:widowControl w:val="0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ž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elezni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č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á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doprava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type m:val="skw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38,1596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2,05538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dvn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+ 0,0285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dvn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A266A7" w:rsidRPr="00A266A7" w:rsidRDefault="00A266A7" w:rsidP="00A266A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>(vzorec 5)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>pre hluk zo železničnej dopravy,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B20E1B" w:rsidP="00A266A7">
      <w:pPr>
        <w:widowControl w:val="0"/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leteck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á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doprava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type m:val="skw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50,9693+1,0168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dvn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+0,0072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dvn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100</m:t>
            </m:r>
          </m:den>
        </m:f>
      </m:oMath>
      <w:r w:rsidR="00A266A7" w:rsidRPr="00A266A7">
        <w:rPr>
          <w:rFonts w:ascii="Times New Roman" w:hAnsi="Times New Roman" w:cs="Times New Roman"/>
          <w:sz w:val="24"/>
          <w:szCs w:val="24"/>
        </w:rPr>
        <w:t xml:space="preserve">  (vzorec 6)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>pre hluk z leteckej dopravy.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5C4CFC" w:rsidRDefault="00A266A7" w:rsidP="005C4CFC">
      <w:pPr>
        <w:pStyle w:val="Odsekzoznamu"/>
        <w:widowControl w:val="0"/>
        <w:numPr>
          <w:ilvl w:val="3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5C4CFC">
        <w:rPr>
          <w:rFonts w:ascii="Times New Roman" w:hAnsi="Times New Roman" w:cs="Times New Roman"/>
          <w:b/>
          <w:sz w:val="24"/>
        </w:rPr>
        <w:t>HSD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>Na účely výpočtu AR sa vzhľadom na škodlivý účinok HSD použijú tieto vzťahy dávka – účinok: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B20E1B" w:rsidP="00A266A7">
      <w:pPr>
        <w:widowControl w:val="0"/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AR</m:t>
            </m:r>
          </m:e>
          <m:sub>
            <m:r>
              <w:rPr>
                <w:rFonts w:ascii="Cambria Math" w:hAnsi="Cambria Math" w:cs="Times New Roman"/>
                <w:szCs w:val="24"/>
              </w:rPr>
              <m:t>HSD</m:t>
            </m:r>
            <m:r>
              <w:rPr>
                <w:rFonts w:ascii="Cambria Math" w:hAnsi="Times New Roman" w:cs="Times New Roman"/>
                <w:szCs w:val="24"/>
              </w:rPr>
              <m:t xml:space="preserve">,   </m:t>
            </m:r>
            <m:r>
              <w:rPr>
                <w:rFonts w:ascii="Cambria Math" w:hAnsi="Cambria Math" w:cs="Times New Roman"/>
                <w:szCs w:val="24"/>
              </w:rPr>
              <m:t>cestn</m:t>
            </m:r>
            <m:r>
              <w:rPr>
                <w:rFonts w:ascii="Cambria Math" w:hAnsi="Times New Roman" w:cs="Times New Roman"/>
                <w:szCs w:val="24"/>
              </w:rPr>
              <m:t>á</m:t>
            </m:r>
            <m:r>
              <w:rPr>
                <w:rFonts w:ascii="Cambria Math" w:hAnsi="Times New Roman" w:cs="Times New Roman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0"/>
                <w:szCs w:val="24"/>
              </w:rPr>
              <m:t>doprava</m:t>
            </m:r>
          </m:sub>
        </m:sSub>
        <m:r>
          <w:rPr>
            <w:rFonts w:ascii="Cambria Math" w:hAnsi="Times New Roman" w:cs="Times New Roman"/>
            <w:szCs w:val="24"/>
          </w:rPr>
          <m:t xml:space="preserve">= </m:t>
        </m:r>
        <m:f>
          <m:fPr>
            <m:type m:val="skw"/>
            <m:ctrlPr>
              <w:rPr>
                <w:rFonts w:ascii="Cambria Math" w:hAnsi="Times New Roman" w:cs="Times New Roman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Cs w:val="24"/>
                  </w:rPr>
                  <m:t>19,4312</m:t>
                </m:r>
                <m:r>
                  <w:rPr>
                    <w:rFonts w:ascii="Cambria Math" w:hAnsi="Times New Roman" w:cs="Times New Roman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Cs w:val="24"/>
                  </w:rPr>
                  <m:t>0,9336</m:t>
                </m:r>
                <m:r>
                  <w:rPr>
                    <w:rFonts w:ascii="Cambria Math" w:hAnsi="Cambria Math" w:cs="Times New Roman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noc</m:t>
                    </m:r>
                  </m:sub>
                </m:sSub>
                <m:r>
                  <w:rPr>
                    <w:rFonts w:ascii="Cambria Math" w:hAnsi="Times New Roman" w:cs="Times New Roman"/>
                    <w:szCs w:val="24"/>
                  </w:rPr>
                  <m:t>+0,0126</m:t>
                </m:r>
                <m:r>
                  <w:rPr>
                    <w:rFonts w:ascii="Cambria Math" w:hAnsi="Cambria Math" w:cs="Times New Roman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noc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Times New Roman" w:cs="Times New Roman"/>
                <w:szCs w:val="24"/>
              </w:rPr>
              <m:t>100</m:t>
            </m:r>
          </m:den>
        </m:f>
      </m:oMath>
      <w:r w:rsidR="00A266A7" w:rsidRPr="00A266A7">
        <w:rPr>
          <w:rFonts w:ascii="Times New Roman" w:hAnsi="Times New Roman" w:cs="Times New Roman"/>
          <w:sz w:val="24"/>
          <w:szCs w:val="24"/>
        </w:rPr>
        <w:t xml:space="preserve">            (vzorec 7)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>pre hluk z cestnej dopravy,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B20E1B" w:rsidP="00A266A7">
      <w:pPr>
        <w:widowControl w:val="0"/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AR</m:t>
            </m:r>
          </m:e>
          <m:sub>
            <m:r>
              <w:rPr>
                <w:rFonts w:ascii="Cambria Math" w:hAnsi="Cambria Math" w:cs="Times New Roman"/>
                <w:szCs w:val="24"/>
              </w:rPr>
              <m:t>HSD</m:t>
            </m:r>
            <m:r>
              <w:rPr>
                <w:rFonts w:ascii="Cambria Math" w:hAnsi="Times New Roman" w:cs="Times New Roman"/>
                <w:szCs w:val="24"/>
              </w:rPr>
              <m:t xml:space="preserve">,   </m:t>
            </m:r>
            <m:r>
              <w:rPr>
                <w:rFonts w:ascii="Cambria Math" w:hAnsi="Times New Roman" w:cs="Times New Roman"/>
                <w:szCs w:val="24"/>
              </w:rPr>
              <m:t>ž</m:t>
            </m:r>
            <m:r>
              <w:rPr>
                <w:rFonts w:ascii="Cambria Math" w:hAnsi="Cambria Math" w:cs="Times New Roman"/>
                <w:szCs w:val="24"/>
              </w:rPr>
              <m:t>elezni</m:t>
            </m:r>
            <m:r>
              <w:rPr>
                <w:rFonts w:ascii="Cambria Math" w:hAnsi="Times New Roman" w:cs="Times New Roman"/>
                <w:szCs w:val="24"/>
              </w:rPr>
              <m:t>č</m:t>
            </m:r>
            <m:r>
              <w:rPr>
                <w:rFonts w:ascii="Cambria Math" w:hAnsi="Cambria Math" w:cs="Times New Roman"/>
                <w:szCs w:val="24"/>
              </w:rPr>
              <m:t>n</m:t>
            </m:r>
            <m:r>
              <w:rPr>
                <w:rFonts w:ascii="Cambria Math" w:hAnsi="Times New Roman" w:cs="Times New Roman"/>
                <w:szCs w:val="24"/>
              </w:rPr>
              <m:t>á</m:t>
            </m:r>
            <m:r>
              <w:rPr>
                <w:rFonts w:ascii="Cambria Math" w:hAnsi="Times New Roman" w:cs="Times New Roman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Cs w:val="24"/>
              </w:rPr>
              <m:t>doprava</m:t>
            </m:r>
          </m:sub>
        </m:sSub>
        <m:r>
          <w:rPr>
            <w:rFonts w:ascii="Cambria Math" w:hAnsi="Times New Roman" w:cs="Times New Roman"/>
            <w:szCs w:val="24"/>
          </w:rPr>
          <m:t>=</m:t>
        </m:r>
        <m:f>
          <m:fPr>
            <m:type m:val="skw"/>
            <m:ctrlPr>
              <w:rPr>
                <w:rFonts w:ascii="Cambria Math" w:hAnsi="Times New Roman" w:cs="Times New Roman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Cs w:val="24"/>
                  </w:rPr>
                  <m:t>67,5406</m:t>
                </m:r>
                <m:r>
                  <w:rPr>
                    <w:rFonts w:ascii="Cambria Math" w:hAnsi="Times New Roman" w:cs="Times New Roman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Cs w:val="24"/>
                  </w:rPr>
                  <m:t>3,1852</m:t>
                </m:r>
                <m:r>
                  <w:rPr>
                    <w:rFonts w:ascii="Cambria Math" w:hAnsi="Cambria Math" w:cs="Times New Roman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noc</m:t>
                    </m:r>
                  </m:sub>
                </m:sSub>
                <m:r>
                  <w:rPr>
                    <w:rFonts w:ascii="Cambria Math" w:hAnsi="Times New Roman" w:cs="Times New Roman"/>
                    <w:szCs w:val="24"/>
                  </w:rPr>
                  <m:t>+0,0391</m:t>
                </m:r>
                <m:r>
                  <w:rPr>
                    <w:rFonts w:ascii="Cambria Math" w:hAnsi="Cambria Math" w:cs="Times New Roman"/>
                    <w:szCs w:val="24"/>
                  </w:rPr>
                  <m:t>*</m:t>
                </m:r>
                <m:r>
                  <w:rPr>
                    <w:rFonts w:ascii="Cambria Math" w:hAnsi="Times New Roman" w:cs="Times New Roman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noc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Times New Roman" w:cs="Times New Roman"/>
                <w:szCs w:val="24"/>
              </w:rPr>
              <m:t>100</m:t>
            </m:r>
          </m:den>
        </m:f>
      </m:oMath>
      <w:r w:rsidR="00A266A7" w:rsidRPr="00A266A7">
        <w:rPr>
          <w:rFonts w:ascii="Times New Roman" w:hAnsi="Times New Roman" w:cs="Times New Roman"/>
          <w:sz w:val="24"/>
          <w:szCs w:val="24"/>
        </w:rPr>
        <w:t xml:space="preserve">     (vzorec 8)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>pre hluk zo železničnej dopravy,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B20E1B" w:rsidP="00A266A7">
      <w:pPr>
        <w:widowControl w:val="0"/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AR</m:t>
            </m:r>
          </m:e>
          <m:sub>
            <m:r>
              <w:rPr>
                <w:rFonts w:ascii="Cambria Math" w:hAnsi="Cambria Math" w:cs="Times New Roman"/>
                <w:szCs w:val="24"/>
              </w:rPr>
              <m:t>HSD</m:t>
            </m:r>
            <m:r>
              <w:rPr>
                <w:rFonts w:ascii="Cambria Math" w:hAnsi="Times New Roman" w:cs="Times New Roman"/>
                <w:szCs w:val="24"/>
              </w:rPr>
              <m:t xml:space="preserve">, </m:t>
            </m:r>
            <m:r>
              <w:rPr>
                <w:rFonts w:ascii="Cambria Math" w:hAnsi="Cambria Math" w:cs="Times New Roman"/>
                <w:szCs w:val="24"/>
              </w:rPr>
              <m:t>leteck</m:t>
            </m:r>
            <m:r>
              <w:rPr>
                <w:rFonts w:ascii="Cambria Math" w:hAnsi="Times New Roman" w:cs="Times New Roman"/>
                <w:szCs w:val="24"/>
              </w:rPr>
              <m:t>á</m:t>
            </m:r>
            <m:r>
              <w:rPr>
                <w:rFonts w:ascii="Cambria Math" w:hAnsi="Times New Roman" w:cs="Times New Roman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Cs w:val="24"/>
              </w:rPr>
              <m:t>doprava</m:t>
            </m:r>
          </m:sub>
        </m:sSub>
        <m:r>
          <w:rPr>
            <w:rFonts w:ascii="Cambria Math" w:hAnsi="Times New Roman" w:cs="Times New Roman"/>
            <w:szCs w:val="24"/>
          </w:rPr>
          <m:t xml:space="preserve">= </m:t>
        </m:r>
        <m:f>
          <m:fPr>
            <m:type m:val="skw"/>
            <m:ctrlPr>
              <w:rPr>
                <w:rFonts w:ascii="Cambria Math" w:hAnsi="Times New Roman" w:cs="Times New Roman"/>
                <w:i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Cs w:val="24"/>
                  </w:rPr>
                  <m:t>16,7885</m:t>
                </m:r>
                <m:r>
                  <w:rPr>
                    <w:rFonts w:ascii="Cambria Math" w:hAnsi="Times New Roman" w:cs="Times New Roman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Cs w:val="24"/>
                  </w:rPr>
                  <m:t>0,9293</m:t>
                </m:r>
                <m:r>
                  <w:rPr>
                    <w:rFonts w:ascii="Cambria Math" w:hAnsi="Cambria Math" w:cs="Times New Roman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4"/>
                      </w:rPr>
                      <m:t>noc</m:t>
                    </m:r>
                  </m:sub>
                </m:sSub>
                <m:r>
                  <w:rPr>
                    <w:rFonts w:ascii="Cambria Math" w:hAnsi="Times New Roman" w:cs="Times New Roman"/>
                    <w:szCs w:val="24"/>
                  </w:rPr>
                  <m:t>+0,0198</m:t>
                </m:r>
                <m:r>
                  <w:rPr>
                    <w:rFonts w:ascii="Cambria Math" w:hAnsi="Cambria Math" w:cs="Times New Roman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noc</m:t>
                        </m:r>
                      </m:sub>
                    </m:sSub>
                  </m:e>
                  <m:sup>
                    <m:r>
                      <w:rPr>
                        <w:rFonts w:ascii="Cambria Math" w:hAnsi="Times New Roman" w:cs="Times New Roman"/>
                        <w:szCs w:val="24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Times New Roman" w:cs="Times New Roman"/>
                <w:szCs w:val="24"/>
              </w:rPr>
              <m:t>100</m:t>
            </m:r>
          </m:den>
        </m:f>
        <m:r>
          <w:rPr>
            <w:rFonts w:ascii="Cambria Math" w:hAnsi="Times New Roman" w:cs="Times New Roman"/>
            <w:szCs w:val="24"/>
          </w:rPr>
          <m:t xml:space="preserve"> </m:t>
        </m:r>
      </m:oMath>
      <w:r w:rsidR="00A266A7" w:rsidRPr="00A266A7">
        <w:rPr>
          <w:rFonts w:ascii="Times New Roman" w:hAnsi="Times New Roman" w:cs="Times New Roman"/>
          <w:szCs w:val="24"/>
        </w:rPr>
        <w:t xml:space="preserve">             (vzorec 9)</w:t>
      </w:r>
    </w:p>
    <w:p w:rsidR="00A266A7" w:rsidRPr="006645E1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45E1">
        <w:rPr>
          <w:rFonts w:ascii="Times New Roman" w:hAnsi="Times New Roman" w:cs="Times New Roman"/>
          <w:sz w:val="24"/>
          <w:szCs w:val="24"/>
        </w:rPr>
        <w:t>pre hluk z leteckej dopravy.</w:t>
      </w:r>
    </w:p>
    <w:p w:rsidR="00A266A7" w:rsidRPr="006645E1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6645E1" w:rsidRDefault="00A266A7" w:rsidP="00A266A7">
      <w:pPr>
        <w:pStyle w:val="Odsekzoznamu"/>
        <w:widowControl w:val="0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5E1">
        <w:rPr>
          <w:rFonts w:ascii="Times New Roman" w:hAnsi="Times New Roman" w:cs="Times New Roman"/>
          <w:b/>
          <w:sz w:val="24"/>
          <w:szCs w:val="24"/>
        </w:rPr>
        <w:t>Posúdenie škodlivých účinkov</w:t>
      </w:r>
    </w:p>
    <w:p w:rsidR="00A266A7" w:rsidRPr="006645E1" w:rsidRDefault="00A266A7" w:rsidP="00A266A7">
      <w:pPr>
        <w:pStyle w:val="Odsekzoznamu"/>
        <w:widowControl w:val="0"/>
        <w:suppressAutoHyphens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6A7" w:rsidRPr="005C4CFC" w:rsidRDefault="00A266A7" w:rsidP="005C4CFC">
      <w:pPr>
        <w:pStyle w:val="Odsekzoznamu"/>
        <w:widowControl w:val="0"/>
        <w:numPr>
          <w:ilvl w:val="1"/>
          <w:numId w:val="20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4CFC">
        <w:rPr>
          <w:rFonts w:ascii="Times New Roman" w:hAnsi="Times New Roman" w:cs="Times New Roman"/>
          <w:sz w:val="24"/>
          <w:szCs w:val="24"/>
        </w:rPr>
        <w:t xml:space="preserve">V prípade každého zdroja hluku a škodlivého účinku sa vystavenie obyvateľstva posudzuje samostatne. Ak sú tí istí ľudia súčasne vystavení rôznym zdrojom hluku, vo všeobecnosti nemusí dochádzať ku kumulácii škodlivých účinkov. Tieto účinky však možno porovnať v záujme posúdenia individuálneho významu jednotlivých zdrojov hluku. </w:t>
      </w:r>
    </w:p>
    <w:p w:rsidR="00A266A7" w:rsidRPr="006645E1" w:rsidRDefault="00A266A7" w:rsidP="00A266A7">
      <w:pPr>
        <w:pStyle w:val="Odsekzoznamu"/>
        <w:widowControl w:val="0"/>
        <w:suppressAutoHyphens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5C4CFC" w:rsidRDefault="00A266A7" w:rsidP="005C4CFC">
      <w:pPr>
        <w:pStyle w:val="Odsekzoznamu"/>
        <w:widowControl w:val="0"/>
        <w:numPr>
          <w:ilvl w:val="1"/>
          <w:numId w:val="20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CFC">
        <w:rPr>
          <w:rFonts w:ascii="Times New Roman" w:hAnsi="Times New Roman" w:cs="Times New Roman"/>
          <w:b/>
          <w:sz w:val="24"/>
          <w:szCs w:val="24"/>
        </w:rPr>
        <w:t>Posúdenie týkajúce sa IHD</w:t>
      </w:r>
    </w:p>
    <w:p w:rsidR="00FF21BB" w:rsidRPr="00FF21BB" w:rsidRDefault="00FF21BB" w:rsidP="00FF21BB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FF21BB" w:rsidRPr="00FF21BB" w:rsidRDefault="00FF21BB" w:rsidP="00FF21BB">
      <w:pPr>
        <w:pStyle w:val="Odsekzoznamu"/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A266A7" w:rsidRPr="00FF21BB" w:rsidRDefault="00A266A7" w:rsidP="00FF21BB">
      <w:pPr>
        <w:pStyle w:val="Odsekzoznamu"/>
        <w:widowControl w:val="0"/>
        <w:numPr>
          <w:ilvl w:val="2"/>
          <w:numId w:val="28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BB">
        <w:rPr>
          <w:rFonts w:ascii="Times New Roman" w:hAnsi="Times New Roman" w:cs="Times New Roman"/>
          <w:b/>
          <w:sz w:val="24"/>
          <w:szCs w:val="24"/>
        </w:rPr>
        <w:t xml:space="preserve">Ak ide o IHD v súvislosti s hlukom zo železničnej </w:t>
      </w:r>
      <w:r w:rsidR="006741C8" w:rsidRPr="00FF21BB">
        <w:rPr>
          <w:rFonts w:ascii="Times New Roman" w:hAnsi="Times New Roman" w:cs="Times New Roman"/>
          <w:b/>
          <w:sz w:val="24"/>
          <w:szCs w:val="24"/>
        </w:rPr>
        <w:t xml:space="preserve">dopravy </w:t>
      </w:r>
      <w:r w:rsidRPr="00FF21BB">
        <w:rPr>
          <w:rFonts w:ascii="Times New Roman" w:hAnsi="Times New Roman" w:cs="Times New Roman"/>
          <w:b/>
          <w:sz w:val="24"/>
          <w:szCs w:val="24"/>
        </w:rPr>
        <w:t>a z leteckej dopravy</w:t>
      </w:r>
      <w:r w:rsidRPr="00FF21BB">
        <w:rPr>
          <w:rFonts w:ascii="Times New Roman" w:hAnsi="Times New Roman" w:cs="Times New Roman"/>
          <w:sz w:val="24"/>
          <w:szCs w:val="24"/>
        </w:rPr>
        <w:t xml:space="preserve">, odhaduje sa, že obyvateľstvu vystavenému vyšším hladinám hluku </w:t>
      </w:r>
      <w:proofErr w:type="spellStart"/>
      <w:r w:rsidRPr="00FF21BB">
        <w:rPr>
          <w:rFonts w:ascii="Times New Roman" w:hAnsi="Times New Roman" w:cs="Times New Roman"/>
          <w:sz w:val="24"/>
          <w:szCs w:val="24"/>
        </w:rPr>
        <w:t>L</w:t>
      </w:r>
      <w:r w:rsidRPr="00FF21BB">
        <w:rPr>
          <w:rFonts w:ascii="Times New Roman" w:hAnsi="Times New Roman" w:cs="Times New Roman"/>
          <w:sz w:val="24"/>
          <w:szCs w:val="24"/>
          <w:vertAlign w:val="subscript"/>
        </w:rPr>
        <w:t>dvn</w:t>
      </w:r>
      <w:proofErr w:type="spellEnd"/>
      <w:r w:rsidRPr="00FF21BB">
        <w:rPr>
          <w:rFonts w:ascii="Times New Roman" w:hAnsi="Times New Roman" w:cs="Times New Roman"/>
          <w:sz w:val="24"/>
          <w:szCs w:val="24"/>
        </w:rPr>
        <w:t xml:space="preserve"> hrozí zvýšené riziko IHD, pričom presný počet prípadov IHD </w:t>
      </w:r>
      <w:r w:rsidRPr="00FF21BB">
        <w:rPr>
          <w:rFonts w:ascii="Times New Roman" w:hAnsi="Times New Roman" w:cs="Times New Roman"/>
          <w:i/>
          <w:sz w:val="24"/>
          <w:szCs w:val="24"/>
        </w:rPr>
        <w:t>N</w:t>
      </w:r>
      <w:r w:rsidRPr="00FF21BB">
        <w:rPr>
          <w:rFonts w:ascii="Times New Roman" w:hAnsi="Times New Roman" w:cs="Times New Roman"/>
          <w:sz w:val="24"/>
          <w:szCs w:val="24"/>
        </w:rPr>
        <w:t xml:space="preserve"> nemožno vypočítať.</w:t>
      </w:r>
      <w:r w:rsidRPr="00FF2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6A7" w:rsidRPr="006645E1" w:rsidRDefault="00A266A7" w:rsidP="00A266A7">
      <w:pPr>
        <w:pStyle w:val="Odsekzoznamu"/>
        <w:widowControl w:val="0"/>
        <w:suppressAutoHyphens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6A7" w:rsidRPr="00FF21BB" w:rsidRDefault="00A266A7" w:rsidP="00FF21BB">
      <w:pPr>
        <w:pStyle w:val="Odsekzoznamu"/>
        <w:widowControl w:val="0"/>
        <w:numPr>
          <w:ilvl w:val="2"/>
          <w:numId w:val="3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1BB">
        <w:rPr>
          <w:rFonts w:ascii="Times New Roman" w:hAnsi="Times New Roman" w:cs="Times New Roman"/>
          <w:b/>
          <w:sz w:val="24"/>
          <w:szCs w:val="24"/>
        </w:rPr>
        <w:t xml:space="preserve">Ak ide o IHD v súvislosti s hlukom z cestnej dopravy, </w:t>
      </w:r>
      <w:r w:rsidRPr="00FF21BB">
        <w:rPr>
          <w:rFonts w:ascii="Times New Roman" w:hAnsi="Times New Roman" w:cs="Times New Roman"/>
          <w:sz w:val="24"/>
          <w:szCs w:val="24"/>
        </w:rPr>
        <w:t xml:space="preserve">pri výpočte podielu prípadov špecifických škodlivých účinkov prejavujúcich sa na obyvateľstve, ktoré je vystavené RR, sa vychádza z predpokladu, že ide o prípady, ku ktorým došlo v dôsledku environmentálneho hluku, pričom sa v prípade zdroja hluku </w:t>
      </w:r>
      <w:r w:rsidRPr="00FF21BB">
        <w:rPr>
          <w:rFonts w:ascii="Times New Roman" w:hAnsi="Times New Roman" w:cs="Times New Roman"/>
          <w:i/>
          <w:sz w:val="24"/>
          <w:szCs w:val="24"/>
        </w:rPr>
        <w:t>x</w:t>
      </w:r>
      <w:r w:rsidRPr="00FF21BB">
        <w:rPr>
          <w:rFonts w:ascii="Times New Roman" w:hAnsi="Times New Roman" w:cs="Times New Roman"/>
          <w:sz w:val="24"/>
          <w:szCs w:val="24"/>
        </w:rPr>
        <w:t xml:space="preserve"> (cestná doprava), škodlivého účinku </w:t>
      </w:r>
      <w:r w:rsidRPr="00FF21BB">
        <w:rPr>
          <w:rFonts w:ascii="Times New Roman" w:hAnsi="Times New Roman" w:cs="Times New Roman"/>
          <w:i/>
          <w:sz w:val="24"/>
          <w:szCs w:val="24"/>
        </w:rPr>
        <w:t>y</w:t>
      </w:r>
      <w:r w:rsidRPr="00FF21BB">
        <w:rPr>
          <w:rFonts w:ascii="Times New Roman" w:hAnsi="Times New Roman" w:cs="Times New Roman"/>
          <w:sz w:val="24"/>
          <w:szCs w:val="24"/>
        </w:rPr>
        <w:t xml:space="preserve"> (IHD) a </w:t>
      </w:r>
      <w:proofErr w:type="spellStart"/>
      <w:r w:rsidRPr="00FF21BB">
        <w:rPr>
          <w:rFonts w:ascii="Times New Roman" w:hAnsi="Times New Roman" w:cs="Times New Roman"/>
          <w:sz w:val="24"/>
          <w:szCs w:val="24"/>
        </w:rPr>
        <w:t>incidencie</w:t>
      </w:r>
      <w:proofErr w:type="spellEnd"/>
      <w:r w:rsidRPr="00FF21BB">
        <w:rPr>
          <w:rFonts w:ascii="Times New Roman" w:hAnsi="Times New Roman" w:cs="Times New Roman"/>
          <w:sz w:val="24"/>
          <w:szCs w:val="24"/>
        </w:rPr>
        <w:t xml:space="preserve"> </w:t>
      </w:r>
      <w:r w:rsidRPr="00FF21BB">
        <w:rPr>
          <w:rFonts w:ascii="Times New Roman" w:hAnsi="Times New Roman" w:cs="Times New Roman"/>
          <w:i/>
          <w:sz w:val="24"/>
          <w:szCs w:val="24"/>
        </w:rPr>
        <w:t>i</w:t>
      </w:r>
      <w:r w:rsidRPr="00FF21BB">
        <w:rPr>
          <w:rFonts w:ascii="Times New Roman" w:hAnsi="Times New Roman" w:cs="Times New Roman"/>
          <w:sz w:val="24"/>
          <w:szCs w:val="24"/>
        </w:rPr>
        <w:t xml:space="preserve"> postupuje pomocou </w:t>
      </w:r>
      <w:r w:rsidR="00FF21BB">
        <w:rPr>
          <w:rFonts w:ascii="Times New Roman" w:hAnsi="Times New Roman" w:cs="Times New Roman"/>
          <w:sz w:val="24"/>
          <w:szCs w:val="24"/>
        </w:rPr>
        <w:t>tohto</w:t>
      </w:r>
      <w:r w:rsidRPr="00FF21BB">
        <w:rPr>
          <w:rFonts w:ascii="Times New Roman" w:hAnsi="Times New Roman" w:cs="Times New Roman"/>
          <w:sz w:val="24"/>
          <w:szCs w:val="24"/>
        </w:rPr>
        <w:t xml:space="preserve"> vzorca:</w:t>
      </w:r>
      <w:r w:rsidRPr="00FF2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6A7" w:rsidRPr="00A266A7" w:rsidRDefault="00B20E1B" w:rsidP="00A266A7">
      <w:pPr>
        <w:pStyle w:val="Odsekzoznamu"/>
        <w:jc w:val="right"/>
        <w:rPr>
          <w:rFonts w:ascii="Times New Roman" w:hAnsi="Times New Roman" w:cs="Times New Roman"/>
          <w:b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PAF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RR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</m:e>
                    </m:d>
                  </m:e>
                </m:nary>
              </m:num>
              <m:den>
                <m:nary>
                  <m:naryPr>
                    <m:chr m:val="∑"/>
                    <m:limLoc m:val="subSup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  <m:sup/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∙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RR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j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,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sub>
                            </m:sSub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+ 1</m:t>
                    </m:r>
                  </m:e>
                </m:nary>
              </m:den>
            </m:f>
          </m:e>
        </m:d>
      </m:oMath>
      <w:r w:rsidR="00A266A7" w:rsidRPr="00A266A7">
        <w:rPr>
          <w:rFonts w:ascii="Times New Roman" w:hAnsi="Times New Roman" w:cs="Times New Roman"/>
        </w:rPr>
        <w:t xml:space="preserve">                                 </w:t>
      </w:r>
      <w:r w:rsidR="00A266A7" w:rsidRPr="006645E1">
        <w:rPr>
          <w:rFonts w:ascii="Times New Roman" w:hAnsi="Times New Roman" w:cs="Times New Roman"/>
          <w:sz w:val="24"/>
        </w:rPr>
        <w:t>(vzorec 10)</w:t>
      </w:r>
    </w:p>
    <w:p w:rsidR="00A266A7" w:rsidRPr="006645E1" w:rsidRDefault="00A266A7" w:rsidP="00A266A7">
      <w:pPr>
        <w:pStyle w:val="Odsekzoznamu"/>
        <w:widowControl w:val="0"/>
        <w:suppressAutoHyphens/>
        <w:ind w:left="567"/>
        <w:jc w:val="both"/>
        <w:rPr>
          <w:rFonts w:ascii="Times New Roman" w:hAnsi="Times New Roman" w:cs="Times New Roman"/>
          <w:sz w:val="24"/>
        </w:rPr>
      </w:pPr>
      <w:r w:rsidRPr="006645E1">
        <w:rPr>
          <w:rFonts w:ascii="Times New Roman" w:hAnsi="Times New Roman" w:cs="Times New Roman"/>
          <w:sz w:val="24"/>
        </w:rPr>
        <w:t>kde:</w:t>
      </w:r>
    </w:p>
    <w:p w:rsidR="00A266A7" w:rsidRPr="006645E1" w:rsidRDefault="00A266A7" w:rsidP="00A266A7">
      <w:pPr>
        <w:pStyle w:val="Odsekzoznamu"/>
        <w:widowControl w:val="0"/>
        <w:numPr>
          <w:ilvl w:val="0"/>
          <w:numId w:val="8"/>
        </w:numPr>
        <w:suppressAutoHyphens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6645E1">
        <w:rPr>
          <w:rFonts w:ascii="Times New Roman" w:hAnsi="Times New Roman" w:cs="Times New Roman"/>
          <w:i/>
          <w:iCs/>
          <w:sz w:val="24"/>
        </w:rPr>
        <w:t>PAF</w:t>
      </w:r>
      <w:r w:rsidRPr="006645E1">
        <w:rPr>
          <w:rFonts w:ascii="Times New Roman" w:hAnsi="Times New Roman" w:cs="Times New Roman"/>
          <w:i/>
          <w:iCs/>
          <w:sz w:val="24"/>
          <w:vertAlign w:val="subscript"/>
        </w:rPr>
        <w:t>x,y</w:t>
      </w:r>
      <w:proofErr w:type="spellEnd"/>
      <w:r w:rsidRPr="006645E1">
        <w:rPr>
          <w:rFonts w:ascii="Times New Roman" w:hAnsi="Times New Roman" w:cs="Times New Roman"/>
          <w:i/>
          <w:iCs/>
          <w:sz w:val="24"/>
        </w:rPr>
        <w:t xml:space="preserve"> </w:t>
      </w:r>
      <w:r w:rsidRPr="006645E1">
        <w:rPr>
          <w:rFonts w:ascii="Times New Roman" w:hAnsi="Times New Roman" w:cs="Times New Roman"/>
          <w:iCs/>
          <w:sz w:val="24"/>
        </w:rPr>
        <w:t xml:space="preserve">je </w:t>
      </w:r>
      <w:proofErr w:type="spellStart"/>
      <w:r w:rsidRPr="006645E1">
        <w:rPr>
          <w:rFonts w:ascii="Times New Roman" w:hAnsi="Times New Roman" w:cs="Times New Roman"/>
          <w:sz w:val="24"/>
        </w:rPr>
        <w:t>atributabilná</w:t>
      </w:r>
      <w:proofErr w:type="spellEnd"/>
      <w:r w:rsidRPr="006645E1">
        <w:rPr>
          <w:rFonts w:ascii="Times New Roman" w:hAnsi="Times New Roman" w:cs="Times New Roman"/>
          <w:sz w:val="24"/>
        </w:rPr>
        <w:t xml:space="preserve"> frakcia obyvateľstva, </w:t>
      </w:r>
    </w:p>
    <w:p w:rsidR="00A266A7" w:rsidRPr="006645E1" w:rsidRDefault="00A266A7" w:rsidP="00A266A7">
      <w:pPr>
        <w:pStyle w:val="Odsekzoznamu"/>
        <w:widowControl w:val="0"/>
        <w:numPr>
          <w:ilvl w:val="0"/>
          <w:numId w:val="8"/>
        </w:numPr>
        <w:suppressAutoHyphens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</w:rPr>
      </w:pPr>
      <w:r w:rsidRPr="006645E1">
        <w:rPr>
          <w:rFonts w:ascii="Times New Roman" w:hAnsi="Times New Roman" w:cs="Times New Roman"/>
          <w:sz w:val="24"/>
        </w:rPr>
        <w:t xml:space="preserve">súbor </w:t>
      </w:r>
      <w:r w:rsidRPr="006645E1">
        <w:rPr>
          <w:rFonts w:ascii="Times New Roman" w:hAnsi="Times New Roman" w:cs="Times New Roman"/>
          <w:i/>
          <w:iCs/>
          <w:sz w:val="24"/>
        </w:rPr>
        <w:t xml:space="preserve">j </w:t>
      </w:r>
      <w:r w:rsidRPr="006645E1">
        <w:rPr>
          <w:rFonts w:ascii="Times New Roman" w:hAnsi="Times New Roman" w:cs="Times New Roman"/>
          <w:sz w:val="24"/>
        </w:rPr>
        <w:t>hlukových pásiem tvoria jednotlivé pásma vyznačujúce</w:t>
      </w:r>
      <w:r w:rsidR="00FF21BB">
        <w:rPr>
          <w:rFonts w:ascii="Times New Roman" w:hAnsi="Times New Roman" w:cs="Times New Roman"/>
          <w:sz w:val="24"/>
        </w:rPr>
        <w:t xml:space="preserve"> sa rozsahom najviac 5 dB (napríklad</w:t>
      </w:r>
      <w:r w:rsidRPr="006645E1">
        <w:rPr>
          <w:rFonts w:ascii="Times New Roman" w:hAnsi="Times New Roman" w:cs="Times New Roman"/>
          <w:sz w:val="24"/>
        </w:rPr>
        <w:t xml:space="preserve">: 50 až 51 dB, 51 až 52 dB, 52 až 53 dB atď., alebo 50 až 54 dB, 55 </w:t>
      </w:r>
      <w:r w:rsidRPr="006645E1">
        <w:rPr>
          <w:rFonts w:ascii="Times New Roman" w:hAnsi="Times New Roman" w:cs="Times New Roman"/>
          <w:sz w:val="24"/>
        </w:rPr>
        <w:lastRenderedPageBreak/>
        <w:t xml:space="preserve">až 59 dB, 60 až 64 dB atď.), </w:t>
      </w:r>
    </w:p>
    <w:p w:rsidR="00A266A7" w:rsidRPr="006645E1" w:rsidRDefault="00A266A7" w:rsidP="00A266A7">
      <w:pPr>
        <w:pStyle w:val="Odsekzoznamu"/>
        <w:widowControl w:val="0"/>
        <w:numPr>
          <w:ilvl w:val="0"/>
          <w:numId w:val="8"/>
        </w:numPr>
        <w:suppressAutoHyphens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6645E1">
        <w:rPr>
          <w:rFonts w:ascii="Times New Roman" w:hAnsi="Times New Roman" w:cs="Times New Roman"/>
          <w:i/>
          <w:iCs/>
          <w:sz w:val="24"/>
        </w:rPr>
        <w:t>p</w:t>
      </w:r>
      <w:r w:rsidRPr="006645E1">
        <w:rPr>
          <w:rFonts w:ascii="Times New Roman" w:hAnsi="Times New Roman" w:cs="Times New Roman"/>
          <w:i/>
          <w:iCs/>
          <w:sz w:val="24"/>
          <w:vertAlign w:val="subscript"/>
        </w:rPr>
        <w:t>j</w:t>
      </w:r>
      <w:proofErr w:type="spellEnd"/>
      <w:r w:rsidRPr="006645E1">
        <w:rPr>
          <w:rFonts w:ascii="Times New Roman" w:hAnsi="Times New Roman" w:cs="Times New Roman"/>
          <w:i/>
          <w:iCs/>
          <w:sz w:val="24"/>
        </w:rPr>
        <w:t xml:space="preserve"> </w:t>
      </w:r>
      <w:r w:rsidRPr="006645E1">
        <w:rPr>
          <w:rFonts w:ascii="Times New Roman" w:hAnsi="Times New Roman" w:cs="Times New Roman"/>
          <w:sz w:val="24"/>
        </w:rPr>
        <w:t xml:space="preserve">je podiel celkovej populácie </w:t>
      </w:r>
      <w:r w:rsidRPr="006645E1">
        <w:rPr>
          <w:rFonts w:ascii="Times New Roman" w:hAnsi="Times New Roman" w:cs="Times New Roman"/>
          <w:i/>
          <w:iCs/>
          <w:sz w:val="24"/>
        </w:rPr>
        <w:t xml:space="preserve">P </w:t>
      </w:r>
      <w:r w:rsidRPr="006645E1">
        <w:rPr>
          <w:rFonts w:ascii="Times New Roman" w:hAnsi="Times New Roman" w:cs="Times New Roman"/>
          <w:sz w:val="24"/>
        </w:rPr>
        <w:t xml:space="preserve">v posudzovanej oblasti, ktorý je vystavený hluku v rámci </w:t>
      </w:r>
      <w:proofErr w:type="spellStart"/>
      <w:r w:rsidRPr="006645E1">
        <w:rPr>
          <w:rFonts w:ascii="Times New Roman" w:hAnsi="Times New Roman" w:cs="Times New Roman"/>
          <w:i/>
          <w:iCs/>
          <w:sz w:val="24"/>
        </w:rPr>
        <w:t>j</w:t>
      </w:r>
      <w:r w:rsidRPr="006645E1">
        <w:rPr>
          <w:rFonts w:ascii="Times New Roman" w:hAnsi="Times New Roman" w:cs="Times New Roman"/>
          <w:sz w:val="24"/>
        </w:rPr>
        <w:t>-teho</w:t>
      </w:r>
      <w:proofErr w:type="spellEnd"/>
      <w:r w:rsidRPr="006645E1">
        <w:rPr>
          <w:rFonts w:ascii="Times New Roman" w:hAnsi="Times New Roman" w:cs="Times New Roman"/>
          <w:sz w:val="24"/>
        </w:rPr>
        <w:t xml:space="preserve"> pásma expozície, ktoré súvisí s daným RR špecifického škodlivého účinku </w:t>
      </w:r>
      <w:proofErr w:type="spellStart"/>
      <w:r w:rsidRPr="006645E1">
        <w:rPr>
          <w:rFonts w:ascii="Times New Roman" w:hAnsi="Times New Roman" w:cs="Times New Roman"/>
          <w:i/>
          <w:iCs/>
          <w:sz w:val="24"/>
        </w:rPr>
        <w:t>RR</w:t>
      </w:r>
      <w:r w:rsidRPr="006645E1">
        <w:rPr>
          <w:rFonts w:ascii="Times New Roman" w:hAnsi="Times New Roman" w:cs="Times New Roman"/>
          <w:i/>
          <w:iCs/>
          <w:sz w:val="24"/>
          <w:vertAlign w:val="subscript"/>
        </w:rPr>
        <w:t>j,x,y</w:t>
      </w:r>
      <w:proofErr w:type="spellEnd"/>
      <w:r w:rsidRPr="006645E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645E1">
        <w:rPr>
          <w:rFonts w:ascii="Times New Roman" w:hAnsi="Times New Roman" w:cs="Times New Roman"/>
          <w:i/>
          <w:iCs/>
          <w:sz w:val="24"/>
        </w:rPr>
        <w:t>RR</w:t>
      </w:r>
      <w:r w:rsidRPr="006645E1">
        <w:rPr>
          <w:rFonts w:ascii="Times New Roman" w:hAnsi="Times New Roman" w:cs="Times New Roman"/>
          <w:i/>
          <w:iCs/>
          <w:sz w:val="24"/>
          <w:vertAlign w:val="subscript"/>
        </w:rPr>
        <w:t>j,x,y</w:t>
      </w:r>
      <w:proofErr w:type="spellEnd"/>
      <w:r w:rsidRPr="006645E1">
        <w:rPr>
          <w:rFonts w:ascii="Times New Roman" w:hAnsi="Times New Roman" w:cs="Times New Roman"/>
          <w:i/>
          <w:iCs/>
          <w:sz w:val="24"/>
        </w:rPr>
        <w:t xml:space="preserve"> </w:t>
      </w:r>
      <w:r w:rsidRPr="006645E1">
        <w:rPr>
          <w:rFonts w:ascii="Times New Roman" w:hAnsi="Times New Roman" w:cs="Times New Roman"/>
          <w:sz w:val="24"/>
        </w:rPr>
        <w:t>sa vypočíta pomocou vzorcov opísaných v bode 2 tejto prílohy, a to s prihliadnutím na strednú hodnotu každého pásma hluku (napríklad: v závislosti od dostupnosti údajov s prihliadnutím na strednú hodnotu 50,5 dB v prípade pásma hluku v rozmedzí od 50 do 51 dB alebo na strednú hodnotu 52 dB v prípade pásma hluku v rozmedzí od 50 do 54 dB).</w:t>
      </w:r>
    </w:p>
    <w:p w:rsidR="00A266A7" w:rsidRPr="006645E1" w:rsidRDefault="00A266A7" w:rsidP="00A266A7">
      <w:pPr>
        <w:pStyle w:val="Odsekzoznamu"/>
        <w:widowControl w:val="0"/>
        <w:suppressAutoHyphens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A266A7" w:rsidRPr="006645E1" w:rsidRDefault="00A266A7" w:rsidP="00A266A7">
      <w:pPr>
        <w:pStyle w:val="Odsekzoznamu"/>
        <w:widowControl w:val="0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</w:rPr>
      </w:pPr>
    </w:p>
    <w:p w:rsidR="00A266A7" w:rsidRPr="006645E1" w:rsidRDefault="00A266A7" w:rsidP="00A266A7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</w:rPr>
      </w:pPr>
    </w:p>
    <w:p w:rsidR="00A266A7" w:rsidRPr="006645E1" w:rsidRDefault="00A266A7" w:rsidP="00A266A7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</w:rPr>
      </w:pPr>
    </w:p>
    <w:p w:rsidR="00A266A7" w:rsidRPr="006645E1" w:rsidRDefault="00A266A7" w:rsidP="00A266A7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</w:rPr>
      </w:pPr>
    </w:p>
    <w:p w:rsidR="00A266A7" w:rsidRPr="006645E1" w:rsidRDefault="00A266A7" w:rsidP="00A266A7">
      <w:pPr>
        <w:pStyle w:val="Odsekzoznamu"/>
        <w:widowControl w:val="0"/>
        <w:numPr>
          <w:ilvl w:val="1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</w:rPr>
      </w:pPr>
    </w:p>
    <w:p w:rsidR="00A266A7" w:rsidRPr="006645E1" w:rsidRDefault="00A266A7" w:rsidP="00A266A7">
      <w:pPr>
        <w:pStyle w:val="Odsekzoznamu"/>
        <w:widowControl w:val="0"/>
        <w:numPr>
          <w:ilvl w:val="1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</w:rPr>
      </w:pPr>
    </w:p>
    <w:p w:rsidR="00A266A7" w:rsidRPr="006645E1" w:rsidRDefault="00A266A7" w:rsidP="00A266A7">
      <w:pPr>
        <w:pStyle w:val="Odsekzoznamu"/>
        <w:widowControl w:val="0"/>
        <w:numPr>
          <w:ilvl w:val="2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</w:rPr>
      </w:pPr>
    </w:p>
    <w:p w:rsidR="00A266A7" w:rsidRPr="006645E1" w:rsidRDefault="00A266A7" w:rsidP="00A266A7">
      <w:pPr>
        <w:pStyle w:val="Odsekzoznamu"/>
        <w:widowControl w:val="0"/>
        <w:numPr>
          <w:ilvl w:val="2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  <w:sz w:val="24"/>
        </w:rPr>
      </w:pPr>
    </w:p>
    <w:p w:rsidR="00A266A7" w:rsidRPr="00FF21BB" w:rsidRDefault="00A266A7" w:rsidP="00FF21BB">
      <w:pPr>
        <w:pStyle w:val="Odsekzoznamu"/>
        <w:widowControl w:val="0"/>
        <w:numPr>
          <w:ilvl w:val="0"/>
          <w:numId w:val="34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FF21BB">
        <w:rPr>
          <w:rFonts w:ascii="Times New Roman" w:hAnsi="Times New Roman" w:cs="Times New Roman"/>
          <w:b/>
          <w:sz w:val="24"/>
        </w:rPr>
        <w:t xml:space="preserve">Ak ide o IHD v súvislosti s hlukom z cestnej dopravy, celkový počet </w:t>
      </w:r>
      <w:r w:rsidRPr="00FF21BB">
        <w:rPr>
          <w:rFonts w:ascii="Times New Roman" w:hAnsi="Times New Roman" w:cs="Times New Roman"/>
          <w:b/>
          <w:i/>
          <w:sz w:val="24"/>
        </w:rPr>
        <w:t>N</w:t>
      </w:r>
      <w:r w:rsidRPr="00FF21BB">
        <w:rPr>
          <w:rFonts w:ascii="Times New Roman" w:hAnsi="Times New Roman" w:cs="Times New Roman"/>
          <w:b/>
          <w:sz w:val="24"/>
        </w:rPr>
        <w:t xml:space="preserve"> prípadov IHD </w:t>
      </w:r>
      <w:r w:rsidRPr="00FF21BB">
        <w:rPr>
          <w:rFonts w:ascii="Times New Roman" w:hAnsi="Times New Roman" w:cs="Times New Roman"/>
          <w:sz w:val="24"/>
        </w:rPr>
        <w:t xml:space="preserve">(t. j. ľudí postihnutých daným škodlivým účinkom </w:t>
      </w:r>
      <w:r w:rsidRPr="00FF21BB">
        <w:rPr>
          <w:rFonts w:ascii="Times New Roman" w:hAnsi="Times New Roman" w:cs="Times New Roman"/>
          <w:i/>
          <w:sz w:val="24"/>
        </w:rPr>
        <w:t>y</w:t>
      </w:r>
      <w:r w:rsidRPr="00FF21BB">
        <w:rPr>
          <w:rFonts w:ascii="Times New Roman" w:hAnsi="Times New Roman" w:cs="Times New Roman"/>
          <w:sz w:val="24"/>
        </w:rPr>
        <w:t xml:space="preserve">, počet </w:t>
      </w:r>
      <w:proofErr w:type="spellStart"/>
      <w:r w:rsidRPr="00FF21BB">
        <w:rPr>
          <w:rFonts w:ascii="Times New Roman" w:hAnsi="Times New Roman" w:cs="Times New Roman"/>
          <w:sz w:val="24"/>
        </w:rPr>
        <w:t>atributabilných</w:t>
      </w:r>
      <w:proofErr w:type="spellEnd"/>
      <w:r w:rsidRPr="00FF21BB">
        <w:rPr>
          <w:rFonts w:ascii="Times New Roman" w:hAnsi="Times New Roman" w:cs="Times New Roman"/>
          <w:sz w:val="24"/>
        </w:rPr>
        <w:t xml:space="preserve"> prípadov) v dôsledku pôsobenia daného zdroja </w:t>
      </w:r>
      <w:r w:rsidRPr="00FF21BB">
        <w:rPr>
          <w:rFonts w:ascii="Times New Roman" w:hAnsi="Times New Roman" w:cs="Times New Roman"/>
          <w:i/>
          <w:sz w:val="24"/>
        </w:rPr>
        <w:t>x</w:t>
      </w:r>
      <w:r w:rsidRPr="00FF21BB">
        <w:rPr>
          <w:rFonts w:ascii="Times New Roman" w:hAnsi="Times New Roman" w:cs="Times New Roman"/>
          <w:sz w:val="24"/>
        </w:rPr>
        <w:t xml:space="preserve"> je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6A7" w:rsidRPr="00A266A7" w:rsidRDefault="00B20E1B" w:rsidP="00A266A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PAF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bi"/>
          </m:rPr>
          <w:rPr>
            <w:rFonts w:ascii="Times New Roman" w:hAnsi="Cambria Math" w:cs="Times New Roman"/>
            <w:sz w:val="24"/>
            <w:szCs w:val="24"/>
          </w:rPr>
          <m:t>*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Times New Roman" w:hAnsi="Cambria Math" w:cs="Times New Roman"/>
            <w:sz w:val="24"/>
            <w:szCs w:val="24"/>
          </w:rPr>
          <m:t>*</m:t>
        </m:r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A266A7" w:rsidRPr="00A266A7">
        <w:rPr>
          <w:rFonts w:ascii="Times New Roman" w:hAnsi="Times New Roman" w:cs="Times New Roman"/>
          <w:sz w:val="24"/>
          <w:szCs w:val="24"/>
        </w:rPr>
        <w:t xml:space="preserve">                                     (vzorec 11)</w:t>
      </w:r>
    </w:p>
    <w:p w:rsidR="00A266A7" w:rsidRPr="006645E1" w:rsidRDefault="006645E1" w:rsidP="00A266A7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prípade cestnej dopravy,</w:t>
      </w:r>
    </w:p>
    <w:p w:rsidR="00A266A7" w:rsidRPr="006645E1" w:rsidRDefault="00A266A7" w:rsidP="00A266A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6A7" w:rsidRPr="006645E1" w:rsidRDefault="00A266A7" w:rsidP="00A266A7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645E1">
        <w:rPr>
          <w:rFonts w:ascii="Times New Roman" w:hAnsi="Times New Roman" w:cs="Times New Roman"/>
          <w:sz w:val="24"/>
          <w:szCs w:val="24"/>
        </w:rPr>
        <w:t>kde:</w:t>
      </w:r>
    </w:p>
    <w:p w:rsidR="00A266A7" w:rsidRPr="006645E1" w:rsidRDefault="00A266A7" w:rsidP="00A266A7">
      <w:pPr>
        <w:pStyle w:val="Odsekzoznamu"/>
        <w:widowControl w:val="0"/>
        <w:numPr>
          <w:ilvl w:val="0"/>
          <w:numId w:val="8"/>
        </w:numPr>
        <w:suppressAutoHyphens/>
        <w:spacing w:after="0" w:line="240" w:lineRule="auto"/>
        <w:ind w:left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45E1">
        <w:rPr>
          <w:rFonts w:ascii="Times New Roman" w:hAnsi="Times New Roman" w:cs="Times New Roman"/>
          <w:i/>
          <w:sz w:val="24"/>
          <w:szCs w:val="24"/>
        </w:rPr>
        <w:t>PAF</w:t>
      </w:r>
      <w:r w:rsidRPr="006645E1">
        <w:rPr>
          <w:rFonts w:ascii="Times New Roman" w:hAnsi="Times New Roman" w:cs="Times New Roman"/>
          <w:i/>
          <w:sz w:val="24"/>
          <w:szCs w:val="24"/>
          <w:vertAlign w:val="subscript"/>
        </w:rPr>
        <w:t>x,y,i</w:t>
      </w:r>
      <w:proofErr w:type="spellEnd"/>
      <w:r w:rsidRPr="006645E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6645E1">
        <w:rPr>
          <w:rFonts w:ascii="Times New Roman" w:hAnsi="Times New Roman" w:cs="Times New Roman"/>
          <w:sz w:val="24"/>
          <w:szCs w:val="24"/>
        </w:rPr>
        <w:t xml:space="preserve">sa vypočíta vzhľadom na </w:t>
      </w:r>
      <w:proofErr w:type="spellStart"/>
      <w:r w:rsidRPr="006645E1">
        <w:rPr>
          <w:rFonts w:ascii="Times New Roman" w:hAnsi="Times New Roman" w:cs="Times New Roman"/>
          <w:sz w:val="24"/>
          <w:szCs w:val="24"/>
        </w:rPr>
        <w:t>incidenciu</w:t>
      </w:r>
      <w:proofErr w:type="spellEnd"/>
      <w:r w:rsidRPr="006645E1">
        <w:rPr>
          <w:rFonts w:ascii="Times New Roman" w:hAnsi="Times New Roman" w:cs="Times New Roman"/>
          <w:sz w:val="24"/>
          <w:szCs w:val="24"/>
        </w:rPr>
        <w:t xml:space="preserve"> </w:t>
      </w:r>
      <w:r w:rsidRPr="006645E1">
        <w:rPr>
          <w:rFonts w:ascii="Times New Roman" w:hAnsi="Times New Roman" w:cs="Times New Roman"/>
          <w:i/>
          <w:sz w:val="24"/>
          <w:szCs w:val="24"/>
        </w:rPr>
        <w:t>i</w:t>
      </w:r>
      <w:r w:rsidRPr="006645E1">
        <w:rPr>
          <w:rFonts w:ascii="Times New Roman" w:hAnsi="Times New Roman" w:cs="Times New Roman"/>
          <w:sz w:val="24"/>
          <w:szCs w:val="24"/>
        </w:rPr>
        <w:t>,</w:t>
      </w:r>
    </w:p>
    <w:p w:rsidR="00A266A7" w:rsidRPr="006645E1" w:rsidRDefault="00A266A7" w:rsidP="00A266A7">
      <w:pPr>
        <w:pStyle w:val="Odsekzoznamu"/>
        <w:widowControl w:val="0"/>
        <w:numPr>
          <w:ilvl w:val="0"/>
          <w:numId w:val="8"/>
        </w:numPr>
        <w:suppressAutoHyphens/>
        <w:spacing w:after="0" w:line="240" w:lineRule="auto"/>
        <w:ind w:left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45E1">
        <w:rPr>
          <w:rFonts w:ascii="Times New Roman" w:hAnsi="Times New Roman" w:cs="Times New Roman"/>
          <w:i/>
          <w:sz w:val="24"/>
          <w:szCs w:val="24"/>
        </w:rPr>
        <w:t>I</w:t>
      </w:r>
      <w:r w:rsidRPr="006645E1">
        <w:rPr>
          <w:rFonts w:ascii="Times New Roman" w:hAnsi="Times New Roman" w:cs="Times New Roman"/>
          <w:i/>
          <w:sz w:val="24"/>
          <w:szCs w:val="24"/>
          <w:vertAlign w:val="subscript"/>
        </w:rPr>
        <w:t>y</w:t>
      </w:r>
      <w:proofErr w:type="spellEnd"/>
      <w:r w:rsidRPr="006645E1">
        <w:rPr>
          <w:rFonts w:ascii="Times New Roman" w:hAnsi="Times New Roman" w:cs="Times New Roman"/>
          <w:sz w:val="24"/>
          <w:szCs w:val="24"/>
        </w:rPr>
        <w:t xml:space="preserve"> je miera </w:t>
      </w:r>
      <w:proofErr w:type="spellStart"/>
      <w:r w:rsidRPr="006645E1">
        <w:rPr>
          <w:rFonts w:ascii="Times New Roman" w:hAnsi="Times New Roman" w:cs="Times New Roman"/>
          <w:sz w:val="24"/>
          <w:szCs w:val="24"/>
        </w:rPr>
        <w:t>incidencie</w:t>
      </w:r>
      <w:proofErr w:type="spellEnd"/>
      <w:r w:rsidRPr="006645E1">
        <w:rPr>
          <w:rFonts w:ascii="Times New Roman" w:hAnsi="Times New Roman" w:cs="Times New Roman"/>
          <w:sz w:val="24"/>
          <w:szCs w:val="24"/>
        </w:rPr>
        <w:t xml:space="preserve"> IHD v posudzovanej oblasti, ku ktorej možno dospieť na základe štatistických údajov o zdravotnej situácii v regióne alebo krajine, v ktorej sa nachádza daná oblasť,</w:t>
      </w:r>
    </w:p>
    <w:p w:rsidR="00A266A7" w:rsidRPr="006645E1" w:rsidRDefault="00A266A7" w:rsidP="00A266A7">
      <w:pPr>
        <w:pStyle w:val="Odsekzoznamu"/>
        <w:widowControl w:val="0"/>
        <w:numPr>
          <w:ilvl w:val="0"/>
          <w:numId w:val="8"/>
        </w:numPr>
        <w:suppressAutoHyphens/>
        <w:spacing w:after="0" w:line="240" w:lineRule="auto"/>
        <w:ind w:left="993"/>
        <w:contextualSpacing w:val="0"/>
        <w:rPr>
          <w:rFonts w:ascii="Times New Roman" w:hAnsi="Times New Roman" w:cs="Times New Roman"/>
          <w:sz w:val="24"/>
          <w:szCs w:val="24"/>
        </w:rPr>
      </w:pPr>
      <w:r w:rsidRPr="006645E1">
        <w:rPr>
          <w:rFonts w:ascii="Times New Roman" w:hAnsi="Times New Roman" w:cs="Times New Roman"/>
          <w:i/>
          <w:sz w:val="24"/>
          <w:szCs w:val="24"/>
        </w:rPr>
        <w:t>P</w:t>
      </w:r>
      <w:r w:rsidRPr="006645E1">
        <w:rPr>
          <w:rFonts w:ascii="Times New Roman" w:hAnsi="Times New Roman" w:cs="Times New Roman"/>
          <w:sz w:val="24"/>
          <w:szCs w:val="24"/>
        </w:rPr>
        <w:t xml:space="preserve"> je celkový počet obyvateľov v posudzovanej oblasti (súčet počtu obyvateľov v rámci jednotlivých pásem hluku).</w:t>
      </w:r>
    </w:p>
    <w:p w:rsidR="00A266A7" w:rsidRPr="00A266A7" w:rsidRDefault="00A266A7" w:rsidP="00A266A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6A7" w:rsidRPr="00A266A7" w:rsidRDefault="00A266A7" w:rsidP="00A266A7">
      <w:pPr>
        <w:pStyle w:val="Odsekzoznamu"/>
        <w:widowControl w:val="0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A266A7" w:rsidRPr="00A266A7" w:rsidRDefault="00A266A7" w:rsidP="00A266A7">
      <w:pPr>
        <w:pStyle w:val="Odsekzoznamu"/>
        <w:widowControl w:val="0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A266A7" w:rsidRPr="00A266A7" w:rsidRDefault="00A266A7" w:rsidP="00A266A7">
      <w:pPr>
        <w:pStyle w:val="Odsekzoznamu"/>
        <w:widowControl w:val="0"/>
        <w:numPr>
          <w:ilvl w:val="1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A266A7" w:rsidRPr="00A266A7" w:rsidRDefault="00A266A7" w:rsidP="00A266A7">
      <w:pPr>
        <w:pStyle w:val="Odsekzoznamu"/>
        <w:widowControl w:val="0"/>
        <w:numPr>
          <w:ilvl w:val="1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FF21BB" w:rsidRPr="004124B5" w:rsidRDefault="00FF21BB" w:rsidP="004124B5">
      <w:pPr>
        <w:pStyle w:val="Odsekzoznamu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4B5">
        <w:rPr>
          <w:rFonts w:ascii="Times New Roman" w:hAnsi="Times New Roman" w:cs="Times New Roman"/>
          <w:b/>
          <w:sz w:val="24"/>
          <w:szCs w:val="24"/>
        </w:rPr>
        <w:t xml:space="preserve">Ak ide o HA a HSD v súvislosti s hlukom z cestnej dopravy, zo železničnej dopravy a z leteckej dopravy, celkový počet osôb </w:t>
      </w:r>
      <w:r w:rsidRPr="004124B5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4124B5">
        <w:rPr>
          <w:rFonts w:ascii="Times New Roman" w:hAnsi="Times New Roman" w:cs="Times New Roman"/>
          <w:b/>
          <w:sz w:val="24"/>
          <w:szCs w:val="24"/>
        </w:rPr>
        <w:t xml:space="preserve"> postihnutých daným škodlivým účinkom </w:t>
      </w:r>
      <w:r w:rsidRPr="004124B5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412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4B5">
        <w:rPr>
          <w:rFonts w:ascii="Times New Roman" w:hAnsi="Times New Roman" w:cs="Times New Roman"/>
          <w:sz w:val="24"/>
          <w:szCs w:val="24"/>
        </w:rPr>
        <w:t xml:space="preserve">(počet </w:t>
      </w:r>
      <w:proofErr w:type="spellStart"/>
      <w:r w:rsidRPr="004124B5">
        <w:rPr>
          <w:rFonts w:ascii="Times New Roman" w:hAnsi="Times New Roman" w:cs="Times New Roman"/>
          <w:sz w:val="24"/>
          <w:szCs w:val="24"/>
        </w:rPr>
        <w:t>atributabilných</w:t>
      </w:r>
      <w:proofErr w:type="spellEnd"/>
      <w:r w:rsidRPr="004124B5">
        <w:rPr>
          <w:rFonts w:ascii="Times New Roman" w:hAnsi="Times New Roman" w:cs="Times New Roman"/>
          <w:sz w:val="24"/>
          <w:szCs w:val="24"/>
        </w:rPr>
        <w:t xml:space="preserve"> prípadov) v dôsledku pôsobenia zdroja </w:t>
      </w:r>
      <w:r w:rsidRPr="004124B5">
        <w:rPr>
          <w:rFonts w:ascii="Times New Roman" w:hAnsi="Times New Roman" w:cs="Times New Roman"/>
          <w:i/>
          <w:sz w:val="24"/>
          <w:szCs w:val="24"/>
        </w:rPr>
        <w:t>x</w:t>
      </w:r>
      <w:r w:rsidRPr="004124B5">
        <w:rPr>
          <w:rFonts w:ascii="Times New Roman" w:hAnsi="Times New Roman" w:cs="Times New Roman"/>
          <w:sz w:val="24"/>
          <w:szCs w:val="24"/>
        </w:rPr>
        <w:t xml:space="preserve"> vzhľadom na každú kombináciu zdroja hluku </w:t>
      </w:r>
      <w:r w:rsidRPr="004124B5">
        <w:rPr>
          <w:rFonts w:ascii="Times New Roman" w:hAnsi="Times New Roman" w:cs="Times New Roman"/>
          <w:i/>
          <w:sz w:val="24"/>
          <w:szCs w:val="24"/>
        </w:rPr>
        <w:t>x</w:t>
      </w:r>
      <w:r w:rsidRPr="004124B5">
        <w:rPr>
          <w:rFonts w:ascii="Times New Roman" w:hAnsi="Times New Roman" w:cs="Times New Roman"/>
          <w:sz w:val="24"/>
          <w:szCs w:val="24"/>
        </w:rPr>
        <w:t xml:space="preserve"> (cestný, železničný alebo letecký zdroj) a škodlivého účinku </w:t>
      </w:r>
      <w:r w:rsidRPr="004124B5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4124B5">
        <w:rPr>
          <w:rFonts w:ascii="Times New Roman" w:hAnsi="Times New Roman" w:cs="Times New Roman"/>
          <w:sz w:val="24"/>
          <w:szCs w:val="24"/>
        </w:rPr>
        <w:t>(HA, HSD) je</w:t>
      </w:r>
    </w:p>
    <w:p w:rsidR="00A266A7" w:rsidRPr="006645E1" w:rsidRDefault="00B20E1B" w:rsidP="00A266A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nary>
          <m:naryPr>
            <m:chr m:val="∑"/>
            <m:limLoc m:val="subSup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  <m:sup/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*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sub>
                </m:sSub>
              </m:e>
            </m:d>
          </m:e>
        </m:nary>
      </m:oMath>
      <w:r w:rsidR="00A266A7" w:rsidRPr="006645E1">
        <w:rPr>
          <w:rFonts w:ascii="Times New Roman" w:hAnsi="Times New Roman" w:cs="Times New Roman"/>
          <w:sz w:val="24"/>
          <w:szCs w:val="24"/>
        </w:rPr>
        <w:t xml:space="preserve">                                    (vzorec 12)</w:t>
      </w:r>
    </w:p>
    <w:p w:rsidR="00A266A7" w:rsidRPr="006645E1" w:rsidRDefault="00A266A7" w:rsidP="00A266A7">
      <w:pPr>
        <w:widowControl w:val="0"/>
        <w:suppressAutoHyphens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645E1">
        <w:rPr>
          <w:rFonts w:ascii="Times New Roman" w:hAnsi="Times New Roman" w:cs="Times New Roman"/>
          <w:sz w:val="24"/>
          <w:szCs w:val="24"/>
        </w:rPr>
        <w:t>kde:</w:t>
      </w:r>
    </w:p>
    <w:p w:rsidR="00A266A7" w:rsidRPr="006645E1" w:rsidRDefault="00A266A7" w:rsidP="00A266A7">
      <w:pPr>
        <w:pStyle w:val="Odsekzoznamu"/>
        <w:widowControl w:val="0"/>
        <w:numPr>
          <w:ilvl w:val="0"/>
          <w:numId w:val="8"/>
        </w:numPr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5E1">
        <w:rPr>
          <w:rFonts w:ascii="Times New Roman" w:hAnsi="Times New Roman" w:cs="Times New Roman"/>
          <w:i/>
          <w:iCs/>
          <w:sz w:val="24"/>
          <w:szCs w:val="24"/>
        </w:rPr>
        <w:t>AR</w:t>
      </w:r>
      <w:r w:rsidRPr="006645E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x,y</w:t>
      </w:r>
      <w:proofErr w:type="spellEnd"/>
      <w:r w:rsidRPr="006645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45E1">
        <w:rPr>
          <w:rFonts w:ascii="Times New Roman" w:hAnsi="Times New Roman" w:cs="Times New Roman"/>
          <w:sz w:val="24"/>
          <w:szCs w:val="24"/>
        </w:rPr>
        <w:t xml:space="preserve">je AR príslušného škodlivého účinku (HA, HSD) a vypočíta sa pomocou vzorcov uvedených v bode 2 tejto prílohy, a to s prihliadnutím na strednú hodnotu každého pásma hluku (napríklad: v závislosti od dostupnosti údajov s prihliadnutím na strednú hodnotu 50,5 dB v prípade pásma hluku v rozmedzí od 50 do 51 dB alebo na strednú hodnotu 52 dB v prípade pásma hluku v rozmedzí od 50 do 54 dB), </w:t>
      </w:r>
    </w:p>
    <w:p w:rsidR="00A266A7" w:rsidRDefault="00A266A7" w:rsidP="00A266A7">
      <w:pPr>
        <w:pStyle w:val="Odsekzoznamu"/>
        <w:widowControl w:val="0"/>
        <w:numPr>
          <w:ilvl w:val="0"/>
          <w:numId w:val="8"/>
        </w:numPr>
        <w:suppressAutoHyphens/>
        <w:spacing w:after="0" w:line="240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645E1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6645E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j</w:t>
      </w:r>
      <w:proofErr w:type="spellEnd"/>
      <w:r w:rsidRPr="006645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45E1">
        <w:rPr>
          <w:rFonts w:ascii="Times New Roman" w:hAnsi="Times New Roman" w:cs="Times New Roman"/>
          <w:sz w:val="24"/>
          <w:szCs w:val="24"/>
        </w:rPr>
        <w:t xml:space="preserve">je počet ľudí, ktorí sú vystavení pôsobeniu </w:t>
      </w:r>
      <w:proofErr w:type="spellStart"/>
      <w:r w:rsidRPr="006645E1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6645E1">
        <w:rPr>
          <w:rFonts w:ascii="Times New Roman" w:hAnsi="Times New Roman" w:cs="Times New Roman"/>
          <w:sz w:val="24"/>
          <w:szCs w:val="24"/>
        </w:rPr>
        <w:t>-teho</w:t>
      </w:r>
      <w:proofErr w:type="spellEnd"/>
      <w:r w:rsidRPr="006645E1">
        <w:rPr>
          <w:rFonts w:ascii="Times New Roman" w:hAnsi="Times New Roman" w:cs="Times New Roman"/>
          <w:sz w:val="24"/>
          <w:szCs w:val="24"/>
        </w:rPr>
        <w:t xml:space="preserve"> pásma expozície.</w:t>
      </w:r>
    </w:p>
    <w:p w:rsidR="006645E1" w:rsidRDefault="006645E1" w:rsidP="006645E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6A7" w:rsidRPr="006645E1" w:rsidRDefault="00A266A7" w:rsidP="00A266A7">
      <w:pPr>
        <w:pStyle w:val="Odsekzoznamu"/>
        <w:widowControl w:val="0"/>
        <w:numPr>
          <w:ilvl w:val="0"/>
          <w:numId w:val="1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6645E1">
        <w:rPr>
          <w:rFonts w:ascii="Times New Roman" w:hAnsi="Times New Roman" w:cs="Times New Roman"/>
          <w:b/>
          <w:sz w:val="24"/>
        </w:rPr>
        <w:t xml:space="preserve">Budúce revízie </w:t>
      </w:r>
    </w:p>
    <w:p w:rsidR="00A266A7" w:rsidRPr="006645E1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45E1">
        <w:rPr>
          <w:rFonts w:ascii="Times New Roman" w:hAnsi="Times New Roman" w:cs="Times New Roman"/>
          <w:sz w:val="24"/>
          <w:szCs w:val="24"/>
        </w:rPr>
        <w:t>Vzťahy dávka – účinok zavedené budúcimi revíziami tejto prílohy sa budú týkať najmä:</w:t>
      </w:r>
    </w:p>
    <w:p w:rsidR="00A266A7" w:rsidRPr="006645E1" w:rsidRDefault="00A266A7" w:rsidP="00A266A7">
      <w:pPr>
        <w:pStyle w:val="Odsekzoznamu"/>
        <w:widowControl w:val="0"/>
        <w:numPr>
          <w:ilvl w:val="0"/>
          <w:numId w:val="8"/>
        </w:numPr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5E1">
        <w:rPr>
          <w:rFonts w:ascii="Times New Roman" w:hAnsi="Times New Roman" w:cs="Times New Roman"/>
          <w:sz w:val="24"/>
          <w:szCs w:val="24"/>
        </w:rPr>
        <w:t xml:space="preserve">vzťahu medzi obťažovaním a hladinou hluku </w:t>
      </w:r>
      <w:proofErr w:type="spellStart"/>
      <w:r w:rsidRPr="006645E1">
        <w:rPr>
          <w:rFonts w:ascii="Times New Roman" w:hAnsi="Times New Roman" w:cs="Times New Roman"/>
          <w:i/>
          <w:sz w:val="24"/>
          <w:szCs w:val="24"/>
        </w:rPr>
        <w:t>L</w:t>
      </w:r>
      <w:r w:rsidRPr="006645E1">
        <w:rPr>
          <w:rFonts w:ascii="Times New Roman" w:hAnsi="Times New Roman" w:cs="Times New Roman"/>
          <w:i/>
          <w:sz w:val="24"/>
          <w:szCs w:val="24"/>
          <w:vertAlign w:val="subscript"/>
        </w:rPr>
        <w:t>dvn</w:t>
      </w:r>
      <w:proofErr w:type="spellEnd"/>
      <w:r w:rsidRPr="006645E1">
        <w:rPr>
          <w:rFonts w:ascii="Times New Roman" w:hAnsi="Times New Roman" w:cs="Times New Roman"/>
          <w:sz w:val="24"/>
          <w:szCs w:val="24"/>
        </w:rPr>
        <w:t xml:space="preserve"> pre priemyselný hluk, </w:t>
      </w:r>
    </w:p>
    <w:p w:rsidR="00A266A7" w:rsidRPr="006645E1" w:rsidRDefault="00A266A7" w:rsidP="00A266A7">
      <w:pPr>
        <w:pStyle w:val="Odsekzoznamu"/>
        <w:widowControl w:val="0"/>
        <w:numPr>
          <w:ilvl w:val="0"/>
          <w:numId w:val="8"/>
        </w:numPr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5E1">
        <w:rPr>
          <w:rFonts w:ascii="Times New Roman" w:hAnsi="Times New Roman" w:cs="Times New Roman"/>
          <w:sz w:val="24"/>
          <w:szCs w:val="24"/>
        </w:rPr>
        <w:t xml:space="preserve">vzťahu medzi poruchami spánku a hladinou hluku </w:t>
      </w:r>
      <w:proofErr w:type="spellStart"/>
      <w:r w:rsidRPr="006645E1">
        <w:rPr>
          <w:rFonts w:ascii="Times New Roman" w:hAnsi="Times New Roman" w:cs="Times New Roman"/>
          <w:i/>
          <w:sz w:val="24"/>
          <w:szCs w:val="24"/>
        </w:rPr>
        <w:t>L</w:t>
      </w:r>
      <w:r w:rsidRPr="006645E1">
        <w:rPr>
          <w:rFonts w:ascii="Times New Roman" w:hAnsi="Times New Roman" w:cs="Times New Roman"/>
          <w:i/>
          <w:sz w:val="24"/>
          <w:szCs w:val="24"/>
          <w:vertAlign w:val="subscript"/>
        </w:rPr>
        <w:t>noc</w:t>
      </w:r>
      <w:proofErr w:type="spellEnd"/>
      <w:r w:rsidRPr="006645E1">
        <w:rPr>
          <w:rFonts w:ascii="Times New Roman" w:hAnsi="Times New Roman" w:cs="Times New Roman"/>
          <w:sz w:val="24"/>
          <w:szCs w:val="24"/>
        </w:rPr>
        <w:t xml:space="preserve"> pre priemyselný hluk. </w:t>
      </w:r>
    </w:p>
    <w:p w:rsidR="00A266A7" w:rsidRPr="006645E1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45E1">
        <w:rPr>
          <w:rFonts w:ascii="Times New Roman" w:hAnsi="Times New Roman" w:cs="Times New Roman"/>
          <w:sz w:val="24"/>
          <w:szCs w:val="24"/>
        </w:rPr>
        <w:t xml:space="preserve">V prípade potreby by sa mohli predložiť informácie týkajúce sa špecifických vzťahov dávka – účinok týkajúce sa: </w:t>
      </w:r>
    </w:p>
    <w:p w:rsidR="006645E1" w:rsidRDefault="00A266A7" w:rsidP="00A266A7">
      <w:pPr>
        <w:pStyle w:val="Odsekzoznamu"/>
        <w:widowControl w:val="0"/>
        <w:numPr>
          <w:ilvl w:val="0"/>
          <w:numId w:val="8"/>
        </w:numPr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45E1">
        <w:rPr>
          <w:rFonts w:ascii="Times New Roman" w:hAnsi="Times New Roman" w:cs="Times New Roman"/>
          <w:sz w:val="24"/>
          <w:szCs w:val="24"/>
        </w:rPr>
        <w:t xml:space="preserve">obydlí so špeciálnou izoláciou proti hluku v zmysle prílohy VI smernice </w:t>
      </w:r>
      <w:r w:rsidR="0080442C" w:rsidRPr="006645E1">
        <w:rPr>
          <w:rFonts w:ascii="Times New Roman" w:hAnsi="Times New Roman" w:cs="Times New Roman"/>
          <w:sz w:val="24"/>
          <w:szCs w:val="24"/>
        </w:rPr>
        <w:t xml:space="preserve">Európskeho parlamentu a Rady </w:t>
      </w:r>
      <w:r w:rsidRPr="006645E1">
        <w:rPr>
          <w:rFonts w:ascii="Times New Roman" w:hAnsi="Times New Roman" w:cs="Times New Roman"/>
          <w:sz w:val="24"/>
          <w:szCs w:val="24"/>
        </w:rPr>
        <w:t>2002/49/ES z 25. júna 2002, ktorá sa týka posudzovania a riadenia environmentálneho hluku (Mimoriadne vydanie Ú. v. EÚ, kap. 15/zv. 7</w:t>
      </w:r>
      <w:r w:rsidR="0080442C">
        <w:rPr>
          <w:rFonts w:ascii="Times New Roman" w:hAnsi="Times New Roman" w:cs="Times New Roman"/>
          <w:sz w:val="24"/>
          <w:szCs w:val="24"/>
        </w:rPr>
        <w:t>;</w:t>
      </w:r>
      <w:r w:rsidR="00EC2ED3">
        <w:rPr>
          <w:rFonts w:ascii="Times New Roman" w:hAnsi="Times New Roman" w:cs="Times New Roman"/>
          <w:sz w:val="24"/>
          <w:szCs w:val="24"/>
        </w:rPr>
        <w:t xml:space="preserve"> </w:t>
      </w:r>
      <w:r w:rsidR="00EC2ED3" w:rsidRPr="00EC2ED3">
        <w:rPr>
          <w:rFonts w:ascii="Times New Roman" w:hAnsi="Times New Roman" w:cs="Times New Roman"/>
          <w:sz w:val="24"/>
          <w:szCs w:val="24"/>
        </w:rPr>
        <w:t>Ú. v. ES L 189, 18. 7. 2002</w:t>
      </w:r>
      <w:r w:rsidRPr="006645E1">
        <w:rPr>
          <w:rFonts w:ascii="Times New Roman" w:hAnsi="Times New Roman" w:cs="Times New Roman"/>
          <w:sz w:val="24"/>
          <w:szCs w:val="24"/>
        </w:rPr>
        <w:t>),</w:t>
      </w:r>
    </w:p>
    <w:p w:rsidR="00A266A7" w:rsidRPr="006645E1" w:rsidRDefault="006645E1" w:rsidP="00664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66A7" w:rsidRPr="006645E1" w:rsidRDefault="00A266A7" w:rsidP="00A266A7">
      <w:pPr>
        <w:pStyle w:val="Odsekzoznamu"/>
        <w:widowControl w:val="0"/>
        <w:numPr>
          <w:ilvl w:val="0"/>
          <w:numId w:val="8"/>
        </w:numPr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5E1">
        <w:rPr>
          <w:rFonts w:ascii="Times New Roman" w:hAnsi="Times New Roman" w:cs="Times New Roman"/>
          <w:sz w:val="24"/>
          <w:szCs w:val="24"/>
        </w:rPr>
        <w:lastRenderedPageBreak/>
        <w:t xml:space="preserve">obydlia s tichou fasádou v zmysle prílohy VI smernice </w:t>
      </w:r>
      <w:r w:rsidR="0080442C" w:rsidRPr="006645E1">
        <w:rPr>
          <w:rFonts w:ascii="Times New Roman" w:hAnsi="Times New Roman" w:cs="Times New Roman"/>
          <w:sz w:val="24"/>
          <w:szCs w:val="24"/>
        </w:rPr>
        <w:t xml:space="preserve">Európskeho parlamentu a Rady </w:t>
      </w:r>
      <w:r w:rsidRPr="006645E1">
        <w:rPr>
          <w:rFonts w:ascii="Times New Roman" w:hAnsi="Times New Roman" w:cs="Times New Roman"/>
          <w:sz w:val="24"/>
          <w:szCs w:val="24"/>
        </w:rPr>
        <w:t>2002/49/ES z 25. júna 2002, ktorá sa týka posudzovania a riadenia environmentálneho hluku (Mimoriadne vydanie Ú. v. EÚ, kap. 15/zv. 7</w:t>
      </w:r>
      <w:r w:rsidR="0080442C">
        <w:rPr>
          <w:rFonts w:ascii="Times New Roman" w:hAnsi="Times New Roman" w:cs="Times New Roman"/>
          <w:sz w:val="24"/>
          <w:szCs w:val="24"/>
        </w:rPr>
        <w:t>;</w:t>
      </w:r>
      <w:r w:rsidR="00EC2ED3">
        <w:rPr>
          <w:rFonts w:ascii="Times New Roman" w:hAnsi="Times New Roman" w:cs="Times New Roman"/>
          <w:sz w:val="24"/>
          <w:szCs w:val="24"/>
        </w:rPr>
        <w:t xml:space="preserve"> </w:t>
      </w:r>
      <w:r w:rsidR="00EC2ED3" w:rsidRPr="00EC2ED3">
        <w:rPr>
          <w:rFonts w:ascii="Times New Roman" w:hAnsi="Times New Roman" w:cs="Times New Roman"/>
          <w:sz w:val="24"/>
          <w:szCs w:val="24"/>
        </w:rPr>
        <w:t>Ú. v. ES L 189, 18. 7. 2002</w:t>
      </w:r>
      <w:r w:rsidRPr="006645E1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266A7" w:rsidRPr="006645E1" w:rsidRDefault="00A266A7" w:rsidP="00A266A7">
      <w:pPr>
        <w:pStyle w:val="Odsekzoznamu"/>
        <w:widowControl w:val="0"/>
        <w:numPr>
          <w:ilvl w:val="0"/>
          <w:numId w:val="8"/>
        </w:numPr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5E1">
        <w:rPr>
          <w:rFonts w:ascii="Times New Roman" w:hAnsi="Times New Roman" w:cs="Times New Roman"/>
          <w:sz w:val="24"/>
          <w:szCs w:val="24"/>
        </w:rPr>
        <w:t xml:space="preserve">rozličných podnebí/rozličných kultúr, </w:t>
      </w:r>
    </w:p>
    <w:p w:rsidR="00A266A7" w:rsidRPr="006645E1" w:rsidRDefault="00A266A7" w:rsidP="00A266A7">
      <w:pPr>
        <w:pStyle w:val="Odsekzoznamu"/>
        <w:widowControl w:val="0"/>
        <w:numPr>
          <w:ilvl w:val="0"/>
          <w:numId w:val="8"/>
        </w:numPr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5E1">
        <w:rPr>
          <w:rFonts w:ascii="Times New Roman" w:hAnsi="Times New Roman" w:cs="Times New Roman"/>
          <w:sz w:val="24"/>
          <w:szCs w:val="24"/>
        </w:rPr>
        <w:t xml:space="preserve">zraniteľných skupín obyvateľstva, </w:t>
      </w:r>
    </w:p>
    <w:p w:rsidR="00A266A7" w:rsidRPr="006645E1" w:rsidRDefault="00A266A7" w:rsidP="00A266A7">
      <w:pPr>
        <w:pStyle w:val="Odsekzoznamu"/>
        <w:widowControl w:val="0"/>
        <w:numPr>
          <w:ilvl w:val="0"/>
          <w:numId w:val="8"/>
        </w:numPr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5E1">
        <w:rPr>
          <w:rFonts w:ascii="Times New Roman" w:hAnsi="Times New Roman" w:cs="Times New Roman"/>
          <w:sz w:val="24"/>
          <w:szCs w:val="24"/>
        </w:rPr>
        <w:t xml:space="preserve">tónového priemyselného hluku, </w:t>
      </w:r>
    </w:p>
    <w:p w:rsidR="00A266A7" w:rsidRPr="006645E1" w:rsidRDefault="00A266A7" w:rsidP="00A266A7">
      <w:pPr>
        <w:pStyle w:val="Odsekzoznamu"/>
        <w:widowControl w:val="0"/>
        <w:numPr>
          <w:ilvl w:val="0"/>
          <w:numId w:val="8"/>
        </w:numPr>
        <w:suppressAutoHyphens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5E1">
        <w:rPr>
          <w:rFonts w:ascii="Times New Roman" w:hAnsi="Times New Roman" w:cs="Times New Roman"/>
          <w:sz w:val="24"/>
          <w:szCs w:val="24"/>
        </w:rPr>
        <w:t>impulzného priemyselného hluku a iných osobitných prípadov.“.</w:t>
      </w:r>
    </w:p>
    <w:p w:rsidR="00A266A7" w:rsidRPr="006645E1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6645E1" w:rsidRDefault="00A266A7" w:rsidP="00A266A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6645E1" w:rsidRDefault="00EC2ED3" w:rsidP="00A266A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66A7" w:rsidRPr="006645E1">
        <w:rPr>
          <w:rFonts w:ascii="Times New Roman" w:hAnsi="Times New Roman" w:cs="Times New Roman"/>
          <w:sz w:val="24"/>
          <w:szCs w:val="24"/>
        </w:rPr>
        <w:t>. Príloha č. 2 sa dopĺňa tretím bodom, ktorý znie:</w:t>
      </w:r>
    </w:p>
    <w:p w:rsidR="00A266A7" w:rsidRPr="006645E1" w:rsidRDefault="00A266A7" w:rsidP="00A266A7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66A7" w:rsidRPr="006645E1" w:rsidRDefault="00A266A7" w:rsidP="00A266A7">
      <w:pPr>
        <w:pStyle w:val="Odsekzoznamu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45E1">
        <w:rPr>
          <w:rFonts w:ascii="Times New Roman" w:hAnsi="Times New Roman" w:cs="Times New Roman"/>
          <w:sz w:val="24"/>
          <w:szCs w:val="24"/>
        </w:rPr>
        <w:t>„3. Smernica Komisie (EÚ) 2020/367 zo 4. marca 2020, ktorou sa mení príloha III k smernici Európskeho parlamentu a Rady 2002/49/ES, pokiaľ ide o stanovenie metód posudzovania škodlivých účinkov environmentálneho hluku (Ú. v. EÚ L 67, 5.3.2020).“.</w:t>
      </w:r>
    </w:p>
    <w:p w:rsidR="00A266A7" w:rsidRPr="00A266A7" w:rsidRDefault="00A266A7" w:rsidP="00A266A7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A266A7" w:rsidRPr="00A266A7" w:rsidRDefault="00A266A7" w:rsidP="00A266A7">
      <w:pPr>
        <w:pStyle w:val="Odsekzoznamu"/>
        <w:ind w:left="0"/>
        <w:jc w:val="both"/>
        <w:rPr>
          <w:rFonts w:ascii="Times New Roman" w:hAnsi="Times New Roman" w:cs="Times New Roman"/>
        </w:rPr>
      </w:pPr>
    </w:p>
    <w:p w:rsidR="00A266A7" w:rsidRPr="00A266A7" w:rsidRDefault="00A266A7" w:rsidP="00A266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 xml:space="preserve">    </w:t>
      </w:r>
      <w:r w:rsidRPr="00A266A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Čl. II</w:t>
      </w:r>
    </w:p>
    <w:p w:rsidR="00A266A7" w:rsidRPr="00A266A7" w:rsidRDefault="00A266A7" w:rsidP="00A2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266A7" w:rsidRPr="00A266A7" w:rsidRDefault="00A266A7" w:rsidP="006645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66A7">
        <w:rPr>
          <w:rFonts w:ascii="Times New Roman" w:hAnsi="Times New Roman" w:cs="Times New Roman"/>
          <w:sz w:val="24"/>
          <w:szCs w:val="24"/>
        </w:rPr>
        <w:t>Toto nariadenie vlády nadobúda účinnosť 15. decembra 2021.</w:t>
      </w:r>
    </w:p>
    <w:p w:rsidR="00A266A7" w:rsidRPr="00A266A7" w:rsidRDefault="00A266A7" w:rsidP="00A26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A0F" w:rsidRPr="00A266A7" w:rsidRDefault="00700A0F" w:rsidP="00A266A7">
      <w:pPr>
        <w:rPr>
          <w:rFonts w:ascii="Times New Roman" w:hAnsi="Times New Roman" w:cs="Times New Roman"/>
          <w:szCs w:val="24"/>
        </w:rPr>
      </w:pPr>
    </w:p>
    <w:sectPr w:rsidR="00700A0F" w:rsidRPr="00A266A7" w:rsidSect="00E23C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E4" w:rsidRDefault="00300AE4" w:rsidP="006B3B3C">
      <w:pPr>
        <w:spacing w:after="0" w:line="240" w:lineRule="auto"/>
      </w:pPr>
      <w:r>
        <w:separator/>
      </w:r>
    </w:p>
  </w:endnote>
  <w:endnote w:type="continuationSeparator" w:id="0">
    <w:p w:rsidR="00300AE4" w:rsidRDefault="00300AE4" w:rsidP="006B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7930165"/>
      <w:docPartObj>
        <w:docPartGallery w:val="Page Numbers (Bottom of Page)"/>
        <w:docPartUnique/>
      </w:docPartObj>
    </w:sdtPr>
    <w:sdtContent>
      <w:p w:rsidR="006B3B3C" w:rsidRDefault="00B20E1B">
        <w:pPr>
          <w:pStyle w:val="Pta"/>
          <w:jc w:val="center"/>
        </w:pPr>
        <w:r>
          <w:fldChar w:fldCharType="begin"/>
        </w:r>
        <w:r w:rsidR="006B3B3C">
          <w:instrText>PAGE   \* MERGEFORMAT</w:instrText>
        </w:r>
        <w:r>
          <w:fldChar w:fldCharType="separate"/>
        </w:r>
        <w:r w:rsidR="0080442C">
          <w:rPr>
            <w:noProof/>
          </w:rPr>
          <w:t>5</w:t>
        </w:r>
        <w:r>
          <w:fldChar w:fldCharType="end"/>
        </w:r>
      </w:p>
    </w:sdtContent>
  </w:sdt>
  <w:p w:rsidR="006B3B3C" w:rsidRDefault="006B3B3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E4" w:rsidRDefault="00300AE4" w:rsidP="006B3B3C">
      <w:pPr>
        <w:spacing w:after="0" w:line="240" w:lineRule="auto"/>
      </w:pPr>
      <w:r>
        <w:separator/>
      </w:r>
    </w:p>
  </w:footnote>
  <w:footnote w:type="continuationSeparator" w:id="0">
    <w:p w:rsidR="00300AE4" w:rsidRDefault="00300AE4" w:rsidP="006B3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E00"/>
    <w:multiLevelType w:val="multilevel"/>
    <w:tmpl w:val="27A431EE"/>
    <w:numStyleLink w:val="tl6"/>
  </w:abstractNum>
  <w:abstractNum w:abstractNumId="1">
    <w:nsid w:val="08DD46D8"/>
    <w:multiLevelType w:val="multilevel"/>
    <w:tmpl w:val="CCEE3A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F26B23"/>
    <w:multiLevelType w:val="multilevel"/>
    <w:tmpl w:val="6F66F3A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3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185A5D6C"/>
    <w:multiLevelType w:val="hybridMultilevel"/>
    <w:tmpl w:val="F8FEE3D4"/>
    <w:lvl w:ilvl="0" w:tplc="779AC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31A2E"/>
    <w:multiLevelType w:val="multilevel"/>
    <w:tmpl w:val="C35897B2"/>
    <w:numStyleLink w:val="tl4"/>
  </w:abstractNum>
  <w:abstractNum w:abstractNumId="5">
    <w:nsid w:val="23E534B7"/>
    <w:multiLevelType w:val="multilevel"/>
    <w:tmpl w:val="27A431EE"/>
    <w:numStyleLink w:val="tl6"/>
  </w:abstractNum>
  <w:abstractNum w:abstractNumId="6">
    <w:nsid w:val="254A3F78"/>
    <w:multiLevelType w:val="hybridMultilevel"/>
    <w:tmpl w:val="0770CE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5483D"/>
    <w:multiLevelType w:val="hybridMultilevel"/>
    <w:tmpl w:val="EBC0A338"/>
    <w:lvl w:ilvl="0" w:tplc="FFFFFFFF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7D557BB"/>
    <w:multiLevelType w:val="multilevel"/>
    <w:tmpl w:val="33604FDE"/>
    <w:numStyleLink w:val="tl5"/>
  </w:abstractNum>
  <w:abstractNum w:abstractNumId="9">
    <w:nsid w:val="2A1C1C51"/>
    <w:multiLevelType w:val="multilevel"/>
    <w:tmpl w:val="215417D2"/>
    <w:numStyleLink w:val="tl2"/>
  </w:abstractNum>
  <w:abstractNum w:abstractNumId="10">
    <w:nsid w:val="2A361C9E"/>
    <w:multiLevelType w:val="multilevel"/>
    <w:tmpl w:val="7B9C7C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1">
    <w:nsid w:val="369F4382"/>
    <w:multiLevelType w:val="multilevel"/>
    <w:tmpl w:val="33604FDE"/>
    <w:styleLink w:val="tl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3.2.2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>
    <w:nsid w:val="384E5838"/>
    <w:multiLevelType w:val="multilevel"/>
    <w:tmpl w:val="C35897B2"/>
    <w:styleLink w:val="tl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3.2.1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>
    <w:nsid w:val="3B2C3A22"/>
    <w:multiLevelType w:val="hybridMultilevel"/>
    <w:tmpl w:val="48D801F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43532"/>
    <w:multiLevelType w:val="multilevel"/>
    <w:tmpl w:val="F0A22A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DE350B"/>
    <w:multiLevelType w:val="multilevel"/>
    <w:tmpl w:val="6972D518"/>
    <w:numStyleLink w:val="tl3"/>
  </w:abstractNum>
  <w:abstractNum w:abstractNumId="16">
    <w:nsid w:val="426E281D"/>
    <w:multiLevelType w:val="multilevel"/>
    <w:tmpl w:val="6972D518"/>
    <w:styleLink w:val="tl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3.2.1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>
    <w:nsid w:val="46445A43"/>
    <w:multiLevelType w:val="multilevel"/>
    <w:tmpl w:val="2B282522"/>
    <w:numStyleLink w:val="tl1"/>
  </w:abstractNum>
  <w:abstractNum w:abstractNumId="18">
    <w:nsid w:val="47387B6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85482B"/>
    <w:multiLevelType w:val="hybridMultilevel"/>
    <w:tmpl w:val="BD02A664"/>
    <w:lvl w:ilvl="0" w:tplc="E6B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18103B"/>
    <w:multiLevelType w:val="hybridMultilevel"/>
    <w:tmpl w:val="DAF201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D7510"/>
    <w:multiLevelType w:val="multilevel"/>
    <w:tmpl w:val="3710D604"/>
    <w:numStyleLink w:val="tl7"/>
  </w:abstractNum>
  <w:abstractNum w:abstractNumId="22">
    <w:nsid w:val="5F837799"/>
    <w:multiLevelType w:val="multilevel"/>
    <w:tmpl w:val="215417D2"/>
    <w:numStyleLink w:val="tl2"/>
  </w:abstractNum>
  <w:abstractNum w:abstractNumId="23">
    <w:nsid w:val="61DB64EE"/>
    <w:multiLevelType w:val="multilevel"/>
    <w:tmpl w:val="2B282522"/>
    <w:styleLink w:val="tl1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2.3"/>
      <w:lvlJc w:val="left"/>
      <w:pPr>
        <w:ind w:left="2160" w:hanging="360"/>
      </w:pPr>
      <w:rPr>
        <w:rFonts w:hint="default"/>
      </w:rPr>
    </w:lvl>
    <w:lvl w:ilvl="4">
      <w:start w:val="1"/>
      <w:numFmt w:val="none"/>
      <w:lvlText w:val="2.4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6C7319"/>
    <w:multiLevelType w:val="multilevel"/>
    <w:tmpl w:val="215417D2"/>
    <w:styleLink w:val="tl2"/>
    <w:lvl w:ilvl="0">
      <w:start w:val="3"/>
      <w:numFmt w:val="decimal"/>
      <w:lvlText w:val="%1."/>
      <w:lvlJc w:val="left"/>
      <w:pPr>
        <w:ind w:left="30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6" w:hanging="432"/>
      </w:pPr>
      <w:rPr>
        <w:rFonts w:hint="default"/>
        <w:b/>
      </w:rPr>
    </w:lvl>
    <w:lvl w:ilvl="2">
      <w:numFmt w:val="decimal"/>
      <w:lvlText w:val="%1.1.1"/>
      <w:lvlJc w:val="left"/>
      <w:pPr>
        <w:ind w:left="3886" w:hanging="504"/>
      </w:pPr>
      <w:rPr>
        <w:rFonts w:hint="default"/>
      </w:rPr>
    </w:lvl>
    <w:lvl w:ilvl="3">
      <w:start w:val="1"/>
      <w:numFmt w:val="decimal"/>
      <w:lvlText w:val="%1.%2.1.%4"/>
      <w:lvlJc w:val="left"/>
      <w:pPr>
        <w:ind w:left="43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2" w:hanging="1440"/>
      </w:pPr>
      <w:rPr>
        <w:rFonts w:hint="default"/>
      </w:rPr>
    </w:lvl>
  </w:abstractNum>
  <w:abstractNum w:abstractNumId="26">
    <w:nsid w:val="689C65F2"/>
    <w:multiLevelType w:val="multilevel"/>
    <w:tmpl w:val="215417D2"/>
    <w:numStyleLink w:val="tl2"/>
  </w:abstractNum>
  <w:abstractNum w:abstractNumId="27">
    <w:nsid w:val="68FE254A"/>
    <w:multiLevelType w:val="multilevel"/>
    <w:tmpl w:val="7B9C7C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A41051"/>
    <w:multiLevelType w:val="hybridMultilevel"/>
    <w:tmpl w:val="612EA798"/>
    <w:lvl w:ilvl="0" w:tplc="2828EF3A">
      <w:start w:val="2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4B1024"/>
    <w:multiLevelType w:val="multilevel"/>
    <w:tmpl w:val="3710D604"/>
    <w:styleLink w:val="tl7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F224195"/>
    <w:multiLevelType w:val="hybridMultilevel"/>
    <w:tmpl w:val="3B48A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00E2D"/>
    <w:multiLevelType w:val="multilevel"/>
    <w:tmpl w:val="3ABE14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02E6ACF"/>
    <w:multiLevelType w:val="multilevel"/>
    <w:tmpl w:val="2B282522"/>
    <w:numStyleLink w:val="tl1"/>
  </w:abstractNum>
  <w:abstractNum w:abstractNumId="33">
    <w:nsid w:val="745479C4"/>
    <w:multiLevelType w:val="multilevel"/>
    <w:tmpl w:val="33604FDE"/>
    <w:numStyleLink w:val="tl5"/>
  </w:abstractNum>
  <w:abstractNum w:abstractNumId="34">
    <w:nsid w:val="74F52CEB"/>
    <w:multiLevelType w:val="multilevel"/>
    <w:tmpl w:val="27A431EE"/>
    <w:styleLink w:val="tl6"/>
    <w:lvl w:ilvl="0">
      <w:start w:val="1"/>
      <w:numFmt w:val="none"/>
      <w:lvlText w:val="3.2.3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5">
    <w:nsid w:val="762705A9"/>
    <w:multiLevelType w:val="multilevel"/>
    <w:tmpl w:val="3710D604"/>
    <w:numStyleLink w:val="tl7"/>
  </w:abstractNum>
  <w:abstractNum w:abstractNumId="36">
    <w:nsid w:val="77A24E77"/>
    <w:multiLevelType w:val="hybridMultilevel"/>
    <w:tmpl w:val="340AE4C0"/>
    <w:lvl w:ilvl="0" w:tplc="60062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C7816"/>
    <w:multiLevelType w:val="multilevel"/>
    <w:tmpl w:val="C35897B2"/>
    <w:numStyleLink w:val="tl4"/>
  </w:abstractNum>
  <w:abstractNum w:abstractNumId="38">
    <w:nsid w:val="7F680C6B"/>
    <w:multiLevelType w:val="hybridMultilevel"/>
    <w:tmpl w:val="2F68F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0"/>
  </w:num>
  <w:num w:numId="4">
    <w:abstractNumId w:val="6"/>
  </w:num>
  <w:num w:numId="5">
    <w:abstractNumId w:val="38"/>
  </w:num>
  <w:num w:numId="6">
    <w:abstractNumId w:val="7"/>
  </w:num>
  <w:num w:numId="7">
    <w:abstractNumId w:val="36"/>
  </w:num>
  <w:num w:numId="8">
    <w:abstractNumId w:val="3"/>
  </w:num>
  <w:num w:numId="9">
    <w:abstractNumId w:val="27"/>
    <w:lvlOverride w:ilvl="0">
      <w:lvl w:ilvl="0">
        <w:start w:val="2"/>
        <w:numFmt w:val="decimal"/>
        <w:lvlText w:val="%1.3"/>
        <w:lvlJc w:val="left"/>
        <w:pPr>
          <w:ind w:left="502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1"/>
  </w:num>
  <w:num w:numId="11">
    <w:abstractNumId w:val="14"/>
  </w:num>
  <w:num w:numId="12">
    <w:abstractNumId w:val="18"/>
  </w:num>
  <w:num w:numId="13">
    <w:abstractNumId w:val="28"/>
  </w:num>
  <w:num w:numId="14">
    <w:abstractNumId w:val="1"/>
  </w:num>
  <w:num w:numId="15">
    <w:abstractNumId w:val="23"/>
  </w:num>
  <w:num w:numId="16">
    <w:abstractNumId w:val="32"/>
  </w:num>
  <w:num w:numId="17">
    <w:abstractNumId w:val="1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2.1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2.2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none"/>
        <w:lvlText w:val="2.3"/>
        <w:lvlJc w:val="left"/>
        <w:pPr>
          <w:ind w:left="2160" w:hanging="360"/>
        </w:pPr>
        <w:rPr>
          <w:rFonts w:hint="default"/>
          <w:sz w:val="24"/>
        </w:rPr>
      </w:lvl>
    </w:lvlOverride>
  </w:num>
  <w:num w:numId="18">
    <w:abstractNumId w:val="25"/>
  </w:num>
  <w:num w:numId="19">
    <w:abstractNumId w:val="9"/>
  </w:num>
  <w:num w:numId="20">
    <w:abstractNumId w:val="22"/>
    <w:lvlOverride w:ilvl="0">
      <w:lvl w:ilvl="0">
        <w:start w:val="3"/>
        <w:numFmt w:val="decimal"/>
        <w:lvlText w:val="%1."/>
        <w:lvlJc w:val="left"/>
        <w:pPr>
          <w:ind w:left="3022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236" w:hanging="432"/>
        </w:pPr>
        <w:rPr>
          <w:rFonts w:hint="default"/>
          <w:b/>
        </w:rPr>
      </w:lvl>
    </w:lvlOverride>
    <w:lvlOverride w:ilvl="2">
      <w:lvl w:ilvl="2">
        <w:numFmt w:val="decimal"/>
        <w:lvlText w:val="%1.1.1"/>
        <w:lvlJc w:val="left"/>
        <w:pPr>
          <w:ind w:left="3886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1.%4"/>
        <w:lvlJc w:val="left"/>
        <w:pPr>
          <w:ind w:left="4390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894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398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902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6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982" w:hanging="1440"/>
        </w:pPr>
        <w:rPr>
          <w:rFonts w:hint="default"/>
        </w:rPr>
      </w:lvl>
    </w:lvlOverride>
  </w:num>
  <w:num w:numId="21">
    <w:abstractNumId w:val="26"/>
  </w:num>
  <w:num w:numId="22">
    <w:abstractNumId w:val="10"/>
  </w:num>
  <w:num w:numId="23">
    <w:abstractNumId w:val="16"/>
  </w:num>
  <w:num w:numId="24">
    <w:abstractNumId w:val="15"/>
  </w:num>
  <w:num w:numId="25">
    <w:abstractNumId w:val="2"/>
  </w:num>
  <w:num w:numId="26">
    <w:abstractNumId w:val="12"/>
  </w:num>
  <w:num w:numId="27">
    <w:abstractNumId w:val="4"/>
  </w:num>
  <w:num w:numId="28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none"/>
        <w:lvlText w:val="3.2.1"/>
        <w:lvlJc w:val="left"/>
        <w:pPr>
          <w:ind w:left="1800" w:hanging="360"/>
        </w:pPr>
        <w:rPr>
          <w:rFonts w:hint="default"/>
        </w:rPr>
      </w:lvl>
    </w:lvlOverride>
  </w:num>
  <w:num w:numId="29">
    <w:abstractNumId w:val="11"/>
  </w:num>
  <w:num w:numId="30">
    <w:abstractNumId w:val="8"/>
  </w:num>
  <w:num w:numId="31">
    <w:abstractNumId w:val="33"/>
  </w:num>
  <w:num w:numId="32">
    <w:abstractNumId w:val="34"/>
  </w:num>
  <w:num w:numId="33">
    <w:abstractNumId w:val="0"/>
  </w:num>
  <w:num w:numId="34">
    <w:abstractNumId w:val="5"/>
    <w:lvlOverride w:ilvl="0">
      <w:lvl w:ilvl="0">
        <w:start w:val="1"/>
        <w:numFmt w:val="none"/>
        <w:lvlText w:val="3.2.3"/>
        <w:lvlJc w:val="left"/>
        <w:pPr>
          <w:ind w:left="1080" w:hanging="360"/>
        </w:pPr>
        <w:rPr>
          <w:rFonts w:hint="default"/>
        </w:rPr>
      </w:lvl>
    </w:lvlOverride>
  </w:num>
  <w:num w:numId="35">
    <w:abstractNumId w:val="29"/>
  </w:num>
  <w:num w:numId="36">
    <w:abstractNumId w:val="35"/>
  </w:num>
  <w:num w:numId="37">
    <w:abstractNumId w:val="21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7A1"/>
    <w:rsid w:val="00001F99"/>
    <w:rsid w:val="00004EB0"/>
    <w:rsid w:val="00024F75"/>
    <w:rsid w:val="00032667"/>
    <w:rsid w:val="00034CA4"/>
    <w:rsid w:val="00095C43"/>
    <w:rsid w:val="000C6456"/>
    <w:rsid w:val="00136B1F"/>
    <w:rsid w:val="00152EF1"/>
    <w:rsid w:val="00174B07"/>
    <w:rsid w:val="0017611A"/>
    <w:rsid w:val="001A4B04"/>
    <w:rsid w:val="001A59C1"/>
    <w:rsid w:val="001B2A8E"/>
    <w:rsid w:val="001D75C5"/>
    <w:rsid w:val="0022070C"/>
    <w:rsid w:val="002217A1"/>
    <w:rsid w:val="00281F2D"/>
    <w:rsid w:val="00300AE4"/>
    <w:rsid w:val="0032297A"/>
    <w:rsid w:val="00325B35"/>
    <w:rsid w:val="0039506E"/>
    <w:rsid w:val="003E69EB"/>
    <w:rsid w:val="003F6239"/>
    <w:rsid w:val="004124B5"/>
    <w:rsid w:val="00415AB9"/>
    <w:rsid w:val="004255B1"/>
    <w:rsid w:val="0045676A"/>
    <w:rsid w:val="00475D69"/>
    <w:rsid w:val="004E78DB"/>
    <w:rsid w:val="00585F40"/>
    <w:rsid w:val="005C4CFC"/>
    <w:rsid w:val="006645E1"/>
    <w:rsid w:val="006705AB"/>
    <w:rsid w:val="006741C8"/>
    <w:rsid w:val="006A6409"/>
    <w:rsid w:val="006B3B3C"/>
    <w:rsid w:val="00700A0F"/>
    <w:rsid w:val="007405F0"/>
    <w:rsid w:val="007A661C"/>
    <w:rsid w:val="007D087F"/>
    <w:rsid w:val="0080442C"/>
    <w:rsid w:val="00827B76"/>
    <w:rsid w:val="0087721F"/>
    <w:rsid w:val="00883F82"/>
    <w:rsid w:val="00896C6E"/>
    <w:rsid w:val="008C23BA"/>
    <w:rsid w:val="008D7204"/>
    <w:rsid w:val="008F0805"/>
    <w:rsid w:val="00961982"/>
    <w:rsid w:val="00992396"/>
    <w:rsid w:val="009B6D65"/>
    <w:rsid w:val="009C3A8D"/>
    <w:rsid w:val="00A255C0"/>
    <w:rsid w:val="00A266A7"/>
    <w:rsid w:val="00A35BD3"/>
    <w:rsid w:val="00A7187A"/>
    <w:rsid w:val="00AD0009"/>
    <w:rsid w:val="00AD6EE3"/>
    <w:rsid w:val="00B20E1B"/>
    <w:rsid w:val="00BE0AD7"/>
    <w:rsid w:val="00C452B6"/>
    <w:rsid w:val="00C57204"/>
    <w:rsid w:val="00C700F6"/>
    <w:rsid w:val="00C72498"/>
    <w:rsid w:val="00C92023"/>
    <w:rsid w:val="00C97D19"/>
    <w:rsid w:val="00CC1050"/>
    <w:rsid w:val="00CC726F"/>
    <w:rsid w:val="00D429CE"/>
    <w:rsid w:val="00D449B1"/>
    <w:rsid w:val="00D5584A"/>
    <w:rsid w:val="00DD246D"/>
    <w:rsid w:val="00E23CFE"/>
    <w:rsid w:val="00E3371D"/>
    <w:rsid w:val="00E54C1B"/>
    <w:rsid w:val="00E73A21"/>
    <w:rsid w:val="00E74601"/>
    <w:rsid w:val="00EC2ED3"/>
    <w:rsid w:val="00F04065"/>
    <w:rsid w:val="00F050BE"/>
    <w:rsid w:val="00F268ED"/>
    <w:rsid w:val="00FF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17A1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99"/>
    <w:qFormat/>
    <w:rsid w:val="0087721F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39506E"/>
    <w:rPr>
      <w:rFonts w:asciiTheme="minorHAnsi" w:hAnsiTheme="minorHAnsi" w:cstheme="minorBidi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325B3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B2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2A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A8E"/>
    <w:rPr>
      <w:rFonts w:asciiTheme="minorHAnsi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A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A8E"/>
    <w:rPr>
      <w:rFonts w:asciiTheme="minorHAnsi" w:hAnsiTheme="minorHAnsi" w:cstheme="minorBid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A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B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3B3C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B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3B3C"/>
    <w:rPr>
      <w:rFonts w:asciiTheme="minorHAnsi" w:hAnsiTheme="minorHAnsi" w:cstheme="minorBidi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A266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rsid w:val="00A266A7"/>
    <w:rPr>
      <w:rFonts w:eastAsia="Times New Roman"/>
      <w:b/>
      <w:bCs/>
      <w:sz w:val="28"/>
    </w:rPr>
  </w:style>
  <w:style w:type="paragraph" w:customStyle="1" w:styleId="1podsek">
    <w:name w:val="1podsek"/>
    <w:basedOn w:val="Odsekzoznamu"/>
    <w:qFormat/>
    <w:rsid w:val="00A266A7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tl1">
    <w:name w:val="Štýl1"/>
    <w:uiPriority w:val="99"/>
    <w:rsid w:val="005C4CFC"/>
    <w:pPr>
      <w:numPr>
        <w:numId w:val="15"/>
      </w:numPr>
    </w:pPr>
  </w:style>
  <w:style w:type="numbering" w:customStyle="1" w:styleId="tl2">
    <w:name w:val="Štýl2"/>
    <w:uiPriority w:val="99"/>
    <w:rsid w:val="005C4CFC"/>
    <w:pPr>
      <w:numPr>
        <w:numId w:val="18"/>
      </w:numPr>
    </w:pPr>
  </w:style>
  <w:style w:type="numbering" w:customStyle="1" w:styleId="tl3">
    <w:name w:val="Štýl3"/>
    <w:uiPriority w:val="99"/>
    <w:rsid w:val="00FF21BB"/>
    <w:pPr>
      <w:numPr>
        <w:numId w:val="23"/>
      </w:numPr>
    </w:pPr>
  </w:style>
  <w:style w:type="numbering" w:customStyle="1" w:styleId="tl4">
    <w:name w:val="Štýl4"/>
    <w:uiPriority w:val="99"/>
    <w:rsid w:val="00FF21BB"/>
    <w:pPr>
      <w:numPr>
        <w:numId w:val="26"/>
      </w:numPr>
    </w:pPr>
  </w:style>
  <w:style w:type="numbering" w:customStyle="1" w:styleId="tl5">
    <w:name w:val="Štýl5"/>
    <w:uiPriority w:val="99"/>
    <w:rsid w:val="00FF21BB"/>
    <w:pPr>
      <w:numPr>
        <w:numId w:val="29"/>
      </w:numPr>
    </w:pPr>
  </w:style>
  <w:style w:type="numbering" w:customStyle="1" w:styleId="tl6">
    <w:name w:val="Štýl6"/>
    <w:uiPriority w:val="99"/>
    <w:rsid w:val="00FF21BB"/>
    <w:pPr>
      <w:numPr>
        <w:numId w:val="32"/>
      </w:numPr>
    </w:pPr>
  </w:style>
  <w:style w:type="numbering" w:customStyle="1" w:styleId="tl7">
    <w:name w:val="Štýl7"/>
    <w:uiPriority w:val="99"/>
    <w:rsid w:val="004124B5"/>
    <w:pPr>
      <w:numPr>
        <w:numId w:val="35"/>
      </w:numPr>
    </w:pPr>
  </w:style>
  <w:style w:type="paragraph" w:styleId="Zkladntext2">
    <w:name w:val="Body Text 2"/>
    <w:basedOn w:val="Normlny"/>
    <w:link w:val="Zkladntext2Char"/>
    <w:uiPriority w:val="99"/>
    <w:rsid w:val="00EC2ED3"/>
    <w:pPr>
      <w:widowControl w:val="0"/>
      <w:suppressAutoHyphens/>
      <w:spacing w:after="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C2ED3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2_Vlastný-materiál"/>
    <f:field ref="objsubject" par="" edit="true" text=""/>
    <f:field ref="objcreatedby" par="" text="Smažáková, Janette"/>
    <f:field ref="objcreatedat" par="" text="30.3.2021 16:31:20"/>
    <f:field ref="objchangedby" par="" text="Administrator, System"/>
    <f:field ref="objmodifiedat" par="" text="30.3.2021 16:31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67AA21-E8A3-4063-B19B-279C6F60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Katrlík Radovan</dc:creator>
  <cp:lastModifiedBy>Depešová</cp:lastModifiedBy>
  <cp:revision>3</cp:revision>
  <cp:lastPrinted>2021-03-08T14:41:00Z</cp:lastPrinted>
  <dcterms:created xsi:type="dcterms:W3CDTF">2021-05-19T08:56:00Z</dcterms:created>
  <dcterms:modified xsi:type="dcterms:W3CDTF">2021-05-19T09:57:00Z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 účasti verejnosti na tvorbe právneho predpisu &lt;/strong&gt;&lt;/p&gt;&lt;p&gt;&amp;nbsp;&lt;/p&gt;&lt;table align="left" border="1" cellpadding="0" cellspacing="0" style="width:99.0%;" width="99%"&gt;	&lt;tbody&gt;		&lt;tr&gt;			&lt;td colspan="5" style="width:100.0%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330/2018 Z. z., ktorým sa ustanovuje výška sadzieb poplatkov za uloženie odpadov a podrobnosti súvisiace s prerozdeľovaním príjmov z poplatkov za uloženie odpadov v znení nariadenia vlády</vt:lpwstr>
  </property>
  <property fmtid="{D5CDD505-2E9C-101B-9397-08002B2CF9AE}" pid="15" name="FSC#SKEDITIONSLOVLEX@103.510:nazovpredpis1">
    <vt:lpwstr> č. 33/2020 Z. z.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mení a dopĺňa nariadenie vlády Slovenskej republiky č. 330/2018 Z. z., ktorým sa ustanovuje výška sadzieb poplatkov za uloženie odpadov a podrobnosti súvisiace s prerozdeľovaním príjmov z poplatkov za ulo</vt:lpwstr>
  </property>
  <property fmtid="{D5CDD505-2E9C-101B-9397-08002B2CF9AE}" pid="24" name="FSC#SKEDITIONSLOVLEX@103.510:plnynazovpredpis1">
    <vt:lpwstr>ženie odpadov v znení nariadenia vlády č. 33/2020 Z. z.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6855/2021-1.7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LP/2021/128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25. 2. 2021</vt:lpwstr>
  </property>
  <property fmtid="{D5CDD505-2E9C-101B-9397-08002B2CF9AE}" pid="59" name="FSC#SKEDITIONSLOVLEX@103.510:AttrDateDocPropUkonceniePKK">
    <vt:lpwstr>3. 3. 2021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justify;"&gt;&amp;nbsp;&amp;nbsp;&amp;nbsp;&amp;nbsp;&amp;nbsp;&amp;nbsp; Podrobnosti týkajúce sa vybraných vplyvov boli popísané v&amp;nbsp;rámci schvaľovacieho procesu k&amp;nbsp;návrhu novely zákona o&amp;nbsp;poplatkoch. Uvedené vplyvy boli zároveň predmetom povinných</vt:lpwstr>
  </property>
  <property fmtid="{D5CDD505-2E9C-101B-9397-08002B2CF9AE}" pid="66" name="FSC#SKEDITIONSLOVLEX@103.510:AttrStrListDocPropAltRiesenia">
    <vt:lpwstr>Alternatívne riešenie 0 – pôvodný stav (financovanie triedeného zberu biologicky rozložiteľného kuchynského odpadu z domácností bude zabezpečované z miestneho poplatku za komunálne odpady a drobné stavebné odpady). Alternatívne riešenie 1 – prijatie návrh</vt:lpwstr>
  </property>
  <property fmtid="{D5CDD505-2E9C-101B-9397-08002B2CF9AE}" pid="67" name="FSC#SKEDITIONSLOVLEX@103.510:AttrStrListDocPropStanoviskoGest">
    <vt:lpwstr>&lt;p&gt;&lt;strong&gt;I. Úvod:&lt;/strong&gt; Ministerstvo životného prostredia SR predložilo dňa 25. februára 2021 Stálej pracovnej komisii na posudzovanie vybraných vplyvov (ďalej len „Komisia“) na predbežné pripomienkové konanie materiál: „Nariadenia vlády Slovenskej r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 Ministerstvo životného prostredia Slovenskej republiky predkladá do legislatívneho procesu návrh nariadenia vlády Slovenskej republiky, ktorým sa mení a dopĺňa nariadenie vlády Slovenskej repu</vt:lpwstr>
  </property>
  <property fmtid="{D5CDD505-2E9C-101B-9397-08002B2CF9AE}" pid="150" name="FSC#SKEDITIONSLOVLEX@103.510:vytvorenedna">
    <vt:lpwstr>30. 3. 2021</vt:lpwstr>
  </property>
  <property fmtid="{D5CDD505-2E9C-101B-9397-08002B2CF9AE}" pid="151" name="FSC#COOSYSTEM@1.1:Container">
    <vt:lpwstr>COO.2145.1000.3.4313344</vt:lpwstr>
  </property>
  <property fmtid="{D5CDD505-2E9C-101B-9397-08002B2CF9AE}" pid="152" name="FSC#FSCFOLIO@1.1001:docpropproject">
    <vt:lpwstr/>
  </property>
</Properties>
</file>