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91" w:rsidRPr="003314A7" w:rsidRDefault="004D2991" w:rsidP="004D2991">
      <w:pPr>
        <w:tabs>
          <w:tab w:val="left" w:pos="2475"/>
          <w:tab w:val="center" w:pos="4536"/>
        </w:tabs>
        <w:rPr>
          <w:b/>
          <w:caps/>
          <w:spacing w:val="30"/>
        </w:rPr>
      </w:pPr>
      <w:r>
        <w:rPr>
          <w:b/>
          <w:caps/>
          <w:spacing w:val="30"/>
        </w:rPr>
        <w:tab/>
      </w:r>
      <w:r>
        <w:rPr>
          <w:b/>
          <w:caps/>
          <w:spacing w:val="30"/>
        </w:rPr>
        <w:tab/>
      </w:r>
      <w:r w:rsidRPr="003314A7">
        <w:rPr>
          <w:b/>
          <w:caps/>
          <w:spacing w:val="30"/>
        </w:rPr>
        <w:t>Doložka zlučiteľnosti</w:t>
      </w:r>
    </w:p>
    <w:p w:rsidR="004D2991" w:rsidRPr="004D2991" w:rsidRDefault="004D2991" w:rsidP="004D2991">
      <w:pPr>
        <w:jc w:val="center"/>
        <w:rPr>
          <w:b/>
          <w:sz w:val="25"/>
          <w:szCs w:val="25"/>
        </w:rPr>
      </w:pPr>
      <w:r w:rsidRPr="004D2991">
        <w:rPr>
          <w:b/>
          <w:sz w:val="25"/>
          <w:szCs w:val="25"/>
        </w:rPr>
        <w:t xml:space="preserve">návrhu </w:t>
      </w:r>
      <w:r w:rsidR="00A65F8A">
        <w:rPr>
          <w:b/>
          <w:sz w:val="25"/>
          <w:szCs w:val="25"/>
        </w:rPr>
        <w:t>nariadenia vlády</w:t>
      </w:r>
      <w:r w:rsidR="00A65F8A" w:rsidRPr="004D2991">
        <w:rPr>
          <w:b/>
          <w:sz w:val="25"/>
          <w:szCs w:val="25"/>
        </w:rPr>
        <w:t xml:space="preserve"> </w:t>
      </w:r>
      <w:r w:rsidRPr="004D2991">
        <w:rPr>
          <w:b/>
          <w:sz w:val="25"/>
          <w:szCs w:val="25"/>
        </w:rPr>
        <w:t>s právom Európskej únie</w:t>
      </w:r>
    </w:p>
    <w:p w:rsidR="004D2991" w:rsidRPr="002E2B19" w:rsidRDefault="004D2991" w:rsidP="004D2991">
      <w:pPr>
        <w:jc w:val="center"/>
      </w:pPr>
    </w:p>
    <w:p w:rsidR="004D2991" w:rsidRPr="004D2991" w:rsidRDefault="004D2991" w:rsidP="004D2991">
      <w:pPr>
        <w:pStyle w:val="Odsekzoznamu"/>
        <w:widowControl/>
        <w:numPr>
          <w:ilvl w:val="0"/>
          <w:numId w:val="8"/>
        </w:numPr>
        <w:autoSpaceDE/>
        <w:autoSpaceDN/>
        <w:adjustRightInd/>
        <w:spacing w:after="160" w:line="259" w:lineRule="auto"/>
        <w:ind w:left="284" w:hanging="284"/>
        <w:jc w:val="both"/>
        <w:rPr>
          <w:sz w:val="25"/>
          <w:szCs w:val="25"/>
        </w:rPr>
      </w:pPr>
      <w:r w:rsidRPr="00117A7E">
        <w:rPr>
          <w:b/>
          <w:sz w:val="25"/>
          <w:szCs w:val="25"/>
        </w:rPr>
        <w:t xml:space="preserve">Predkladateľ </w:t>
      </w:r>
      <w:r>
        <w:rPr>
          <w:b/>
          <w:sz w:val="25"/>
          <w:szCs w:val="25"/>
        </w:rPr>
        <w:t xml:space="preserve">návrhu </w:t>
      </w:r>
      <w:r w:rsidR="00A65F8A">
        <w:rPr>
          <w:b/>
          <w:sz w:val="25"/>
          <w:szCs w:val="25"/>
        </w:rPr>
        <w:t>nariadenia vlády</w:t>
      </w:r>
      <w:r w:rsidRPr="00117A7E">
        <w:rPr>
          <w:b/>
          <w:sz w:val="25"/>
          <w:szCs w:val="25"/>
        </w:rPr>
        <w:t>:</w:t>
      </w:r>
      <w:r w:rsidRPr="00117A7E">
        <w:rPr>
          <w:sz w:val="25"/>
          <w:szCs w:val="25"/>
        </w:rPr>
        <w:t xml:space="preserve"> </w:t>
      </w:r>
      <w:r w:rsidRPr="004D2991">
        <w:rPr>
          <w:sz w:val="25"/>
          <w:szCs w:val="25"/>
        </w:rPr>
        <w:t>Ministerstvo zdravotníctva Slovenskej republiky.</w:t>
      </w:r>
    </w:p>
    <w:p w:rsidR="004D2991" w:rsidRPr="004D2991" w:rsidRDefault="004D2991" w:rsidP="004D2991">
      <w:pPr>
        <w:ind w:left="284" w:hanging="284"/>
        <w:jc w:val="both"/>
        <w:rPr>
          <w:sz w:val="25"/>
          <w:szCs w:val="25"/>
        </w:rPr>
      </w:pPr>
      <w:r w:rsidRPr="00D74769">
        <w:rPr>
          <w:b/>
        </w:rPr>
        <w:t>2.</w:t>
      </w:r>
      <w:r w:rsidRPr="002E2B19">
        <w:t xml:space="preserve"> </w:t>
      </w:r>
      <w:r w:rsidRPr="004D2991">
        <w:rPr>
          <w:b/>
          <w:sz w:val="25"/>
          <w:szCs w:val="25"/>
        </w:rPr>
        <w:t xml:space="preserve">Názov návrhu </w:t>
      </w:r>
      <w:r w:rsidR="00A65F8A">
        <w:rPr>
          <w:b/>
          <w:sz w:val="25"/>
          <w:szCs w:val="25"/>
        </w:rPr>
        <w:t>nariadenia vlády</w:t>
      </w:r>
      <w:r w:rsidRPr="004D2991">
        <w:rPr>
          <w:b/>
          <w:sz w:val="25"/>
          <w:szCs w:val="25"/>
        </w:rPr>
        <w:t>:</w:t>
      </w:r>
      <w:r w:rsidRPr="004D2991">
        <w:rPr>
          <w:sz w:val="25"/>
          <w:szCs w:val="25"/>
        </w:rPr>
        <w:t xml:space="preserve"> Návrh nariadenia vlády Slovenskej republiky, ktorým sa dopĺňa nariadenie vlády Slovenskej republiky č. 43/2005 Z. z., ktorým sa ustanovujú podrobnosti o strategických hlukových mapách a akčných plánoch ochrany pred hlukom v znení neskorších predpisov.</w:t>
      </w:r>
    </w:p>
    <w:p w:rsidR="004D2991" w:rsidRPr="002E2B19" w:rsidRDefault="004D2991" w:rsidP="004D2991">
      <w:pPr>
        <w:pStyle w:val="Odsekzoznamu"/>
        <w:jc w:val="both"/>
      </w:pPr>
    </w:p>
    <w:p w:rsidR="004D2991" w:rsidRPr="004D2991" w:rsidRDefault="004D2991" w:rsidP="004D2991">
      <w:pPr>
        <w:jc w:val="both"/>
        <w:rPr>
          <w:sz w:val="25"/>
          <w:szCs w:val="25"/>
        </w:rPr>
      </w:pPr>
      <w:r w:rsidRPr="004D2991">
        <w:rPr>
          <w:b/>
          <w:sz w:val="25"/>
          <w:szCs w:val="25"/>
        </w:rPr>
        <w:t>3.</w:t>
      </w:r>
      <w:r w:rsidRPr="004D2991">
        <w:rPr>
          <w:sz w:val="25"/>
          <w:szCs w:val="25"/>
        </w:rPr>
        <w:t xml:space="preserve"> </w:t>
      </w:r>
      <w:r w:rsidRPr="004D2991">
        <w:rPr>
          <w:b/>
          <w:sz w:val="25"/>
          <w:szCs w:val="25"/>
        </w:rPr>
        <w:t>Predmet návrhu nariadenia vlády je upravený v práve Európskej únie:</w:t>
      </w:r>
    </w:p>
    <w:p w:rsidR="004D2991" w:rsidRDefault="004D2991" w:rsidP="001B2D19">
      <w:pPr>
        <w:jc w:val="both"/>
        <w:rPr>
          <w:sz w:val="25"/>
          <w:szCs w:val="25"/>
        </w:rPr>
      </w:pPr>
      <w:r w:rsidRPr="004D2991">
        <w:rPr>
          <w:sz w:val="25"/>
          <w:szCs w:val="25"/>
        </w:rPr>
        <w:t xml:space="preserve"> a)</w:t>
      </w:r>
      <w:r w:rsidRPr="004D2991">
        <w:rPr>
          <w:i/>
          <w:iCs/>
          <w:sz w:val="25"/>
          <w:szCs w:val="25"/>
        </w:rPr>
        <w:t xml:space="preserve">  v primárnom práve</w:t>
      </w:r>
      <w:r w:rsidRPr="004D2991">
        <w:rPr>
          <w:sz w:val="25"/>
          <w:szCs w:val="25"/>
        </w:rPr>
        <w:t xml:space="preserve">  v  Zmluve o fungovaní Európskej únie  - Hlava XIV – Verejné zdravie (čl. 168),</w:t>
      </w:r>
    </w:p>
    <w:p w:rsidR="004D2991" w:rsidRPr="004D2991" w:rsidRDefault="004D2991" w:rsidP="004D2991">
      <w:pPr>
        <w:rPr>
          <w:sz w:val="25"/>
          <w:szCs w:val="25"/>
        </w:rPr>
      </w:pPr>
    </w:p>
    <w:p w:rsidR="004D2991" w:rsidRPr="004D2991" w:rsidRDefault="004D2991" w:rsidP="004D2991">
      <w:pPr>
        <w:rPr>
          <w:i/>
          <w:iCs/>
          <w:sz w:val="25"/>
          <w:szCs w:val="25"/>
        </w:rPr>
      </w:pPr>
      <w:r w:rsidRPr="004D2991">
        <w:rPr>
          <w:iCs/>
          <w:sz w:val="25"/>
          <w:szCs w:val="25"/>
        </w:rPr>
        <w:t>b)</w:t>
      </w:r>
      <w:r w:rsidRPr="004D2991">
        <w:rPr>
          <w:i/>
          <w:iCs/>
          <w:sz w:val="25"/>
          <w:szCs w:val="25"/>
        </w:rPr>
        <w:t xml:space="preserve"> v sekundárnom práve</w:t>
      </w:r>
    </w:p>
    <w:p w:rsidR="004D2991" w:rsidRPr="004D2991" w:rsidRDefault="004D2991" w:rsidP="00567D6B">
      <w:pPr>
        <w:tabs>
          <w:tab w:val="left" w:pos="567"/>
        </w:tabs>
        <w:ind w:left="284"/>
        <w:jc w:val="both"/>
        <w:rPr>
          <w:sz w:val="25"/>
          <w:szCs w:val="25"/>
        </w:rPr>
      </w:pPr>
      <w:r w:rsidRPr="004D2991">
        <w:rPr>
          <w:sz w:val="25"/>
          <w:szCs w:val="25"/>
        </w:rPr>
        <w:t>- Smernica Európskeho parlamentu a Rady 2002/49/ES z 25. júna 2002, ktorá sa týka posudzovania a riadenia environmentálneho hluku (Mimoriadne vydanie Ú. v. EÚ, kap. 15/zv. 7) v platnom znení, gestor Ministerstvo zdravotníctva Slovenskej republiky,</w:t>
      </w:r>
    </w:p>
    <w:p w:rsidR="004D2991" w:rsidRDefault="004D2991" w:rsidP="00567D6B">
      <w:pPr>
        <w:ind w:left="284"/>
        <w:jc w:val="both"/>
        <w:rPr>
          <w:sz w:val="25"/>
          <w:szCs w:val="25"/>
        </w:rPr>
      </w:pPr>
      <w:r w:rsidRPr="004D2991">
        <w:rPr>
          <w:sz w:val="25"/>
          <w:szCs w:val="25"/>
        </w:rPr>
        <w:t>- Smernica Komisie (EÚ) 2015/996 z 19. mája 2015, ktorou sa ustanovujú spoločné metódy posudzovania hluku podľa smernice Európskeho parlamentu a Rady 2002/49/ES (Ú. v. EÚ L 168, 1.7.2015), gestor Ministerstvo zdravotníctva Slovenskej republiky,</w:t>
      </w:r>
    </w:p>
    <w:p w:rsidR="00A65F8A" w:rsidRDefault="00A65F8A" w:rsidP="00567D6B">
      <w:pPr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>- S</w:t>
      </w:r>
      <w:r>
        <w:rPr>
          <w:rFonts w:ascii="Times" w:hAnsi="Times" w:cs="Times"/>
          <w:sz w:val="25"/>
          <w:szCs w:val="25"/>
        </w:rPr>
        <w:t>mernica Komisie (EÚ) 2020/367 zo 4. marca 2020, ktorou sa mení príloha III k smernici Európskeho parlamentu a Rady 2002/49/ES, pokiaľ ide o stanovenie metód posudzovania škodlivých účinkov environmentálneho hluku (Ú. v. EÚ L 67, 5.3.2020),</w:t>
      </w:r>
    </w:p>
    <w:p w:rsidR="004D2991" w:rsidRPr="004D2991" w:rsidRDefault="004D2991" w:rsidP="004D2991">
      <w:pPr>
        <w:ind w:left="709"/>
        <w:jc w:val="both"/>
        <w:rPr>
          <w:sz w:val="25"/>
          <w:szCs w:val="25"/>
        </w:rPr>
      </w:pPr>
    </w:p>
    <w:p w:rsidR="004D2991" w:rsidRDefault="004D2991" w:rsidP="004D2991">
      <w:pPr>
        <w:jc w:val="both"/>
        <w:rPr>
          <w:sz w:val="25"/>
          <w:szCs w:val="25"/>
        </w:rPr>
      </w:pPr>
      <w:r w:rsidRPr="004D2991">
        <w:rPr>
          <w:sz w:val="25"/>
          <w:szCs w:val="25"/>
        </w:rPr>
        <w:t>c)  nie je obsiahnutá v judikatúre Súdneho dvora Európskej únie.</w:t>
      </w:r>
    </w:p>
    <w:p w:rsidR="004D2991" w:rsidRPr="004D2991" w:rsidRDefault="004D2991" w:rsidP="004D2991">
      <w:pPr>
        <w:jc w:val="both"/>
        <w:rPr>
          <w:sz w:val="25"/>
          <w:szCs w:val="25"/>
        </w:rPr>
      </w:pPr>
    </w:p>
    <w:p w:rsidR="004D2991" w:rsidRDefault="004D2991" w:rsidP="004D2991">
      <w:pPr>
        <w:jc w:val="both"/>
        <w:rPr>
          <w:b/>
          <w:sz w:val="25"/>
          <w:szCs w:val="25"/>
        </w:rPr>
      </w:pPr>
      <w:r w:rsidRPr="004D2991">
        <w:rPr>
          <w:b/>
          <w:sz w:val="25"/>
          <w:szCs w:val="25"/>
        </w:rPr>
        <w:t>4.</w:t>
      </w:r>
      <w:r w:rsidRPr="004D2991">
        <w:rPr>
          <w:sz w:val="25"/>
          <w:szCs w:val="25"/>
        </w:rPr>
        <w:t xml:space="preserve"> </w:t>
      </w:r>
      <w:r w:rsidRPr="004D2991">
        <w:rPr>
          <w:b/>
          <w:sz w:val="25"/>
          <w:szCs w:val="25"/>
        </w:rPr>
        <w:t>Záväzky Slovenskej republiky vo vzťahu k Európskej únii:</w:t>
      </w:r>
    </w:p>
    <w:p w:rsidR="004D2991" w:rsidRPr="004D2991" w:rsidRDefault="004D2991" w:rsidP="004D2991">
      <w:pPr>
        <w:jc w:val="both"/>
        <w:rPr>
          <w:b/>
          <w:sz w:val="25"/>
          <w:szCs w:val="25"/>
        </w:rPr>
      </w:pPr>
    </w:p>
    <w:p w:rsidR="00567D6B" w:rsidRPr="00567D6B" w:rsidRDefault="004D2991" w:rsidP="00567D6B">
      <w:pPr>
        <w:pStyle w:val="Odsekzoznamu"/>
        <w:numPr>
          <w:ilvl w:val="0"/>
          <w:numId w:val="11"/>
        </w:numPr>
        <w:ind w:left="284" w:hanging="284"/>
        <w:rPr>
          <w:iCs/>
          <w:sz w:val="25"/>
          <w:szCs w:val="25"/>
        </w:rPr>
      </w:pPr>
      <w:r w:rsidRPr="00567D6B">
        <w:rPr>
          <w:iCs/>
          <w:sz w:val="25"/>
          <w:szCs w:val="25"/>
        </w:rPr>
        <w:t>lehota na prebratie smernice alebo lehota na implementáciu nariadenia alebo rozhodnutia</w:t>
      </w:r>
    </w:p>
    <w:p w:rsidR="004D2991" w:rsidRDefault="004D2991" w:rsidP="00567D6B">
      <w:pPr>
        <w:ind w:left="284"/>
        <w:jc w:val="both"/>
        <w:rPr>
          <w:iCs/>
          <w:sz w:val="25"/>
          <w:szCs w:val="25"/>
        </w:rPr>
      </w:pPr>
      <w:r w:rsidRPr="004D2991">
        <w:rPr>
          <w:iCs/>
          <w:sz w:val="25"/>
          <w:szCs w:val="25"/>
        </w:rPr>
        <w:t>- smernica Komisie (EÚ) 2020/367 zo 4. marca 2020, ktorou sa mení príloha III k smernici Európskeho parlamentu a Rady 2002/49/ES, pokiaľ ide o stanovenie metód posudzovania škodlivých účinkov environmentálneho hluku:  31. decembra 2021,</w:t>
      </w:r>
    </w:p>
    <w:p w:rsidR="004D2991" w:rsidRPr="004D2991" w:rsidRDefault="004D2991" w:rsidP="004D2991">
      <w:pPr>
        <w:ind w:left="708"/>
        <w:jc w:val="both"/>
        <w:rPr>
          <w:iCs/>
          <w:sz w:val="25"/>
          <w:szCs w:val="25"/>
        </w:rPr>
      </w:pPr>
    </w:p>
    <w:p w:rsidR="004D2991" w:rsidRDefault="004D2991" w:rsidP="004D2991">
      <w:pPr>
        <w:jc w:val="both"/>
        <w:rPr>
          <w:iCs/>
          <w:sz w:val="25"/>
          <w:szCs w:val="25"/>
        </w:rPr>
      </w:pPr>
      <w:r w:rsidRPr="004D2991">
        <w:rPr>
          <w:iCs/>
          <w:sz w:val="25"/>
          <w:szCs w:val="25"/>
        </w:rPr>
        <w:t xml:space="preserve">b) 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</w:r>
    </w:p>
    <w:p w:rsidR="004D2991" w:rsidRPr="004D2991" w:rsidRDefault="004D2991" w:rsidP="004D2991">
      <w:pPr>
        <w:jc w:val="both"/>
        <w:rPr>
          <w:iCs/>
          <w:sz w:val="25"/>
          <w:szCs w:val="25"/>
        </w:rPr>
      </w:pPr>
    </w:p>
    <w:p w:rsidR="004D2991" w:rsidRPr="00567D6B" w:rsidRDefault="00567D6B" w:rsidP="00567D6B">
      <w:pPr>
        <w:tabs>
          <w:tab w:val="left" w:pos="851"/>
        </w:tabs>
        <w:ind w:left="284"/>
        <w:jc w:val="both"/>
        <w:rPr>
          <w:iCs/>
          <w:sz w:val="25"/>
          <w:szCs w:val="25"/>
        </w:rPr>
      </w:pPr>
      <w:r w:rsidRPr="00567D6B">
        <w:rPr>
          <w:iCs/>
          <w:sz w:val="25"/>
          <w:szCs w:val="25"/>
        </w:rPr>
        <w:t>-</w:t>
      </w:r>
      <w:r>
        <w:rPr>
          <w:iCs/>
          <w:sz w:val="25"/>
          <w:szCs w:val="25"/>
        </w:rPr>
        <w:t xml:space="preserve"> </w:t>
      </w:r>
      <w:r w:rsidR="004D2991" w:rsidRPr="00567D6B">
        <w:rPr>
          <w:iCs/>
          <w:sz w:val="25"/>
          <w:szCs w:val="25"/>
        </w:rPr>
        <w:t>je vedené konanie,</w:t>
      </w:r>
      <w:r w:rsidR="00A65F8A" w:rsidRPr="00567D6B">
        <w:rPr>
          <w:iCs/>
          <w:sz w:val="25"/>
          <w:szCs w:val="25"/>
        </w:rPr>
        <w:t xml:space="preserve"> č</w:t>
      </w:r>
      <w:r w:rsidR="00A65F8A" w:rsidRPr="00567D6B">
        <w:rPr>
          <w:iCs/>
          <w:sz w:val="25"/>
          <w:szCs w:val="25"/>
        </w:rPr>
        <w:t>. C-683/2020 vo veci nespr</w:t>
      </w:r>
      <w:r w:rsidR="00A65F8A" w:rsidRPr="00567D6B">
        <w:rPr>
          <w:iCs/>
          <w:sz w:val="25"/>
          <w:szCs w:val="25"/>
        </w:rPr>
        <w:t>á</w:t>
      </w:r>
      <w:r w:rsidR="00A65F8A" w:rsidRPr="00567D6B">
        <w:rPr>
          <w:iCs/>
          <w:sz w:val="25"/>
          <w:szCs w:val="25"/>
        </w:rPr>
        <w:t>vnej</w:t>
      </w:r>
      <w:r w:rsidR="00A65F8A" w:rsidRPr="00567D6B">
        <w:rPr>
          <w:iCs/>
          <w:sz w:val="25"/>
          <w:szCs w:val="25"/>
        </w:rPr>
        <w:t xml:space="preserve"> </w:t>
      </w:r>
      <w:r w:rsidR="00A65F8A" w:rsidRPr="00567D6B">
        <w:rPr>
          <w:iCs/>
          <w:sz w:val="25"/>
          <w:szCs w:val="25"/>
        </w:rPr>
        <w:t>aplik</w:t>
      </w:r>
      <w:r w:rsidR="00A65F8A" w:rsidRPr="00567D6B">
        <w:rPr>
          <w:iCs/>
          <w:sz w:val="25"/>
          <w:szCs w:val="25"/>
        </w:rPr>
        <w:t>ácie smernice Euró</w:t>
      </w:r>
      <w:r w:rsidR="00A65F8A" w:rsidRPr="00567D6B">
        <w:rPr>
          <w:iCs/>
          <w:sz w:val="25"/>
          <w:szCs w:val="25"/>
        </w:rPr>
        <w:t>pskeho parlamentu a Rady 2002</w:t>
      </w:r>
      <w:r w:rsidR="00A65F8A" w:rsidRPr="00567D6B">
        <w:rPr>
          <w:iCs/>
          <w:sz w:val="25"/>
          <w:szCs w:val="25"/>
        </w:rPr>
        <w:t>/49/ES</w:t>
      </w:r>
      <w:r w:rsidR="001B2D19">
        <w:rPr>
          <w:iCs/>
          <w:sz w:val="25"/>
          <w:szCs w:val="25"/>
        </w:rPr>
        <w:t xml:space="preserve"> </w:t>
      </w:r>
      <w:r w:rsidR="001B2D19" w:rsidRPr="004D2991">
        <w:rPr>
          <w:sz w:val="25"/>
          <w:szCs w:val="25"/>
        </w:rPr>
        <w:t>z 25. júna 2002, ktorá sa týka posudzovania a riadenia environmentálneho hluku (Mimoriadne vydanie Ú. v. EÚ, kap. 15/zv. 7)</w:t>
      </w:r>
      <w:r w:rsidR="001B2D19">
        <w:rPr>
          <w:sz w:val="25"/>
          <w:szCs w:val="25"/>
        </w:rPr>
        <w:t>,</w:t>
      </w:r>
    </w:p>
    <w:p w:rsidR="00A65F8A" w:rsidRDefault="00A65F8A" w:rsidP="00A65F8A">
      <w:pPr>
        <w:tabs>
          <w:tab w:val="left" w:pos="709"/>
        </w:tabs>
        <w:rPr>
          <w:iCs/>
          <w:sz w:val="25"/>
          <w:szCs w:val="25"/>
        </w:rPr>
      </w:pPr>
    </w:p>
    <w:p w:rsidR="004D2991" w:rsidRDefault="004D2991" w:rsidP="00A65F8A">
      <w:pPr>
        <w:jc w:val="both"/>
        <w:rPr>
          <w:iCs/>
          <w:sz w:val="25"/>
          <w:szCs w:val="25"/>
        </w:rPr>
      </w:pPr>
      <w:r w:rsidRPr="004D2991">
        <w:rPr>
          <w:iCs/>
          <w:sz w:val="25"/>
          <w:szCs w:val="25"/>
        </w:rPr>
        <w:t>c) informácia o právnych predpisoch, v ktorých sú preberané smernice už prebraté spolu s uvedením rozsahu tohto prebratia</w:t>
      </w:r>
    </w:p>
    <w:p w:rsidR="004D2991" w:rsidRPr="004D2991" w:rsidRDefault="004D2991" w:rsidP="004D2991">
      <w:pPr>
        <w:rPr>
          <w:iCs/>
          <w:sz w:val="25"/>
          <w:szCs w:val="25"/>
        </w:rPr>
      </w:pPr>
    </w:p>
    <w:p w:rsidR="004D2991" w:rsidRPr="00567D6B" w:rsidRDefault="00567D6B" w:rsidP="00567D6B">
      <w:pPr>
        <w:ind w:left="284"/>
        <w:jc w:val="both"/>
        <w:rPr>
          <w:iCs/>
          <w:sz w:val="25"/>
          <w:szCs w:val="25"/>
        </w:rPr>
      </w:pPr>
      <w:r w:rsidRPr="00567D6B">
        <w:rPr>
          <w:iCs/>
          <w:sz w:val="25"/>
          <w:szCs w:val="25"/>
        </w:rPr>
        <w:t>-</w:t>
      </w:r>
      <w:r>
        <w:rPr>
          <w:iCs/>
          <w:sz w:val="25"/>
          <w:szCs w:val="25"/>
        </w:rPr>
        <w:t xml:space="preserve"> </w:t>
      </w:r>
      <w:r w:rsidR="00877445" w:rsidRPr="00567D6B">
        <w:rPr>
          <w:iCs/>
          <w:sz w:val="25"/>
          <w:szCs w:val="25"/>
        </w:rPr>
        <w:t>z</w:t>
      </w:r>
      <w:r w:rsidR="004D2991" w:rsidRPr="00567D6B">
        <w:rPr>
          <w:iCs/>
          <w:sz w:val="25"/>
          <w:szCs w:val="25"/>
        </w:rPr>
        <w:t>ákon č. 2/2005 Z. z. o posudzovaní a kontrole hluku vo vonkajšom prostredí a o zmene zákona NR SR č. 272/1994 Z. z. o ochrane zdravia ľudí v znení neskorších predpis</w:t>
      </w:r>
      <w:r w:rsidR="00877445" w:rsidRPr="00567D6B">
        <w:rPr>
          <w:iCs/>
          <w:sz w:val="25"/>
          <w:szCs w:val="25"/>
        </w:rPr>
        <w:t>ov v znení neskorších predpisov,</w:t>
      </w:r>
    </w:p>
    <w:p w:rsidR="004D2991" w:rsidRPr="004D2991" w:rsidRDefault="004D2991" w:rsidP="00567D6B">
      <w:pPr>
        <w:ind w:left="284"/>
        <w:rPr>
          <w:iCs/>
          <w:sz w:val="25"/>
          <w:szCs w:val="25"/>
        </w:rPr>
      </w:pPr>
    </w:p>
    <w:p w:rsidR="004D2991" w:rsidRPr="00567D6B" w:rsidRDefault="00567D6B" w:rsidP="00567D6B">
      <w:pPr>
        <w:ind w:left="284"/>
        <w:jc w:val="both"/>
        <w:rPr>
          <w:iCs/>
          <w:sz w:val="25"/>
          <w:szCs w:val="25"/>
        </w:rPr>
      </w:pPr>
      <w:r w:rsidRPr="00567D6B">
        <w:rPr>
          <w:iCs/>
          <w:sz w:val="25"/>
          <w:szCs w:val="25"/>
        </w:rPr>
        <w:t>-</w:t>
      </w:r>
      <w:r>
        <w:rPr>
          <w:iCs/>
          <w:sz w:val="25"/>
          <w:szCs w:val="25"/>
        </w:rPr>
        <w:t xml:space="preserve"> </w:t>
      </w:r>
      <w:r w:rsidR="00877445" w:rsidRPr="00567D6B">
        <w:rPr>
          <w:iCs/>
          <w:sz w:val="25"/>
          <w:szCs w:val="25"/>
        </w:rPr>
        <w:t>n</w:t>
      </w:r>
      <w:r w:rsidR="004D2991" w:rsidRPr="00567D6B">
        <w:rPr>
          <w:iCs/>
          <w:sz w:val="25"/>
          <w:szCs w:val="25"/>
        </w:rPr>
        <w:t xml:space="preserve">ariadenie vlády Slovenskej republiky č. 43/2005, ktorým sa ustanovujú podrobnosti o strategických hlukových mapách a akčných plánoch ochrany pred hlukom v znení neskorších predpisov. </w:t>
      </w:r>
    </w:p>
    <w:p w:rsidR="004D2991" w:rsidRPr="004D2991" w:rsidRDefault="004D2991" w:rsidP="004D2991">
      <w:pPr>
        <w:ind w:left="709"/>
        <w:rPr>
          <w:iCs/>
          <w:sz w:val="25"/>
          <w:szCs w:val="25"/>
        </w:rPr>
      </w:pPr>
    </w:p>
    <w:p w:rsidR="004D2991" w:rsidRDefault="004D2991" w:rsidP="004D2991">
      <w:pPr>
        <w:rPr>
          <w:b/>
          <w:sz w:val="25"/>
          <w:szCs w:val="25"/>
        </w:rPr>
      </w:pPr>
      <w:r w:rsidRPr="004D2991">
        <w:rPr>
          <w:b/>
          <w:sz w:val="25"/>
          <w:szCs w:val="25"/>
        </w:rPr>
        <w:t>5.</w:t>
      </w:r>
      <w:r w:rsidRPr="004D2991">
        <w:rPr>
          <w:sz w:val="25"/>
          <w:szCs w:val="25"/>
        </w:rPr>
        <w:t xml:space="preserve"> </w:t>
      </w:r>
      <w:r w:rsidRPr="004D2991">
        <w:rPr>
          <w:b/>
          <w:sz w:val="25"/>
          <w:szCs w:val="25"/>
        </w:rPr>
        <w:t>Návrh nariadenia vlády je zlučiteľný s právom Európskej únie:</w:t>
      </w:r>
    </w:p>
    <w:p w:rsidR="004D2991" w:rsidRPr="004D2991" w:rsidRDefault="004D2991" w:rsidP="004D2991">
      <w:pPr>
        <w:rPr>
          <w:b/>
          <w:sz w:val="25"/>
          <w:szCs w:val="25"/>
        </w:rPr>
      </w:pPr>
    </w:p>
    <w:p w:rsidR="003D0DA4" w:rsidRPr="004D2991" w:rsidRDefault="004D2991" w:rsidP="00567D6B">
      <w:pPr>
        <w:ind w:left="284"/>
        <w:jc w:val="both"/>
        <w:rPr>
          <w:sz w:val="25"/>
          <w:szCs w:val="25"/>
        </w:rPr>
      </w:pPr>
      <w:r w:rsidRPr="004D2991">
        <w:rPr>
          <w:sz w:val="25"/>
          <w:szCs w:val="25"/>
        </w:rPr>
        <w:t>-  úplne.</w:t>
      </w:r>
    </w:p>
    <w:sectPr w:rsidR="003D0DA4" w:rsidRPr="004D2991" w:rsidSect="0092153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1044"/>
    <w:multiLevelType w:val="hybridMultilevel"/>
    <w:tmpl w:val="B510B33E"/>
    <w:lvl w:ilvl="0" w:tplc="3C366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28FF"/>
    <w:multiLevelType w:val="hybridMultilevel"/>
    <w:tmpl w:val="81121D68"/>
    <w:lvl w:ilvl="0" w:tplc="46A0EF3C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12F63ED"/>
    <w:multiLevelType w:val="hybridMultilevel"/>
    <w:tmpl w:val="B09CEB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401"/>
    <w:multiLevelType w:val="hybridMultilevel"/>
    <w:tmpl w:val="1A50B2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E5D27"/>
    <w:multiLevelType w:val="hybridMultilevel"/>
    <w:tmpl w:val="A4BEAB94"/>
    <w:lvl w:ilvl="0" w:tplc="CAD00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4B27"/>
    <w:multiLevelType w:val="hybridMultilevel"/>
    <w:tmpl w:val="53F08800"/>
    <w:lvl w:ilvl="0" w:tplc="DF569E8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B2D19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D2991"/>
    <w:rsid w:val="004E7F23"/>
    <w:rsid w:val="00567D6B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77445"/>
    <w:rsid w:val="008E2891"/>
    <w:rsid w:val="0092153D"/>
    <w:rsid w:val="00970F68"/>
    <w:rsid w:val="009C63EB"/>
    <w:rsid w:val="00A65F8A"/>
    <w:rsid w:val="00B128CD"/>
    <w:rsid w:val="00B326AA"/>
    <w:rsid w:val="00B41A3F"/>
    <w:rsid w:val="00B46C89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3.2021 16:18:31"/>
    <f:field ref="objchangedby" par="" text="Administrator, System"/>
    <f:field ref="objmodifiedat" par="" text="30.3.2021 16:18:3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7C744A-CB38-476D-BC34-6364C6CB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Depešová</cp:lastModifiedBy>
  <cp:revision>2</cp:revision>
  <dcterms:created xsi:type="dcterms:W3CDTF">2021-05-19T10:01:00Z</dcterms:created>
  <dcterms:modified xsi:type="dcterms:W3CDTF">2021-05-19T10:01:00Z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COO.2145.1000.3.4313342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Janette Smažáková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nariadenie vlády Slovenskej republiky č. 330/2018 Z. z., ktorým sa ustanovuje výška sadzieb poplatkov za uloženie odpadov a podrobnosti súvisiace s prerozdeľovaním príjmov z poplatkov za uloženie odpadov v znení nariadenia vlády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 ktorým sa mení a dopĺňa nariadenie vlády Slovenskej republiky č. 330/2018 Z. z., ktorým sa ustanovuje výška sadzieb poplatkov za uloženie odpadov a podrobnosti súvisiace s prerozdeľovaním príjmov z poplatkov za ulo</vt:lpwstr>
  </property>
  <property fmtid="{D5CDD505-2E9C-101B-9397-08002B2CF9AE}" pid="19" name="FSC#SKEDITIONSLOVLEX@103.510:rezortcislopredpis">
    <vt:lpwstr>6855/2021-1.7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25. 2. 2021</vt:lpwstr>
  </property>
  <property fmtid="{D5CDD505-2E9C-101B-9397-08002B2CF9AE}" pid="51" name="FSC#SKEDITIONSLOVLEX@103.510:AttrDateDocPropUkonceniePKK">
    <vt:lpwstr>3. 3. 2021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justify;"&gt;&amp;nbsp;&amp;nbsp;&amp;nbsp;&amp;nbsp;&amp;nbsp;&amp;nbsp; Podrobnosti týkajúce sa vybraných vplyvov boli popísané v&amp;nbsp;rámci schvaľovacieho procesu k&amp;nbsp;návrhu novely zákona o&amp;nbsp;poplatkoch. Uvedené vplyvy boli zároveň predmetom povinných</vt:lpwstr>
  </property>
  <property fmtid="{D5CDD505-2E9C-101B-9397-08002B2CF9AE}" pid="58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9" name="FSC#SKEDITIONSLOVLEX@103.510:AttrStrListDocPropStanoviskoGest">
    <vt:lpwstr>&lt;p&gt;&lt;strong&gt;I. Úvod:&lt;/strong&gt; Ministerstvo životného prostredia SR predložilo dňa 25. februára 2021 Stálej pracovnej komisii na posudzovanie vybraných vplyvov (ďalej len „Komisia“) na predbežné pripomienkové konanie materiál: „Nariadenia vlády Slovenskej r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nariadenia vlády Slovenskej republiky, ktorým sa mení a dopĺňa nariadenie vlády Slovenskej repu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 účasti verejnosti na tvorbe právneho predpisu &lt;/strong&gt;&lt;/p&gt;&lt;p&gt;&amp;nbsp;&lt;/p&gt;&lt;table align="left" border="1" cellpadding="0" cellspacing="0" style="width:99.0%;" width="99%"&gt;	&lt;tbody&gt;		&lt;tr&gt;			&lt;td colspan="5" style="width:100.0%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č. 33/2020 Z. z.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ženie odpadov v znení nariadenia vlády č. 33/2020 Z. z.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30. 3. 2021</vt:lpwstr>
  </property>
</Properties>
</file>