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C1" w:rsidRDefault="000E72C1" w:rsidP="000E72C1">
      <w:pPr>
        <w:pStyle w:val="1podsek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0E72C1" w:rsidRPr="007C1022" w:rsidRDefault="000E72C1" w:rsidP="000E72C1">
      <w:pPr>
        <w:pStyle w:val="1podsek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0E72C1" w:rsidRPr="00425C69" w:rsidTr="00E010E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0E72C1">
            <w:pPr>
              <w:numPr>
                <w:ilvl w:val="0"/>
                <w:numId w:val="2"/>
              </w:num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Základné údaje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Názov materiálu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0E72C1" w:rsidRPr="00425C69" w:rsidRDefault="000E72C1" w:rsidP="007C3166">
            <w:pPr>
              <w:ind w:right="141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</w:t>
            </w:r>
            <w:r w:rsidRPr="00C81D02">
              <w:rPr>
                <w:rFonts w:ascii="Times" w:hAnsi="Times" w:cs="Times"/>
                <w:sz w:val="20"/>
                <w:szCs w:val="20"/>
              </w:rPr>
              <w:t>ariadeni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Pr="00C81D02">
              <w:rPr>
                <w:rFonts w:ascii="Times" w:hAnsi="Times" w:cs="Times"/>
                <w:sz w:val="20"/>
                <w:szCs w:val="20"/>
              </w:rPr>
              <w:t xml:space="preserve"> vlády Slovenskej republiky, ktorým sa dopĺňa nariadenie vlády Slovenskej republiky č. 43/2005 Z. z., ktorým sa ustanovujú podrobnosti o strategických hlukových mapách a akčných plánoch ochrany pred hlukom v znení neskorších predpisov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Predkladateľ (a spolupredkladateľ)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sz w:val="20"/>
                <w:szCs w:val="20"/>
              </w:rPr>
            </w:pPr>
            <w:r w:rsidRPr="00425C69">
              <w:rPr>
                <w:sz w:val="20"/>
                <w:szCs w:val="20"/>
              </w:rPr>
              <w:t>Ministerstvo zdravotníctva Slovenskej republiky</w:t>
            </w:r>
          </w:p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sz w:val="20"/>
                <w:szCs w:val="20"/>
              </w:rPr>
              <w:t>(Úrad verejného zdravotníctva Slovenskej republiky)</w:t>
            </w:r>
          </w:p>
        </w:tc>
      </w:tr>
      <w:tr w:rsidR="000E72C1" w:rsidRPr="00425C69" w:rsidTr="00E010EB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sz w:val="20"/>
                <w:szCs w:val="20"/>
              </w:rPr>
            </w:pPr>
            <w:r w:rsidRPr="00425C69">
              <w:rPr>
                <w:sz w:val="20"/>
                <w:szCs w:val="20"/>
              </w:rPr>
              <w:t>Materiál nelegislatívnej povahy</w:t>
            </w:r>
          </w:p>
        </w:tc>
      </w:tr>
      <w:tr w:rsidR="000E72C1" w:rsidRPr="00425C69" w:rsidTr="00E010EB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sz w:val="20"/>
                <w:szCs w:val="20"/>
              </w:rPr>
            </w:pPr>
            <w:r w:rsidRPr="00425C69">
              <w:rPr>
                <w:sz w:val="20"/>
                <w:szCs w:val="20"/>
              </w:rPr>
              <w:t xml:space="preserve">Materiál legislatívnej povahy </w:t>
            </w:r>
          </w:p>
        </w:tc>
      </w:tr>
      <w:tr w:rsidR="000E72C1" w:rsidRPr="00425C69" w:rsidTr="00E010EB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sz w:val="20"/>
                <w:szCs w:val="20"/>
              </w:rPr>
            </w:pPr>
            <w:r w:rsidRPr="00425C69">
              <w:rPr>
                <w:sz w:val="20"/>
                <w:szCs w:val="20"/>
              </w:rPr>
              <w:t>Transpozícia práva EÚ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i/>
                <w:sz w:val="20"/>
                <w:szCs w:val="20"/>
              </w:rPr>
            </w:pPr>
            <w:r w:rsidRPr="00425C69">
              <w:rPr>
                <w:i/>
                <w:sz w:val="20"/>
                <w:szCs w:val="20"/>
              </w:rPr>
              <w:t>V prípade transpozície uveďte zoznam transponovaných predpisov:</w:t>
            </w:r>
          </w:p>
          <w:p w:rsidR="000E72C1" w:rsidRPr="00425C69" w:rsidRDefault="000E72C1" w:rsidP="00E010EB">
            <w:pPr>
              <w:ind w:right="141"/>
              <w:rPr>
                <w:sz w:val="20"/>
                <w:szCs w:val="20"/>
              </w:rPr>
            </w:pPr>
          </w:p>
          <w:p w:rsidR="000E72C1" w:rsidRPr="00425C69" w:rsidRDefault="000E72C1" w:rsidP="00E010EB">
            <w:pPr>
              <w:ind w:right="141"/>
              <w:rPr>
                <w:sz w:val="20"/>
                <w:szCs w:val="20"/>
              </w:rPr>
            </w:pPr>
            <w:r w:rsidRPr="00425C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</w:t>
            </w:r>
            <w:r w:rsidRPr="00E433DB">
              <w:rPr>
                <w:sz w:val="20"/>
                <w:szCs w:val="20"/>
              </w:rPr>
              <w:t>mernica Komisie (EÚ) 2020/367 zo 4. marca 2020, ktorou sa mení príloha III k smernici Európskeho parlamentu a Rady 2002/49/ES, pokiaľ ide o stanovenie metód posudzovania škodlivých účinkov environmentálneho hluku (Ú. v. EÚ L 67, 5.3.2020</w:t>
            </w:r>
            <w:r>
              <w:rPr>
                <w:sz w:val="20"/>
                <w:szCs w:val="20"/>
              </w:rPr>
              <w:t>)</w:t>
            </w:r>
            <w:r w:rsidRPr="00E433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25C69">
              <w:rPr>
                <w:sz w:val="20"/>
                <w:szCs w:val="20"/>
              </w:rPr>
              <w:t>(ďalej</w:t>
            </w:r>
            <w:r>
              <w:rPr>
                <w:sz w:val="20"/>
                <w:szCs w:val="20"/>
              </w:rPr>
              <w:t xml:space="preserve"> len „smernica  Komisie (EÚ) 2020/</w:t>
            </w:r>
            <w:r w:rsidRPr="00425C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67</w:t>
            </w:r>
            <w:r w:rsidRPr="00425C69">
              <w:rPr>
                <w:sz w:val="20"/>
                <w:szCs w:val="20"/>
              </w:rPr>
              <w:t xml:space="preserve">“)  </w:t>
            </w:r>
          </w:p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</w:p>
        </w:tc>
      </w:tr>
      <w:tr w:rsidR="000E72C1" w:rsidRPr="00425C69" w:rsidTr="00E010EB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0E72C1" w:rsidRPr="00425C69" w:rsidRDefault="000E72C1" w:rsidP="00E010EB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2C1" w:rsidRPr="00425C69" w:rsidTr="00E010EB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0E72C1" w:rsidRPr="00437F72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37F72">
              <w:rPr>
                <w:b/>
                <w:sz w:val="20"/>
                <w:szCs w:val="20"/>
              </w:rPr>
              <w:t>Predpokladaný termín predloženia na MPK</w:t>
            </w:r>
          </w:p>
        </w:tc>
        <w:tc>
          <w:tcPr>
            <w:tcW w:w="3546" w:type="dxa"/>
            <w:gridSpan w:val="5"/>
          </w:tcPr>
          <w:p w:rsidR="000E72C1" w:rsidRPr="00437F72" w:rsidRDefault="00437F72" w:rsidP="00E010EB">
            <w:pPr>
              <w:ind w:right="141"/>
              <w:rPr>
                <w:sz w:val="20"/>
                <w:szCs w:val="20"/>
              </w:rPr>
            </w:pPr>
            <w:r w:rsidRPr="00437F72">
              <w:rPr>
                <w:sz w:val="20"/>
                <w:szCs w:val="20"/>
              </w:rPr>
              <w:t>apríl</w:t>
            </w:r>
            <w:r w:rsidR="000E72C1" w:rsidRPr="00437F72">
              <w:rPr>
                <w:sz w:val="20"/>
                <w:szCs w:val="20"/>
              </w:rPr>
              <w:t xml:space="preserve"> 2021</w:t>
            </w:r>
          </w:p>
        </w:tc>
      </w:tr>
      <w:tr w:rsidR="000E72C1" w:rsidRPr="00425C69" w:rsidTr="00E010EB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Predpokladaný termín predloženia na rokovanie vlády SR</w:t>
            </w:r>
          </w:p>
        </w:tc>
        <w:tc>
          <w:tcPr>
            <w:tcW w:w="3546" w:type="dxa"/>
            <w:gridSpan w:val="5"/>
          </w:tcPr>
          <w:p w:rsidR="000E72C1" w:rsidRPr="00425C69" w:rsidRDefault="00437F72" w:rsidP="00E010EB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jún</w:t>
            </w:r>
            <w:r w:rsidR="000E72C1">
              <w:rPr>
                <w:sz w:val="20"/>
                <w:szCs w:val="20"/>
              </w:rPr>
              <w:t xml:space="preserve"> 2021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0E72C1">
            <w:pPr>
              <w:numPr>
                <w:ilvl w:val="0"/>
                <w:numId w:val="2"/>
              </w:num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Definícia problému</w:t>
            </w:r>
          </w:p>
        </w:tc>
      </w:tr>
      <w:tr w:rsidR="000E72C1" w:rsidRPr="00425C69" w:rsidTr="00E010EB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E72C1" w:rsidRPr="00AB2707" w:rsidRDefault="000E72C1" w:rsidP="00E010EB">
            <w:pPr>
              <w:ind w:right="141"/>
              <w:jc w:val="both"/>
              <w:rPr>
                <w:sz w:val="20"/>
                <w:szCs w:val="20"/>
              </w:rPr>
            </w:pPr>
            <w:r w:rsidRPr="00C81D02">
              <w:rPr>
                <w:rFonts w:ascii="Times" w:hAnsi="Times" w:cs="Times"/>
                <w:sz w:val="20"/>
                <w:szCs w:val="20"/>
              </w:rPr>
              <w:t>Návrhom nariadenia vlády sa do právneho poriadku Slovenskej republiky preberá smernica Komisie  (EÚ) 2020/367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0E72C1" w:rsidRPr="00425C69" w:rsidRDefault="000E72C1" w:rsidP="000E72C1">
            <w:pPr>
              <w:numPr>
                <w:ilvl w:val="0"/>
                <w:numId w:val="2"/>
              </w:num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Ciele a výsledný stav</w:t>
            </w:r>
          </w:p>
        </w:tc>
      </w:tr>
      <w:tr w:rsidR="000E72C1" w:rsidRPr="00425C69" w:rsidTr="00E010EB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0E72C1" w:rsidRDefault="000E72C1" w:rsidP="00E010EB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 návrhu nariadenia vlády sa</w:t>
            </w:r>
            <w:r w:rsidRPr="00C81D0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C3166">
              <w:rPr>
                <w:rFonts w:ascii="Times" w:hAnsi="Times" w:cs="Times"/>
                <w:sz w:val="20"/>
                <w:szCs w:val="20"/>
              </w:rPr>
              <w:t>vkladá</w:t>
            </w:r>
            <w:r w:rsidRPr="00C81D02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text prílohy</w:t>
            </w:r>
            <w:r w:rsidR="007C3166">
              <w:rPr>
                <w:rFonts w:ascii="Times" w:hAnsi="Times" w:cs="Times"/>
                <w:sz w:val="20"/>
                <w:szCs w:val="20"/>
              </w:rPr>
              <w:t xml:space="preserve"> III smernice</w:t>
            </w:r>
            <w:r w:rsidRPr="00C81D0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C3166" w:rsidRPr="007C3166">
              <w:rPr>
                <w:rFonts w:ascii="Times" w:hAnsi="Times" w:cs="Times"/>
                <w:sz w:val="20"/>
                <w:szCs w:val="20"/>
              </w:rPr>
              <w:t xml:space="preserve">Európskeho parlamentu a Rady 2002/49/ES z 25. júna 2002, ktorá sa týka posudzovania a riadenia environmentálneho hluku (Mimoriadne vydanie Ú. v. EÚ, kap. 15/zv. 7; Ú. v. ES L 189, 18. 7. 2002) </w:t>
            </w:r>
            <w:r>
              <w:rPr>
                <w:rFonts w:ascii="Times" w:hAnsi="Times" w:cs="Times"/>
                <w:sz w:val="20"/>
                <w:szCs w:val="20"/>
              </w:rPr>
              <w:t xml:space="preserve">(ďalej len „príloha III smernice“). </w:t>
            </w:r>
            <w:r w:rsidRPr="00C81D02">
              <w:rPr>
                <w:rFonts w:ascii="Times" w:hAnsi="Times" w:cs="Times"/>
                <w:sz w:val="20"/>
                <w:szCs w:val="20"/>
              </w:rPr>
              <w:t>Cieľom smernice Komisie (EÚ) 2020/367 je zmena znenia prílohy III smernice</w:t>
            </w:r>
            <w:r>
              <w:rPr>
                <w:rFonts w:ascii="Times" w:hAnsi="Times" w:cs="Times"/>
                <w:sz w:val="20"/>
                <w:szCs w:val="20"/>
              </w:rPr>
              <w:t>,</w:t>
            </w:r>
            <w:r w:rsidRPr="00C81D02">
              <w:rPr>
                <w:rFonts w:ascii="Times" w:hAnsi="Times" w:cs="Times"/>
                <w:sz w:val="20"/>
                <w:szCs w:val="20"/>
              </w:rPr>
              <w:t xml:space="preserve"> ktorá sa týka posudzovania a riadenia environmentálneho hluku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  <w:r w:rsidRPr="00C81D02">
              <w:rPr>
                <w:rFonts w:ascii="Times" w:hAnsi="Times" w:cs="Times"/>
                <w:sz w:val="20"/>
                <w:szCs w:val="20"/>
              </w:rPr>
              <w:t xml:space="preserve"> Príloha III smernice sa týka vzťahov medzi dávkou a účinkom a zároveň aj nových metód posudzovania škodlivých účinkov environmentálneho hluku na zdravie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  <w:r w:rsidRPr="00C81D0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75AF6">
              <w:rPr>
                <w:rFonts w:ascii="Times" w:hAnsi="Times" w:cs="Times"/>
                <w:sz w:val="20"/>
                <w:szCs w:val="20"/>
              </w:rPr>
              <w:t xml:space="preserve">Zavedenie nových metód posudzovania škodlivých účinkov environmentálneho hluku na zdravie zohľadňuje usmernenia Svetovej zdravotníckej organizácie (WHO) týkajúce sa environmentálneho hluku, v ktorých sa opisuje vzťah medzi dávkou a účinkom v súvislosti so škodlivými účinkami spôsobenými vystavením environmentálnemu hluku. Vzťahy medzi dávkou a účinkom vychádzajú z daných usmernení, pričom sú v zmysle technického a vedeckého pokroku v oblasti environmentálneho hluku, čím sa predpokladá zlepšenie presnosti posudzovania škodlivých účinkov environmentálneho hluku z cestnej, železničnej a leteckej dopravy na zdravie obyvateľov.  </w:t>
            </w:r>
          </w:p>
          <w:p w:rsidR="000E72C1" w:rsidRDefault="000E72C1" w:rsidP="00E010EB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A75AF6">
              <w:rPr>
                <w:rFonts w:ascii="Times" w:hAnsi="Times" w:cs="Times"/>
                <w:sz w:val="20"/>
                <w:szCs w:val="20"/>
              </w:rPr>
              <w:t>Prílohou III smernice sa zavádzajú nové metódy posudzovania škodlivých účinkov environmentálneho hluku na zdravie, definuje sa škála škodlivých účinkov, výpočty miery škodlivých účinkov a posúdenie škodlivých účinkov environmentálneho hluku na zdravie obyvateľov, čím sa predpokladá zlepšenie presnosti posudzovania miery negatívneho dopadu environmentálneho hluku na zdravie obyvateľstva.</w:t>
            </w:r>
          </w:p>
          <w:p w:rsidR="000E72C1" w:rsidRPr="00425C69" w:rsidRDefault="00437F72" w:rsidP="007C3166">
            <w:pPr>
              <w:ind w:right="141"/>
              <w:jc w:val="both"/>
              <w:rPr>
                <w:sz w:val="20"/>
                <w:szCs w:val="20"/>
              </w:rPr>
            </w:pPr>
            <w:r w:rsidRPr="00437F72">
              <w:rPr>
                <w:rFonts w:ascii="Times" w:hAnsi="Times" w:cs="Times"/>
                <w:sz w:val="20"/>
                <w:szCs w:val="20"/>
              </w:rPr>
              <w:t>Do návrhu nariadenia vlády sa v prílohe č. 1 v bode 2 „Metódy posudzovania škodlivých účinkov hluku na obyvateľstvo“ dopĺňa odkaz na prílohu č. 1aa, v ktorej sa uvádza text prílohy III smernice, ktorá doteraz nebola súčasťou právneho poriadku Slovenskej republiky.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0E72C1" w:rsidRPr="00425C69" w:rsidRDefault="000E72C1" w:rsidP="000E72C1">
            <w:pPr>
              <w:numPr>
                <w:ilvl w:val="0"/>
                <w:numId w:val="2"/>
              </w:num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Dotknuté subjekty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0E72C1" w:rsidRPr="003D6DF3" w:rsidRDefault="000E72C1" w:rsidP="00E010EB">
            <w:pPr>
              <w:ind w:right="141"/>
              <w:jc w:val="both"/>
              <w:rPr>
                <w:sz w:val="20"/>
                <w:szCs w:val="20"/>
              </w:rPr>
            </w:pPr>
            <w:r w:rsidRPr="003D6DF3">
              <w:rPr>
                <w:sz w:val="20"/>
                <w:szCs w:val="20"/>
              </w:rPr>
              <w:t>Spracovatelia strategických hlukových máp (SHM) a akčných plánov ochrany pred hlukom (AP). K spracovateľom SHM a AP patrí správca pozemnej komunikácie pre väčšie pozemné komunikácie mimo aglomerácie, prevádzkovateľ železničnej dráhy pre väčšie železničné dráhy mimo aglomerácie, prevádzkovateľ letiska pre väčšie letiská mimo aglomerácie a obec s najväčším počtom obyvateľov v aglomerácii pre územie aglomerácie. V Slovenskej republike bolo k 14.1. 2021 evidovaných 9 spracovateľov SHM a AP.</w:t>
            </w:r>
          </w:p>
          <w:p w:rsidR="000E72C1" w:rsidRPr="00425C69" w:rsidRDefault="000E72C1" w:rsidP="00E010EB">
            <w:pPr>
              <w:ind w:right="141"/>
              <w:jc w:val="both"/>
              <w:rPr>
                <w:sz w:val="20"/>
                <w:szCs w:val="20"/>
              </w:rPr>
            </w:pPr>
            <w:r w:rsidRPr="003D6DF3">
              <w:rPr>
                <w:sz w:val="20"/>
                <w:szCs w:val="20"/>
              </w:rPr>
              <w:t>Nepredpokladá sa vznik nových povinností a nové kompetencie, ktoré by vyžadovali navýšenie pracovných miest.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0E72C1" w:rsidRPr="00425C69" w:rsidRDefault="000E72C1" w:rsidP="000E72C1">
            <w:pPr>
              <w:numPr>
                <w:ilvl w:val="0"/>
                <w:numId w:val="2"/>
              </w:num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Alternatívne riešenia</w:t>
            </w:r>
          </w:p>
        </w:tc>
      </w:tr>
      <w:tr w:rsidR="000E72C1" w:rsidRPr="00425C69" w:rsidTr="00E010EB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3D6DF3">
              <w:rPr>
                <w:sz w:val="20"/>
                <w:szCs w:val="20"/>
              </w:rPr>
              <w:lastRenderedPageBreak/>
              <w:t xml:space="preserve">Uplatnenie nulového variantu (neprijatie právnej úpravy) neumožňuje európska smernica, ktorá vyžaduje, aby členské štáty uviedli do účinnosti zákony, iné právne predpisy a správne opatrenia potrebné na dosiahnutie súladu s touto smernicou najneskôr do 31. decembra 2021. 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0E72C1">
            <w:pPr>
              <w:numPr>
                <w:ilvl w:val="0"/>
                <w:numId w:val="2"/>
              </w:num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Vykonávacie predpisy</w:t>
            </w:r>
          </w:p>
        </w:tc>
      </w:tr>
      <w:tr w:rsidR="000E72C1" w:rsidRPr="00425C69" w:rsidTr="00E010EB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0E72C1" w:rsidRPr="003D6DF3" w:rsidRDefault="000E72C1" w:rsidP="00E010EB">
            <w:pPr>
              <w:ind w:right="141"/>
              <w:rPr>
                <w:sz w:val="20"/>
                <w:szCs w:val="20"/>
              </w:rPr>
            </w:pPr>
            <w:r w:rsidRPr="003D6DF3">
              <w:rPr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425C69">
              <w:rPr>
                <w:b/>
                <w:sz w:val="20"/>
                <w:szCs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  <w:r w:rsidRPr="00425C69">
              <w:rPr>
                <w:b/>
                <w:sz w:val="20"/>
                <w:szCs w:val="20"/>
              </w:rPr>
              <w:t xml:space="preserve">  Nie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i/>
                <w:sz w:val="20"/>
                <w:szCs w:val="20"/>
              </w:rPr>
            </w:pPr>
            <w:r w:rsidRPr="00425C69">
              <w:rPr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:rsidR="000E72C1" w:rsidRPr="00425C69" w:rsidRDefault="000E72C1" w:rsidP="00E010EB">
            <w:pPr>
              <w:ind w:right="141"/>
              <w:rPr>
                <w:i/>
                <w:sz w:val="20"/>
                <w:szCs w:val="20"/>
              </w:rPr>
            </w:pP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0E72C1">
            <w:pPr>
              <w:numPr>
                <w:ilvl w:val="0"/>
                <w:numId w:val="2"/>
              </w:num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0E72C1" w:rsidRPr="00425C69" w:rsidTr="00E010EB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0E72C1" w:rsidRPr="003D6DF3" w:rsidRDefault="000E72C1" w:rsidP="00E010EB">
            <w:pPr>
              <w:ind w:right="141"/>
              <w:jc w:val="both"/>
              <w:rPr>
                <w:sz w:val="20"/>
                <w:szCs w:val="20"/>
              </w:rPr>
            </w:pPr>
            <w:r w:rsidRPr="003D6DF3">
              <w:rPr>
                <w:sz w:val="20"/>
                <w:szCs w:val="20"/>
              </w:rPr>
              <w:t xml:space="preserve">Návrh nariadenia nerozširuje pôsobnosť smernice na subjekty nad rámec minimálnych požiadaviek smernice, ani </w:t>
            </w:r>
            <w:proofErr w:type="spellStart"/>
            <w:r w:rsidRPr="003D6DF3">
              <w:rPr>
                <w:sz w:val="20"/>
                <w:szCs w:val="20"/>
              </w:rPr>
              <w:t>nenavyšuje</w:t>
            </w:r>
            <w:proofErr w:type="spellEnd"/>
            <w:r w:rsidRPr="003D6DF3">
              <w:rPr>
                <w:sz w:val="20"/>
                <w:szCs w:val="20"/>
              </w:rPr>
              <w:t xml:space="preserve"> požiadavky smernice, t. j. nedochádza k efektu </w:t>
            </w:r>
            <w:proofErr w:type="spellStart"/>
            <w:r w:rsidRPr="003D6DF3">
              <w:rPr>
                <w:sz w:val="20"/>
                <w:szCs w:val="20"/>
              </w:rPr>
              <w:t>gold</w:t>
            </w:r>
            <w:proofErr w:type="spellEnd"/>
            <w:r w:rsidRPr="003D6DF3">
              <w:rPr>
                <w:sz w:val="20"/>
                <w:szCs w:val="20"/>
              </w:rPr>
              <w:t xml:space="preserve"> </w:t>
            </w:r>
            <w:proofErr w:type="spellStart"/>
            <w:r w:rsidRPr="003D6DF3">
              <w:rPr>
                <w:sz w:val="20"/>
                <w:szCs w:val="20"/>
              </w:rPr>
              <w:t>platingu</w:t>
            </w:r>
            <w:proofErr w:type="spellEnd"/>
            <w:r w:rsidRPr="003D6DF3">
              <w:rPr>
                <w:sz w:val="20"/>
                <w:szCs w:val="20"/>
              </w:rPr>
              <w:t>.</w:t>
            </w:r>
          </w:p>
          <w:p w:rsidR="000E72C1" w:rsidRPr="003D6DF3" w:rsidRDefault="000E72C1" w:rsidP="00E010EB">
            <w:pPr>
              <w:ind w:right="141"/>
              <w:jc w:val="both"/>
              <w:rPr>
                <w:sz w:val="20"/>
                <w:szCs w:val="20"/>
              </w:rPr>
            </w:pPr>
            <w:r w:rsidRPr="003D6DF3">
              <w:rPr>
                <w:sz w:val="20"/>
                <w:szCs w:val="20"/>
              </w:rPr>
              <w:t>Preberaná smernica v čl. 2 požaduje od členských štátov, aby do určeného dátumu (31.12.2021) uviedli do účinnosti právne predpisy, potrebné na dosiahnutie súladu s touto smernicou.</w:t>
            </w:r>
          </w:p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3D6DF3">
              <w:rPr>
                <w:sz w:val="20"/>
                <w:szCs w:val="20"/>
              </w:rPr>
              <w:t>Smernica sa preberá do nariadenia vlády SR v celom rozsahu, viď tabuľka zhody.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0E72C1">
            <w:pPr>
              <w:numPr>
                <w:ilvl w:val="0"/>
                <w:numId w:val="2"/>
              </w:num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Preskúmanie účelnosti**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b/>
                <w:i/>
                <w:sz w:val="20"/>
                <w:szCs w:val="20"/>
              </w:rPr>
            </w:pPr>
          </w:p>
        </w:tc>
      </w:tr>
      <w:tr w:rsidR="000E72C1" w:rsidRPr="00425C69" w:rsidTr="00E010EB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sz w:val="20"/>
                <w:szCs w:val="20"/>
              </w:rPr>
            </w:pPr>
            <w:r w:rsidRPr="00425C69">
              <w:rPr>
                <w:sz w:val="20"/>
                <w:szCs w:val="20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sz w:val="20"/>
                <w:szCs w:val="20"/>
              </w:rPr>
              <w:t>** nepovinné</w:t>
            </w:r>
          </w:p>
        </w:tc>
      </w:tr>
      <w:tr w:rsidR="000E72C1" w:rsidRPr="00425C69" w:rsidTr="00E010EB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</w:p>
        </w:tc>
      </w:tr>
      <w:tr w:rsidR="000E72C1" w:rsidRPr="00425C69" w:rsidTr="00E010EB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0E72C1" w:rsidRPr="00425C69" w:rsidRDefault="000E72C1" w:rsidP="000E72C1">
            <w:pPr>
              <w:numPr>
                <w:ilvl w:val="0"/>
                <w:numId w:val="2"/>
              </w:num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Vplyvy navrhovaného materiálu</w:t>
            </w:r>
          </w:p>
        </w:tc>
      </w:tr>
      <w:tr w:rsidR="000E72C1" w:rsidRPr="00425C69" w:rsidTr="00E010EB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Negatívne</w:t>
            </w:r>
          </w:p>
        </w:tc>
      </w:tr>
      <w:tr w:rsidR="000E72C1" w:rsidRPr="00425C69" w:rsidTr="00E010EB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Čiastočne</w:t>
            </w:r>
          </w:p>
        </w:tc>
      </w:tr>
      <w:tr w:rsidR="000E72C1" w:rsidRPr="00425C69" w:rsidTr="00E010EB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Negatívne</w:t>
            </w:r>
          </w:p>
        </w:tc>
      </w:tr>
      <w:tr w:rsidR="000E72C1" w:rsidRPr="00425C69" w:rsidTr="00E010EB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Negatívne</w:t>
            </w:r>
          </w:p>
        </w:tc>
      </w:tr>
      <w:tr w:rsidR="000E72C1" w:rsidRPr="00425C69" w:rsidTr="00E010EB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Negatívne</w:t>
            </w:r>
          </w:p>
        </w:tc>
      </w:tr>
      <w:tr w:rsidR="000E72C1" w:rsidRPr="00425C69" w:rsidTr="00E010EB">
        <w:tc>
          <w:tcPr>
            <w:tcW w:w="3812" w:type="dxa"/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E72C1" w:rsidRPr="00425C69" w:rsidRDefault="00F07F4C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E72C1" w:rsidRPr="00425C69" w:rsidRDefault="00F07F4C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Negatívne</w:t>
            </w:r>
          </w:p>
        </w:tc>
      </w:tr>
      <w:tr w:rsidR="000E72C1" w:rsidRPr="00425C69" w:rsidTr="00E010EB">
        <w:tc>
          <w:tcPr>
            <w:tcW w:w="3812" w:type="dxa"/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Negatívne</w:t>
            </w:r>
          </w:p>
        </w:tc>
      </w:tr>
      <w:tr w:rsidR="000E72C1" w:rsidRPr="00425C69" w:rsidTr="00E010EB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bottom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</w:p>
        </w:tc>
      </w:tr>
      <w:tr w:rsidR="000E72C1" w:rsidRPr="00425C69" w:rsidTr="00E010EB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nil"/>
              <w:bottom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Negatívne</w:t>
            </w:r>
          </w:p>
        </w:tc>
      </w:tr>
      <w:tr w:rsidR="000E72C1" w:rsidRPr="00425C69" w:rsidTr="00E010EB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  <w:tcBorders>
              <w:top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Negatívne</w:t>
            </w:r>
          </w:p>
        </w:tc>
      </w:tr>
      <w:tr w:rsidR="000E72C1" w:rsidRPr="00425C69" w:rsidTr="00E010EB">
        <w:tc>
          <w:tcPr>
            <w:tcW w:w="3812" w:type="dxa"/>
            <w:shd w:val="clear" w:color="auto" w:fill="E2E2E2"/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Vplyvy na manželstvo, rodičovstvo a rodinu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E72C1" w:rsidRPr="00425C69" w:rsidRDefault="000E72C1" w:rsidP="00E010EB">
            <w:pPr>
              <w:ind w:right="141"/>
              <w:rPr>
                <w:b/>
                <w:sz w:val="20"/>
                <w:szCs w:val="20"/>
              </w:rPr>
            </w:pPr>
            <w:r w:rsidRPr="00425C69">
              <w:rPr>
                <w:b/>
                <w:sz w:val="20"/>
                <w:szCs w:val="20"/>
              </w:rPr>
              <w:t>Negatívne</w:t>
            </w:r>
          </w:p>
        </w:tc>
      </w:tr>
      <w:tr w:rsidR="000E72C1" w:rsidRPr="00A179AE" w:rsidTr="00E010EB">
        <w:tc>
          <w:tcPr>
            <w:tcW w:w="9176" w:type="dxa"/>
            <w:gridSpan w:val="10"/>
            <w:tcBorders>
              <w:bottom w:val="nil"/>
            </w:tcBorders>
            <w:shd w:val="clear" w:color="auto" w:fill="E2E2E2"/>
          </w:tcPr>
          <w:p w:rsidR="000E72C1" w:rsidRPr="00425C69" w:rsidRDefault="000E72C1" w:rsidP="00E010EB">
            <w:pPr>
              <w:pStyle w:val="Odsekzoznamu"/>
              <w:ind w:left="502"/>
              <w:contextualSpacing/>
              <w:rPr>
                <w:b/>
              </w:rPr>
            </w:pPr>
            <w:r w:rsidRPr="00425C69">
              <w:rPr>
                <w:b/>
                <w:sz w:val="22"/>
                <w:szCs w:val="22"/>
              </w:rPr>
              <w:t>10. Poznámky</w:t>
            </w:r>
          </w:p>
        </w:tc>
      </w:tr>
      <w:tr w:rsidR="000E72C1" w:rsidRPr="00A179AE" w:rsidTr="00E010EB">
        <w:trPr>
          <w:trHeight w:val="170"/>
        </w:trPr>
        <w:tc>
          <w:tcPr>
            <w:tcW w:w="9176" w:type="dxa"/>
            <w:gridSpan w:val="10"/>
            <w:tcBorders>
              <w:top w:val="nil"/>
              <w:bottom w:val="single" w:sz="4" w:space="0" w:color="FFFFFF"/>
            </w:tcBorders>
            <w:vAlign w:val="center"/>
          </w:tcPr>
          <w:p w:rsidR="000E72C1" w:rsidRPr="00425C69" w:rsidRDefault="000E72C1" w:rsidP="00E010EB">
            <w:pPr>
              <w:pStyle w:val="Normlnywebov"/>
              <w:spacing w:before="0" w:beforeAutospacing="0" w:after="0" w:afterAutospacing="0"/>
              <w:jc w:val="both"/>
            </w:pPr>
          </w:p>
        </w:tc>
      </w:tr>
      <w:tr w:rsidR="000E72C1" w:rsidRPr="00A179AE" w:rsidTr="00E010EB">
        <w:tc>
          <w:tcPr>
            <w:tcW w:w="917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E010EB">
            <w:pPr>
              <w:pStyle w:val="Odsekzoznamu"/>
              <w:ind w:left="502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11. </w:t>
            </w:r>
            <w:r w:rsidRPr="00425C69">
              <w:rPr>
                <w:b/>
                <w:sz w:val="22"/>
                <w:szCs w:val="22"/>
              </w:rPr>
              <w:t>Kontakt na spracovateľa</w:t>
            </w:r>
          </w:p>
        </w:tc>
      </w:tr>
      <w:tr w:rsidR="000E72C1" w:rsidRPr="00A179AE" w:rsidTr="00E010EB">
        <w:trPr>
          <w:trHeight w:hRule="exact" w:val="620"/>
        </w:trPr>
        <w:tc>
          <w:tcPr>
            <w:tcW w:w="9176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E72C1" w:rsidRDefault="000E72C1" w:rsidP="00E010EB">
            <w:pPr>
              <w:ind w:left="220"/>
            </w:pPr>
            <w:r w:rsidRPr="00C72E4E">
              <w:t>Úrad verejného zdravotníctva SR, Odbo</w:t>
            </w:r>
            <w:r>
              <w:t>r hygieny životného prostredia,</w:t>
            </w:r>
          </w:p>
          <w:p w:rsidR="000E72C1" w:rsidRPr="00425C69" w:rsidRDefault="000E72C1" w:rsidP="00E010EB">
            <w:pPr>
              <w:ind w:left="220"/>
            </w:pPr>
            <w:r w:rsidRPr="00C72E4E">
              <w:t>Mgr. Milada Eštóková, PhD., 02/49 284 375, ohzp@uvzsr.sk</w:t>
            </w:r>
          </w:p>
        </w:tc>
      </w:tr>
      <w:tr w:rsidR="000E72C1" w:rsidRPr="00A179AE" w:rsidTr="00E010EB">
        <w:tc>
          <w:tcPr>
            <w:tcW w:w="917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E010EB">
            <w:pPr>
              <w:pStyle w:val="Odsekzoznamu"/>
              <w:ind w:left="502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12. </w:t>
            </w:r>
            <w:r w:rsidRPr="00425C69">
              <w:rPr>
                <w:b/>
                <w:sz w:val="22"/>
                <w:szCs w:val="22"/>
              </w:rPr>
              <w:t>Zdroje</w:t>
            </w:r>
          </w:p>
        </w:tc>
      </w:tr>
      <w:tr w:rsidR="000E72C1" w:rsidRPr="00A179AE" w:rsidTr="00E010EB">
        <w:trPr>
          <w:trHeight w:val="272"/>
        </w:trPr>
        <w:tc>
          <w:tcPr>
            <w:tcW w:w="9176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E72C1" w:rsidRPr="00425C69" w:rsidRDefault="000E72C1" w:rsidP="00E010EB">
            <w:pPr>
              <w:ind w:left="220"/>
            </w:pPr>
            <w:r w:rsidRPr="00425C69">
              <w:t xml:space="preserve">- </w:t>
            </w:r>
            <w:r w:rsidRPr="00C72E4E">
              <w:t xml:space="preserve">Európska komisia, </w:t>
            </w:r>
            <w:proofErr w:type="spellStart"/>
            <w:r w:rsidRPr="00C72E4E">
              <w:t>Slov-Lex</w:t>
            </w:r>
            <w:proofErr w:type="spellEnd"/>
          </w:p>
        </w:tc>
      </w:tr>
      <w:tr w:rsidR="000E72C1" w:rsidRPr="00A179AE" w:rsidTr="00E010EB">
        <w:tc>
          <w:tcPr>
            <w:tcW w:w="917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E72C1" w:rsidRPr="00425C69" w:rsidRDefault="000E72C1" w:rsidP="00E010EB">
            <w:pPr>
              <w:pStyle w:val="Odsekzoznamu"/>
              <w:ind w:left="502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13. </w:t>
            </w:r>
            <w:r w:rsidRPr="00425C69">
              <w:rPr>
                <w:b/>
                <w:sz w:val="22"/>
                <w:szCs w:val="22"/>
              </w:rPr>
              <w:t>Stanovisko Komisie pre posudzovanie vybraných vplyvov z PPK</w:t>
            </w:r>
          </w:p>
        </w:tc>
      </w:tr>
      <w:tr w:rsidR="000E72C1" w:rsidRPr="00A179AE" w:rsidTr="00E010EB">
        <w:trPr>
          <w:trHeight w:val="397"/>
        </w:trPr>
        <w:tc>
          <w:tcPr>
            <w:tcW w:w="9176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E72C1" w:rsidRPr="00425C69" w:rsidRDefault="000E72C1" w:rsidP="00E010EB">
            <w:pPr>
              <w:tabs>
                <w:tab w:val="center" w:pos="6379"/>
              </w:tabs>
              <w:jc w:val="both"/>
            </w:pPr>
          </w:p>
        </w:tc>
      </w:tr>
    </w:tbl>
    <w:p w:rsidR="006931EC" w:rsidRPr="000E72C1" w:rsidRDefault="006931EC" w:rsidP="000E72C1">
      <w:pPr>
        <w:rPr>
          <w:szCs w:val="20"/>
        </w:rPr>
      </w:pPr>
    </w:p>
    <w:sectPr w:rsidR="006931EC" w:rsidRPr="000E72C1" w:rsidSect="000E72C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B1" w:rsidRDefault="00C80DB1">
      <w:r>
        <w:separator/>
      </w:r>
    </w:p>
  </w:endnote>
  <w:endnote w:type="continuationSeparator" w:id="0">
    <w:p w:rsidR="00C80DB1" w:rsidRDefault="00C8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B1" w:rsidRDefault="00C80DB1">
      <w:r>
        <w:separator/>
      </w:r>
    </w:p>
  </w:footnote>
  <w:footnote w:type="continuationSeparator" w:id="0">
    <w:p w:rsidR="00C80DB1" w:rsidRDefault="00C80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83D"/>
    <w:multiLevelType w:val="hybridMultilevel"/>
    <w:tmpl w:val="EBC0A338"/>
    <w:lvl w:ilvl="0" w:tplc="FFFFFFFF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DE54EF"/>
    <w:multiLevelType w:val="hybridMultilevel"/>
    <w:tmpl w:val="419C7968"/>
    <w:lvl w:ilvl="0" w:tplc="1608902C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E72C1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D6F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37F72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58D5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458AF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166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53B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B46BF"/>
    <w:rsid w:val="008C0D63"/>
    <w:rsid w:val="008C211C"/>
    <w:rsid w:val="008C3440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5C04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8688A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2F8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0DB1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07F4C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8688A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8688A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688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688A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5458D5"/>
    <w:rPr>
      <w:color w:val="0000FF"/>
      <w:u w:val="single"/>
    </w:rPr>
  </w:style>
  <w:style w:type="character" w:styleId="Siln">
    <w:name w:val="Strong"/>
    <w:uiPriority w:val="22"/>
    <w:qFormat/>
    <w:rsid w:val="005458D5"/>
    <w:rPr>
      <w:b/>
      <w:bCs/>
    </w:rPr>
  </w:style>
  <w:style w:type="paragraph" w:styleId="Odsekzoznamu">
    <w:name w:val="List Paragraph"/>
    <w:basedOn w:val="Normlny"/>
    <w:uiPriority w:val="99"/>
    <w:qFormat/>
    <w:rsid w:val="000E72C1"/>
    <w:pPr>
      <w:ind w:left="708"/>
    </w:pPr>
    <w:rPr>
      <w:lang w:eastAsia="cs-CZ"/>
    </w:rPr>
  </w:style>
  <w:style w:type="paragraph" w:customStyle="1" w:styleId="1podsek">
    <w:name w:val="1podsek"/>
    <w:basedOn w:val="Odsekzoznamu"/>
    <w:qFormat/>
    <w:rsid w:val="000E72C1"/>
    <w:pPr>
      <w:numPr>
        <w:numId w:val="1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character" w:styleId="Textzstupnhosymbolu">
    <w:name w:val="Placeholder Text"/>
    <w:aliases w:val="Zástupný text"/>
    <w:uiPriority w:val="99"/>
    <w:semiHidden/>
    <w:rsid w:val="000E72C1"/>
    <w:rPr>
      <w:rFonts w:ascii="Times New Roman" w:hAnsi="Times New Roman" w:cs="Times New Roman"/>
      <w:color w:val="808080"/>
    </w:rPr>
  </w:style>
  <w:style w:type="character" w:styleId="slostrany">
    <w:name w:val="page number"/>
    <w:uiPriority w:val="99"/>
    <w:rsid w:val="000E72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3.2021 16:29:47"/>
    <f:field ref="objchangedby" par="" text="Administrator, System"/>
    <f:field ref="objmodifiedat" par="" text="30.3.2021 16:29:5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Depešová</cp:lastModifiedBy>
  <cp:revision>5</cp:revision>
  <dcterms:created xsi:type="dcterms:W3CDTF">2021-05-19T10:36:00Z</dcterms:created>
  <dcterms:modified xsi:type="dcterms:W3CDTF">2021-05-24T12:04:00Z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mení a dopĺňa nariadenie vlády Slovenskej republiky č. 330/2018 Z. z., ktorým sa ustanovuje výška sadzieb poplatkov za uloženie odpadov a podrobnosti súvisiace s prerozdeľovaním príjmov z poplatkov za uloženie odpadov v znení nariadenia vlády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 ktorým sa mení a dopĺňa nariadenie vlády Slovenskej republiky č. 330/2018 Z. z., ktorým sa ustanovuje výška sadzieb poplatkov za uloženie odpadov a podrobnosti súvisiace s prerozdeľovaním príjmov z poplatkov za ulo</vt:lpwstr>
  </property>
  <property fmtid="{D5CDD505-2E9C-101B-9397-08002B2CF9AE}" pid="17" name="FSC#SKEDITIONSLOVLEX@103.510:rezortcislopredpis">
    <vt:lpwstr>6855/2021-1.7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LP/2021/128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25. 2. 2021</vt:lpwstr>
  </property>
  <property fmtid="{D5CDD505-2E9C-101B-9397-08002B2CF9AE}" pid="49" name="FSC#SKEDITIONSLOVLEX@103.510:AttrDateDocPropUkonceniePKK">
    <vt:lpwstr>3. 3. 2021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justify;"&gt;&amp;nbsp;&amp;nbsp;&amp;nbsp;&amp;nbsp;&amp;nbsp;&amp;nbsp; Podrobnosti týkajúce sa vybraných vplyvov boli popísané v&amp;nbsp;rámci schvaľovacieho procesu k&amp;nbsp;návrhu novely zákona o&amp;nbsp;poplatkoch. Uvedené vplyvy boli zároveň predmetom povinných</vt:lpwstr>
  </property>
  <property fmtid="{D5CDD505-2E9C-101B-9397-08002B2CF9AE}" pid="56" name="FSC#SKEDITIONSLOVLEX@103.510:AttrStrListDocPropAltRiesenia">
    <vt:lpwstr>Alternatívne riešenie 0 – pôvodný stav (financovanie triedeného zberu biologicky rozložiteľného kuchynského odpadu z domácností bude zabezpečované z miestneho poplatku za komunálne odpady a drobné stavebné odpady). Alternatívne riešenie 1 – prijatie návrh</vt:lpwstr>
  </property>
  <property fmtid="{D5CDD505-2E9C-101B-9397-08002B2CF9AE}" pid="57" name="FSC#SKEDITIONSLOVLEX@103.510:AttrStrListDocPropStanoviskoGest">
    <vt:lpwstr>&lt;p&gt;&lt;strong&gt;I. Úvod:&lt;/strong&gt; Ministerstvo životného prostredia SR predložilo dňa 25. februára 2021 Stálej pracovnej komisii na posudzovanie vybraných vplyvov (ďalej len „Komisia“) na predbežné pripomienkové konanie materiál: „Nariadenia vlády Slovenskej r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 Ministerstvo životného prostredia Slovenskej republiky predkladá do legislatívneho procesu návrh nariadenia vlády Slovenskej republiky, ktorým sa mení a dopĺňa nariadenie vlády Slovenskej repu</vt:lpwstr>
  </property>
  <property fmtid="{D5CDD505-2E9C-101B-9397-08002B2CF9AE}" pid="130" name="FSC#COOSYSTEM@1.1:Container">
    <vt:lpwstr>COO.2145.1000.3.4313343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 účasti verejnosti na tvorbe právneho predpisu &lt;/strong&gt;&lt;/p&gt;&lt;p&gt;&amp;nbsp;&lt;/p&gt;&lt;table align="left" border="1" cellpadding="0" cellspacing="0" style="width:99.0%;" width="99%"&gt;	&lt;tbody&gt;		&lt;tr&gt;			&lt;td colspan="5" style="width:100.0%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č. 33/2020 Z. z.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ženie odpadov v znení nariadenia vlády č. 33/2020 Z. z.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30. 3. 2021</vt:lpwstr>
  </property>
</Properties>
</file>