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711DB" w14:textId="77777777" w:rsidR="00663106" w:rsidRPr="00224087" w:rsidRDefault="00663106" w:rsidP="00663106">
      <w:pPr>
        <w:spacing w:after="120"/>
        <w:jc w:val="center"/>
        <w:rPr>
          <w:b/>
          <w:caps/>
          <w:sz w:val="27"/>
          <w:szCs w:val="27"/>
          <w:lang w:eastAsia="sk-SK"/>
        </w:rPr>
      </w:pPr>
      <w:bookmarkStart w:id="0" w:name="_GoBack"/>
      <w:bookmarkEnd w:id="0"/>
      <w:r w:rsidRPr="00224087">
        <w:rPr>
          <w:b/>
          <w:caps/>
        </w:rPr>
        <w:t>Dôvodová správa</w:t>
      </w:r>
    </w:p>
    <w:p w14:paraId="7E54DDCA" w14:textId="77777777" w:rsidR="00663106" w:rsidRPr="00224087" w:rsidRDefault="00663106" w:rsidP="00663106">
      <w:pPr>
        <w:jc w:val="both"/>
        <w:rPr>
          <w:b/>
        </w:rPr>
      </w:pPr>
    </w:p>
    <w:p w14:paraId="18CD896B" w14:textId="77777777" w:rsidR="00663106" w:rsidRPr="00224087" w:rsidRDefault="00663106" w:rsidP="00663106">
      <w:pPr>
        <w:jc w:val="both"/>
        <w:rPr>
          <w:b/>
        </w:rPr>
      </w:pPr>
      <w:r w:rsidRPr="00224087">
        <w:rPr>
          <w:b/>
        </w:rPr>
        <w:t xml:space="preserve">Osobitná časť </w:t>
      </w:r>
    </w:p>
    <w:p w14:paraId="201D8B3D" w14:textId="77777777" w:rsidR="00663106" w:rsidRPr="00224087" w:rsidRDefault="00663106" w:rsidP="00663106">
      <w:pPr>
        <w:jc w:val="both"/>
      </w:pPr>
    </w:p>
    <w:p w14:paraId="287373EF" w14:textId="037C9BF8" w:rsidR="00663106" w:rsidRPr="00224087" w:rsidRDefault="00663106" w:rsidP="00663106">
      <w:pPr>
        <w:jc w:val="center"/>
        <w:rPr>
          <w:b/>
        </w:rPr>
      </w:pPr>
      <w:r w:rsidRPr="00224087">
        <w:rPr>
          <w:b/>
        </w:rPr>
        <w:t>K čl. I – novela zákona č. 483/2001 Z. z.</w:t>
      </w:r>
      <w:r w:rsidR="002F2737" w:rsidRPr="00224087">
        <w:rPr>
          <w:b/>
        </w:rPr>
        <w:t xml:space="preserve"> o bankách a o zmene a doplnení niektorých zákonov v znení neskorších predpisov</w:t>
      </w:r>
    </w:p>
    <w:p w14:paraId="70336A51" w14:textId="77777777" w:rsidR="00663106" w:rsidRPr="00224087" w:rsidRDefault="00663106" w:rsidP="00663106">
      <w:pPr>
        <w:jc w:val="both"/>
      </w:pPr>
    </w:p>
    <w:p w14:paraId="209F3AF2" w14:textId="60131B5C" w:rsidR="00C77831" w:rsidRPr="00224087" w:rsidRDefault="00C77831" w:rsidP="00C77831">
      <w:pPr>
        <w:jc w:val="both"/>
        <w:rPr>
          <w:b/>
        </w:rPr>
      </w:pPr>
      <w:r w:rsidRPr="00224087">
        <w:rPr>
          <w:b/>
        </w:rPr>
        <w:t>K bodu 1 [§ 25 ods. 17]</w:t>
      </w:r>
    </w:p>
    <w:p w14:paraId="605A8FE9" w14:textId="703DC570" w:rsidR="00C77831" w:rsidRPr="00224087" w:rsidRDefault="00366724" w:rsidP="00663106">
      <w:pPr>
        <w:jc w:val="both"/>
      </w:pPr>
      <w:r w:rsidRPr="00224087">
        <w:t>Na základe splnomocňovacieho ustanovenia čl. 91 ods. 1 c) smernice Európskeho parlamentu a Rady 2013/36/EÚ</w:t>
      </w:r>
      <w:r w:rsidR="00330458" w:rsidRPr="00224087">
        <w:t xml:space="preserve"> z 26. júna 2013</w:t>
      </w:r>
      <w:r w:rsidRPr="00224087">
        <w:t xml:space="preserve"> o prístupe k činnosti úverových inštitúcií a prudenciálnom dohľade nad úverovými inštitúciami a investičnými spoločnosťami, o</w:t>
      </w:r>
      <w:r w:rsidR="0004458C" w:rsidRPr="00224087">
        <w:t> </w:t>
      </w:r>
      <w:r w:rsidRPr="00224087">
        <w:t>zmene</w:t>
      </w:r>
      <w:r w:rsidR="0004458C" w:rsidRPr="00224087">
        <w:t xml:space="preserve"> </w:t>
      </w:r>
      <w:r w:rsidRPr="00224087">
        <w:t>smernice 2002/87/ES a o zrušení smerníc 2006/48/ES a 2006/49/ES</w:t>
      </w:r>
      <w:r w:rsidR="00330458" w:rsidRPr="00224087">
        <w:t xml:space="preserve"> </w:t>
      </w:r>
      <w:r w:rsidR="004055AA" w:rsidRPr="004055AA">
        <w:t>(Ú. v. EÚ L 176, 27.6.2013)</w:t>
      </w:r>
      <w:r w:rsidR="004055AA">
        <w:t xml:space="preserve"> </w:t>
      </w:r>
      <w:r w:rsidR="00330458" w:rsidRPr="00224087">
        <w:t>v platnom znení</w:t>
      </w:r>
      <w:r w:rsidRPr="00224087">
        <w:t xml:space="preserve"> (ďalej len „CRD“) boli vydané spoločné usmernenia európskych orgánov dohľadu </w:t>
      </w:r>
      <w:r w:rsidR="00330458" w:rsidRPr="00224087">
        <w:t xml:space="preserve">o posúdení vhodnosti členov riadiaceho orgánu a osôb zastávajúcich kľúčové funkcie </w:t>
      </w:r>
      <w:r w:rsidRPr="00224087">
        <w:t xml:space="preserve">(EBA/GL/2017/12). V rámci povoľovacej praxe </w:t>
      </w:r>
      <w:r w:rsidR="00330458" w:rsidRPr="00224087">
        <w:t xml:space="preserve">Európskej centrálnej banky </w:t>
      </w:r>
      <w:r w:rsidRPr="00224087">
        <w:t xml:space="preserve">v rámci Jednotného mechanizmu dohľadu sa v kontexte </w:t>
      </w:r>
      <w:r w:rsidR="00330458" w:rsidRPr="00224087">
        <w:t xml:space="preserve">usmernení </w:t>
      </w:r>
      <w:r w:rsidRPr="00224087">
        <w:t xml:space="preserve">EBA GL/2017/12 ukázala potreba podrobnejšie definovať a upraviť tzv. formálnu nezávislosť člena predstavenstva alebo dozornej rady s cieľom priblížiť sa k štandardu uplatňovanému v členských štátoch. </w:t>
      </w:r>
      <w:r w:rsidR="00EA7AB6" w:rsidRPr="00224087">
        <w:t>V tejto súvislosti sa dopĺňa splnomocňovacie ustanovenie, na základe ktorého Národná banka Slovenska bude môcť vydať príslušné opatrenie.</w:t>
      </w:r>
    </w:p>
    <w:p w14:paraId="0B777039" w14:textId="77777777" w:rsidR="00C77831" w:rsidRPr="00224087" w:rsidRDefault="00C77831" w:rsidP="00663106">
      <w:pPr>
        <w:jc w:val="both"/>
      </w:pPr>
    </w:p>
    <w:p w14:paraId="595535BE" w14:textId="310798A3" w:rsidR="00C77831" w:rsidRPr="00224087" w:rsidRDefault="00C77831" w:rsidP="00C77831">
      <w:pPr>
        <w:jc w:val="both"/>
        <w:rPr>
          <w:b/>
        </w:rPr>
      </w:pPr>
      <w:r w:rsidRPr="00224087">
        <w:rPr>
          <w:b/>
        </w:rPr>
        <w:t>K bodu 2 [§ 27 ods. 3]</w:t>
      </w:r>
    </w:p>
    <w:p w14:paraId="0018E75E" w14:textId="235B25F5" w:rsidR="00C77831" w:rsidRPr="00224087" w:rsidRDefault="005D66E2" w:rsidP="00663106">
      <w:pPr>
        <w:jc w:val="both"/>
      </w:pPr>
      <w:r w:rsidRPr="00224087">
        <w:t xml:space="preserve">Legislatívno-technická úprava, ktorou sa precizuje ustanovenie týkajúce sa zloženia výboru pre riadenie rizík v globálne systémovo významnej banke alebo v lokálne systémovo významnej banke. </w:t>
      </w:r>
    </w:p>
    <w:p w14:paraId="5BB3AB8C" w14:textId="77777777" w:rsidR="00C77831" w:rsidRPr="00224087" w:rsidRDefault="00C77831" w:rsidP="00663106">
      <w:pPr>
        <w:jc w:val="both"/>
      </w:pPr>
    </w:p>
    <w:p w14:paraId="7F82A51A" w14:textId="3626D383" w:rsidR="00663106" w:rsidRPr="00224087" w:rsidRDefault="00663106" w:rsidP="00905BC0">
      <w:pPr>
        <w:jc w:val="both"/>
        <w:rPr>
          <w:b/>
        </w:rPr>
      </w:pPr>
      <w:r w:rsidRPr="00224087">
        <w:rPr>
          <w:b/>
        </w:rPr>
        <w:t xml:space="preserve">K bodu </w:t>
      </w:r>
      <w:r w:rsidR="00C77831" w:rsidRPr="00224087">
        <w:rPr>
          <w:b/>
        </w:rPr>
        <w:t>3</w:t>
      </w:r>
      <w:r w:rsidRPr="00224087">
        <w:rPr>
          <w:b/>
        </w:rPr>
        <w:t xml:space="preserve"> [§</w:t>
      </w:r>
      <w:r w:rsidR="00434233" w:rsidRPr="00224087">
        <w:rPr>
          <w:b/>
        </w:rPr>
        <w:t xml:space="preserve"> 28 ods. 1 písmeno f)</w:t>
      </w:r>
      <w:r w:rsidRPr="00224087">
        <w:rPr>
          <w:b/>
        </w:rPr>
        <w:t>]</w:t>
      </w:r>
    </w:p>
    <w:p w14:paraId="1BE29020" w14:textId="7C82B9F5" w:rsidR="007D6063" w:rsidRPr="00224087" w:rsidRDefault="00434233" w:rsidP="00905BC0">
      <w:pPr>
        <w:jc w:val="both"/>
      </w:pPr>
      <w:r w:rsidRPr="00224087">
        <w:t>Ide o transpozíciu čl. 1</w:t>
      </w:r>
      <w:r w:rsidR="00946CE1" w:rsidRPr="00224087">
        <w:t>9</w:t>
      </w:r>
      <w:r w:rsidRPr="00224087">
        <w:t xml:space="preserve"> ods. </w:t>
      </w:r>
      <w:r w:rsidR="00946CE1" w:rsidRPr="00224087">
        <w:t xml:space="preserve">1 smernice </w:t>
      </w:r>
      <w:r w:rsidR="00330458" w:rsidRPr="00224087">
        <w:t>Európskeho Parlamentu a Rady (EÚ)</w:t>
      </w:r>
      <w:r w:rsidR="00A9244B" w:rsidRPr="00224087">
        <w:t xml:space="preserve"> 2019/2162 </w:t>
      </w:r>
      <w:r w:rsidR="00330458" w:rsidRPr="00224087">
        <w:t xml:space="preserve">z 27. novembra 2019 </w:t>
      </w:r>
      <w:r w:rsidR="00955BB8" w:rsidRPr="00224087">
        <w:t xml:space="preserve">o emisii </w:t>
      </w:r>
      <w:r w:rsidR="00A9244B" w:rsidRPr="00224087">
        <w:t>krytých dlhopisov a</w:t>
      </w:r>
      <w:r w:rsidR="00955BB8" w:rsidRPr="00224087">
        <w:t> </w:t>
      </w:r>
      <w:r w:rsidR="00A9244B" w:rsidRPr="00224087">
        <w:t>verejnom</w:t>
      </w:r>
      <w:r w:rsidR="00955BB8" w:rsidRPr="00224087">
        <w:t xml:space="preserve"> </w:t>
      </w:r>
      <w:r w:rsidR="00A9244B" w:rsidRPr="00224087">
        <w:t>dohľade nad krytými dlhopismi a</w:t>
      </w:r>
      <w:r w:rsidR="00955BB8" w:rsidRPr="00224087">
        <w:t> </w:t>
      </w:r>
      <w:r w:rsidR="00A9244B" w:rsidRPr="00224087">
        <w:t>ktorou</w:t>
      </w:r>
      <w:r w:rsidR="00955BB8" w:rsidRPr="00224087">
        <w:t xml:space="preserve"> </w:t>
      </w:r>
      <w:r w:rsidR="00A9244B" w:rsidRPr="00224087">
        <w:t>sa menia smernice 2009/65/ES a 2014/59/EÚ</w:t>
      </w:r>
      <w:r w:rsidR="004055AA">
        <w:t xml:space="preserve"> </w:t>
      </w:r>
      <w:r w:rsidR="004055AA" w:rsidRPr="004055AA">
        <w:t>(Ú. v. EÚ L 328, 18.12.2019)</w:t>
      </w:r>
      <w:r w:rsidR="00A9244B" w:rsidRPr="00224087">
        <w:t xml:space="preserve"> (ďalej len „CBD“)</w:t>
      </w:r>
      <w:r w:rsidR="00D808EC" w:rsidRPr="00224087">
        <w:t>, kde sa spresňuje, že sa samostatný predchádzajúci súhlas Národnej banky Slovenska vyžaduje pre každý jeden program krytých dlhopisov danej banky.</w:t>
      </w:r>
    </w:p>
    <w:p w14:paraId="1DCEAE17" w14:textId="77777777" w:rsidR="00D808EC" w:rsidRPr="00224087" w:rsidRDefault="00D808EC" w:rsidP="00905BC0">
      <w:pPr>
        <w:jc w:val="both"/>
      </w:pPr>
    </w:p>
    <w:p w14:paraId="6297E175" w14:textId="50F876E5" w:rsidR="00D808EC" w:rsidRPr="00224087" w:rsidRDefault="00D808EC" w:rsidP="00905BC0">
      <w:pPr>
        <w:jc w:val="both"/>
        <w:rPr>
          <w:b/>
        </w:rPr>
      </w:pPr>
      <w:r w:rsidRPr="00224087">
        <w:rPr>
          <w:b/>
        </w:rPr>
        <w:t xml:space="preserve">K bodu </w:t>
      </w:r>
      <w:r w:rsidR="00C77831" w:rsidRPr="00224087">
        <w:rPr>
          <w:b/>
        </w:rPr>
        <w:t>4</w:t>
      </w:r>
      <w:r w:rsidRPr="00224087">
        <w:rPr>
          <w:b/>
        </w:rPr>
        <w:t xml:space="preserve"> [§ 28 ods. 2)]</w:t>
      </w:r>
    </w:p>
    <w:p w14:paraId="7B0AFE94" w14:textId="35CC9EEC" w:rsidR="00D808EC" w:rsidRPr="00224087" w:rsidRDefault="00D808EC" w:rsidP="00905BC0">
      <w:pPr>
        <w:jc w:val="both"/>
      </w:pPr>
      <w:r w:rsidRPr="00224087">
        <w:t>Ide o legislatívno-technick</w:t>
      </w:r>
      <w:r w:rsidR="00905BC0" w:rsidRPr="00224087">
        <w:t>ú</w:t>
      </w:r>
      <w:r w:rsidRPr="00224087">
        <w:t xml:space="preserve"> úprav</w:t>
      </w:r>
      <w:r w:rsidR="00905BC0" w:rsidRPr="00224087">
        <w:t>u</w:t>
      </w:r>
      <w:r w:rsidRPr="00224087">
        <w:t xml:space="preserve"> súvisiac</w:t>
      </w:r>
      <w:r w:rsidR="00905BC0" w:rsidRPr="00224087">
        <w:t>u</w:t>
      </w:r>
      <w:r w:rsidRPr="00224087">
        <w:t xml:space="preserve"> </w:t>
      </w:r>
      <w:r w:rsidR="005A6CE8">
        <w:t>s </w:t>
      </w:r>
      <w:r w:rsidRPr="00224087">
        <w:t>transpozíci</w:t>
      </w:r>
      <w:r w:rsidR="005A6CE8">
        <w:t>o</w:t>
      </w:r>
      <w:r w:rsidRPr="00224087">
        <w:t xml:space="preserve">u čl. 19 </w:t>
      </w:r>
      <w:r w:rsidR="00905BC0" w:rsidRPr="00224087">
        <w:t>CBD.</w:t>
      </w:r>
    </w:p>
    <w:p w14:paraId="0DADEF94" w14:textId="77777777" w:rsidR="00905BC0" w:rsidRPr="00224087" w:rsidRDefault="00905BC0" w:rsidP="00905BC0">
      <w:pPr>
        <w:jc w:val="both"/>
      </w:pPr>
    </w:p>
    <w:p w14:paraId="34BD9423" w14:textId="557EB05A" w:rsidR="00905BC0" w:rsidRPr="00224087" w:rsidRDefault="00905BC0" w:rsidP="00905BC0">
      <w:pPr>
        <w:jc w:val="both"/>
        <w:rPr>
          <w:b/>
        </w:rPr>
      </w:pPr>
      <w:r w:rsidRPr="00224087">
        <w:rPr>
          <w:b/>
        </w:rPr>
        <w:t xml:space="preserve">K bodu </w:t>
      </w:r>
      <w:r w:rsidR="00C77831" w:rsidRPr="00224087">
        <w:rPr>
          <w:b/>
        </w:rPr>
        <w:t>5</w:t>
      </w:r>
      <w:r w:rsidRPr="00224087">
        <w:rPr>
          <w:b/>
        </w:rPr>
        <w:t xml:space="preserve"> [§ 28 ods. 5]</w:t>
      </w:r>
    </w:p>
    <w:p w14:paraId="00338969" w14:textId="615B92FD" w:rsidR="00905BC0" w:rsidRPr="00224087" w:rsidRDefault="00905BC0" w:rsidP="00905BC0">
      <w:pPr>
        <w:jc w:val="both"/>
      </w:pPr>
      <w:r w:rsidRPr="00224087">
        <w:t>Ide o transpozíciu čl. 23 ods. 2 písm. a)</w:t>
      </w:r>
      <w:r w:rsidR="00CC52F5" w:rsidRPr="00224087">
        <w:t xml:space="preserve"> CBD</w:t>
      </w:r>
      <w:r w:rsidRPr="00224087">
        <w:t xml:space="preserve">, kde sa stanovuje, že Národná banka Slovenska </w:t>
      </w:r>
      <w:r w:rsidR="009D5890" w:rsidRPr="00224087">
        <w:t xml:space="preserve">odoberie </w:t>
      </w:r>
      <w:r w:rsidRPr="00224087">
        <w:t>predchádzajúci súhlas podľa § 28 odseku 1 písm. f), ktorý bol udelený na základe nepravdivých údajov.</w:t>
      </w:r>
    </w:p>
    <w:p w14:paraId="053ED27D" w14:textId="77777777" w:rsidR="00905BC0" w:rsidRPr="00224087" w:rsidRDefault="00905BC0" w:rsidP="00905BC0">
      <w:pPr>
        <w:jc w:val="both"/>
      </w:pPr>
    </w:p>
    <w:p w14:paraId="72B0E2EE" w14:textId="00319D9F" w:rsidR="00D93C1F" w:rsidRPr="00224087" w:rsidRDefault="00D93C1F" w:rsidP="00D93C1F">
      <w:pPr>
        <w:jc w:val="both"/>
        <w:rPr>
          <w:b/>
        </w:rPr>
      </w:pPr>
      <w:r w:rsidRPr="00224087">
        <w:rPr>
          <w:b/>
        </w:rPr>
        <w:t xml:space="preserve">K bodu </w:t>
      </w:r>
      <w:r w:rsidR="00C77831" w:rsidRPr="00224087">
        <w:rPr>
          <w:b/>
        </w:rPr>
        <w:t>6</w:t>
      </w:r>
      <w:r w:rsidRPr="00224087">
        <w:rPr>
          <w:b/>
        </w:rPr>
        <w:t xml:space="preserve"> [§ 28 ods. 7]</w:t>
      </w:r>
    </w:p>
    <w:p w14:paraId="408E85CC" w14:textId="1122E7AD" w:rsidR="00905BC0" w:rsidRPr="00224087" w:rsidRDefault="00D93C1F" w:rsidP="00D93C1F">
      <w:pPr>
        <w:jc w:val="both"/>
      </w:pPr>
      <w:r w:rsidRPr="00224087">
        <w:t>Ide o rozšírene splnomocňujúceho ustanovenia pre opatrenie Národnej banky Slovenska, ktorým sa majú ustanoviť aj podrobnosti o</w:t>
      </w:r>
      <w:r w:rsidR="00955BB8" w:rsidRPr="00224087">
        <w:t> </w:t>
      </w:r>
      <w:r w:rsidRPr="00224087">
        <w:t>podmienkach</w:t>
      </w:r>
      <w:r w:rsidR="00955BB8" w:rsidRPr="00224087">
        <w:t xml:space="preserve"> </w:t>
      </w:r>
      <w:r w:rsidRPr="00224087">
        <w:t>podľa odseku 25 a</w:t>
      </w:r>
      <w:r w:rsidR="00955BB8" w:rsidRPr="00224087">
        <w:t> </w:t>
      </w:r>
      <w:r w:rsidRPr="00224087">
        <w:t>spôsob</w:t>
      </w:r>
      <w:r w:rsidR="00955BB8" w:rsidRPr="00224087">
        <w:t xml:space="preserve"> </w:t>
      </w:r>
      <w:r w:rsidRPr="00224087">
        <w:t xml:space="preserve">preukazovania splnenia týchto podmienok. Ide o úpravu súvisiacu s transpozíciu čl. </w:t>
      </w:r>
      <w:r w:rsidR="00CC52F5" w:rsidRPr="00224087">
        <w:t>19 CBD.</w:t>
      </w:r>
    </w:p>
    <w:p w14:paraId="6A0234F3" w14:textId="77777777" w:rsidR="00CC52F5" w:rsidRPr="00224087" w:rsidRDefault="00CC52F5" w:rsidP="00D93C1F">
      <w:pPr>
        <w:jc w:val="both"/>
      </w:pPr>
    </w:p>
    <w:p w14:paraId="54159510" w14:textId="1AE59D95" w:rsidR="00CC52F5" w:rsidRPr="00224087" w:rsidRDefault="00CC52F5" w:rsidP="00CC52F5">
      <w:pPr>
        <w:jc w:val="both"/>
        <w:rPr>
          <w:b/>
        </w:rPr>
      </w:pPr>
      <w:r w:rsidRPr="00224087">
        <w:rPr>
          <w:b/>
        </w:rPr>
        <w:t xml:space="preserve">K bodu </w:t>
      </w:r>
      <w:r w:rsidR="00C77831" w:rsidRPr="00224087">
        <w:rPr>
          <w:b/>
        </w:rPr>
        <w:t>7</w:t>
      </w:r>
      <w:r w:rsidRPr="00224087">
        <w:rPr>
          <w:b/>
        </w:rPr>
        <w:t xml:space="preserve"> [§ 28 ods. 25 a 26]</w:t>
      </w:r>
    </w:p>
    <w:p w14:paraId="4C0185DE" w14:textId="78404F73" w:rsidR="00CC52F5" w:rsidRPr="00224087" w:rsidRDefault="00CC52F5" w:rsidP="00CC52F5">
      <w:pPr>
        <w:jc w:val="both"/>
      </w:pPr>
      <w:r w:rsidRPr="00224087">
        <w:t xml:space="preserve">Odsekom 25 sa transponuje čl. 19 ods. 2 CBD, ktorým sa ustanovujú minimálne požiadavky na vydanie predchádzajúceho súhlasu podľa odseku 1 písm. f). Odsekom 26 sa transponuje čl. 23 ods. 1 písm. b) CBD a vytvára sa tým predpoklad pre možnú sankciu v prípade jeho </w:t>
      </w:r>
      <w:r w:rsidRPr="00224087">
        <w:lastRenderedPageBreak/>
        <w:t>nedodržania.</w:t>
      </w:r>
      <w:r w:rsidR="009D5890" w:rsidRPr="00224087">
        <w:t xml:space="preserve"> Zároveň sa ustanovuje povinnosť banky písomne informovať Národnú banku Slovenska o zmenách podmienok</w:t>
      </w:r>
      <w:r w:rsidR="005A6CE8">
        <w:t xml:space="preserve"> podľa odseku 25</w:t>
      </w:r>
      <w:r w:rsidR="009D5890" w:rsidRPr="00224087">
        <w:t>, ktoré boli podkladom na udelenie predchádzajúceho súhlasu podľa odseku 1 písm. f).</w:t>
      </w:r>
    </w:p>
    <w:p w14:paraId="67E074A1" w14:textId="77777777" w:rsidR="00CC52F5" w:rsidRPr="00224087" w:rsidRDefault="00CC52F5" w:rsidP="00CC52F5">
      <w:pPr>
        <w:jc w:val="both"/>
      </w:pPr>
    </w:p>
    <w:p w14:paraId="28760098" w14:textId="48210C8B" w:rsidR="00A16CFA" w:rsidRPr="00224087" w:rsidRDefault="00A16CFA" w:rsidP="00A16CFA">
      <w:pPr>
        <w:jc w:val="both"/>
        <w:rPr>
          <w:b/>
        </w:rPr>
      </w:pPr>
      <w:r w:rsidRPr="00224087">
        <w:rPr>
          <w:b/>
        </w:rPr>
        <w:t>K bodu 8 [§ 37 ods. 5]</w:t>
      </w:r>
    </w:p>
    <w:p w14:paraId="378CF793" w14:textId="52018868" w:rsidR="00A16CFA" w:rsidRPr="00224087" w:rsidRDefault="00A16CFA" w:rsidP="00A16CFA">
      <w:pPr>
        <w:keepNext/>
        <w:jc w:val="both"/>
        <w:rPr>
          <w:b/>
        </w:rPr>
      </w:pPr>
      <w:r w:rsidRPr="00224087">
        <w:t>Ide o legislatívno-technickú úpravu súvisiacu s odstránením duplicitného ustanovenia s § 37 ods. 6 písm. g).</w:t>
      </w:r>
    </w:p>
    <w:p w14:paraId="6FED71A3" w14:textId="77777777" w:rsidR="00A16CFA" w:rsidRPr="00224087" w:rsidRDefault="00A16CFA" w:rsidP="00FD4643">
      <w:pPr>
        <w:keepNext/>
        <w:jc w:val="both"/>
        <w:rPr>
          <w:b/>
        </w:rPr>
      </w:pPr>
    </w:p>
    <w:p w14:paraId="4C5B24D8" w14:textId="4979F6CB" w:rsidR="00CC52F5" w:rsidRPr="00224087" w:rsidRDefault="00CC52F5" w:rsidP="00FD4643">
      <w:pPr>
        <w:keepNext/>
        <w:jc w:val="both"/>
        <w:rPr>
          <w:b/>
        </w:rPr>
      </w:pPr>
      <w:r w:rsidRPr="00224087">
        <w:rPr>
          <w:b/>
        </w:rPr>
        <w:t xml:space="preserve">K bodu </w:t>
      </w:r>
      <w:r w:rsidR="00A16CFA" w:rsidRPr="00224087">
        <w:rPr>
          <w:b/>
        </w:rPr>
        <w:t xml:space="preserve">9 </w:t>
      </w:r>
      <w:r w:rsidRPr="00224087">
        <w:rPr>
          <w:b/>
        </w:rPr>
        <w:t>[§ 37 ods. 9]</w:t>
      </w:r>
    </w:p>
    <w:p w14:paraId="28E730FC" w14:textId="3A488613" w:rsidR="00CC52F5" w:rsidRPr="00224087" w:rsidRDefault="00CC52F5" w:rsidP="00CC52F5">
      <w:pPr>
        <w:jc w:val="both"/>
      </w:pPr>
      <w:r w:rsidRPr="00224087">
        <w:t>Ide o doplnenie úvodnej vety odseku 9 v súvislosti s transpozíciou čl. 14 CBD a za účelom spresnenia, že informácie podľa § 37 ods. 9 písm. i) až q) je povinná zverejňovať len banka, ktorá je emitentom krytých dlhopisov.</w:t>
      </w:r>
    </w:p>
    <w:p w14:paraId="0B4C5967" w14:textId="77777777" w:rsidR="00CC52F5" w:rsidRPr="00224087" w:rsidRDefault="00CC52F5" w:rsidP="00CC52F5">
      <w:pPr>
        <w:jc w:val="both"/>
      </w:pPr>
    </w:p>
    <w:p w14:paraId="321B7013" w14:textId="2BE9B520" w:rsidR="00CC52F5" w:rsidRPr="00224087" w:rsidRDefault="00CC52F5" w:rsidP="00CC52F5">
      <w:pPr>
        <w:jc w:val="both"/>
        <w:rPr>
          <w:b/>
        </w:rPr>
      </w:pPr>
      <w:r w:rsidRPr="00224087">
        <w:rPr>
          <w:b/>
        </w:rPr>
        <w:t xml:space="preserve">K bodu </w:t>
      </w:r>
      <w:r w:rsidR="00A16CFA" w:rsidRPr="00224087">
        <w:rPr>
          <w:b/>
        </w:rPr>
        <w:t xml:space="preserve">10 </w:t>
      </w:r>
      <w:r w:rsidRPr="00224087">
        <w:rPr>
          <w:b/>
        </w:rPr>
        <w:t>[§ 37 ods. 9</w:t>
      </w:r>
      <w:r w:rsidR="00F05524" w:rsidRPr="00224087">
        <w:rPr>
          <w:b/>
        </w:rPr>
        <w:t xml:space="preserve"> písm. i) a j)</w:t>
      </w:r>
      <w:r w:rsidRPr="00224087">
        <w:rPr>
          <w:b/>
        </w:rPr>
        <w:t>]</w:t>
      </w:r>
    </w:p>
    <w:p w14:paraId="0B0E775F" w14:textId="7C810C10" w:rsidR="00CC52F5" w:rsidRPr="00224087" w:rsidRDefault="00F05524" w:rsidP="00CC52F5">
      <w:pPr>
        <w:jc w:val="both"/>
      </w:pPr>
      <w:r w:rsidRPr="00224087">
        <w:t>Doplnením písmena i) sa zabezpečuje transpozícia čl. 14 ods. 2 písm. b) CBD a doplnením písmena j) sa zabezpečuje transpozícia čl. 14 ods. 2 písm. a) CBD.</w:t>
      </w:r>
    </w:p>
    <w:p w14:paraId="3CA868A1" w14:textId="77777777" w:rsidR="00F05524" w:rsidRPr="00224087" w:rsidRDefault="00F05524" w:rsidP="00CC52F5">
      <w:pPr>
        <w:jc w:val="both"/>
      </w:pPr>
    </w:p>
    <w:p w14:paraId="3C5686E0" w14:textId="1CA1D1E0" w:rsidR="00F05524" w:rsidRPr="00224087" w:rsidRDefault="00F05524" w:rsidP="00F05524">
      <w:pPr>
        <w:jc w:val="both"/>
        <w:rPr>
          <w:b/>
        </w:rPr>
      </w:pPr>
      <w:r w:rsidRPr="00224087">
        <w:rPr>
          <w:b/>
        </w:rPr>
        <w:t xml:space="preserve">K bodu </w:t>
      </w:r>
      <w:r w:rsidR="00A16CFA" w:rsidRPr="00224087">
        <w:rPr>
          <w:b/>
        </w:rPr>
        <w:t xml:space="preserve">11 </w:t>
      </w:r>
      <w:r w:rsidRPr="00224087">
        <w:rPr>
          <w:b/>
        </w:rPr>
        <w:t>[§ 37 ods. 9 písm. m) až p)]</w:t>
      </w:r>
    </w:p>
    <w:p w14:paraId="6B455013" w14:textId="06FD33CD" w:rsidR="00CC52F5" w:rsidRPr="00224087" w:rsidRDefault="00F05524" w:rsidP="00F05524">
      <w:pPr>
        <w:jc w:val="both"/>
      </w:pPr>
      <w:r w:rsidRPr="00224087">
        <w:t>Doplnením nových písmen m) až p) sa zabezpečuje transpozícia čl. 14 ods. 2 písm. d) až g) CBD.</w:t>
      </w:r>
      <w:r w:rsidR="009D5890" w:rsidRPr="00224087">
        <w:t xml:space="preserve"> Písmeno p) predstavuje percentuálny podiel úverov</w:t>
      </w:r>
      <w:r w:rsidR="001A6020" w:rsidRPr="00224087">
        <w:t>,</w:t>
      </w:r>
      <w:r w:rsidR="009D5890" w:rsidRPr="00224087">
        <w:t xml:space="preserve"> pri ktorých došlo k</w:t>
      </w:r>
      <w:r w:rsidR="001A6020" w:rsidRPr="00224087">
        <w:t> </w:t>
      </w:r>
      <w:r w:rsidR="009D5890" w:rsidRPr="00224087">
        <w:t>zlyhaniu</w:t>
      </w:r>
      <w:r w:rsidR="001A6020" w:rsidRPr="00224087">
        <w:t>,</w:t>
      </w:r>
      <w:r w:rsidR="009D5890" w:rsidRPr="00224087">
        <w:t xml:space="preserve"> na celkovom objeme úverov danej banky</w:t>
      </w:r>
      <w:r w:rsidR="001A6020" w:rsidRPr="00224087">
        <w:t>, ktorá je emitentom krytých dlhopisov</w:t>
      </w:r>
      <w:r w:rsidR="009D5890" w:rsidRPr="00224087">
        <w:t>.</w:t>
      </w:r>
    </w:p>
    <w:p w14:paraId="34709FC5" w14:textId="77777777" w:rsidR="00F05524" w:rsidRPr="00224087" w:rsidRDefault="00F05524" w:rsidP="00F05524">
      <w:pPr>
        <w:jc w:val="both"/>
      </w:pPr>
    </w:p>
    <w:p w14:paraId="25BCDEC7" w14:textId="6A3552CC" w:rsidR="001A6020" w:rsidRPr="00224087" w:rsidRDefault="001A6020" w:rsidP="001A6020">
      <w:pPr>
        <w:jc w:val="both"/>
        <w:rPr>
          <w:b/>
        </w:rPr>
      </w:pPr>
      <w:r w:rsidRPr="00224087">
        <w:rPr>
          <w:b/>
        </w:rPr>
        <w:t>K bodu 12 [§ 37 ods. 19]</w:t>
      </w:r>
    </w:p>
    <w:p w14:paraId="66A648C4" w14:textId="1B0C2303" w:rsidR="001A6020" w:rsidRPr="00936BCF" w:rsidRDefault="001A6020" w:rsidP="001A6020">
      <w:pPr>
        <w:jc w:val="both"/>
      </w:pPr>
      <w:r w:rsidRPr="00936BCF">
        <w:t>Ide o dôslednú transpozíciu čl. 89 ods. 1 CRD</w:t>
      </w:r>
      <w:r w:rsidR="00936BCF" w:rsidRPr="00936BCF">
        <w:t xml:space="preserve">, </w:t>
      </w:r>
      <w:r w:rsidR="00936BCF" w:rsidRPr="00936BCF">
        <w:rPr>
          <w:rStyle w:val="awspan"/>
          <w:color w:val="000000"/>
        </w:rPr>
        <w:t>ktorý</w:t>
      </w:r>
      <w:r w:rsidR="00936BCF" w:rsidRPr="00936BCF">
        <w:rPr>
          <w:rStyle w:val="awspan"/>
          <w:color w:val="000000"/>
          <w:spacing w:val="79"/>
        </w:rPr>
        <w:t xml:space="preserve"> </w:t>
      </w:r>
      <w:r w:rsidR="00936BCF" w:rsidRPr="00936BCF">
        <w:rPr>
          <w:rStyle w:val="awspan"/>
          <w:color w:val="000000"/>
        </w:rPr>
        <w:t>ustanovuje</w:t>
      </w:r>
      <w:r w:rsidR="00936BCF" w:rsidRPr="00936BCF">
        <w:rPr>
          <w:rStyle w:val="awspan"/>
          <w:color w:val="000000"/>
          <w:spacing w:val="79"/>
        </w:rPr>
        <w:t xml:space="preserve"> </w:t>
      </w:r>
      <w:r w:rsidR="00936BCF" w:rsidRPr="00936BCF">
        <w:rPr>
          <w:rStyle w:val="awspan"/>
          <w:color w:val="000000"/>
        </w:rPr>
        <w:t>spôsob</w:t>
      </w:r>
      <w:r w:rsidR="00936BCF" w:rsidRPr="00936BCF">
        <w:rPr>
          <w:rStyle w:val="awspan"/>
          <w:color w:val="000000"/>
          <w:spacing w:val="79"/>
        </w:rPr>
        <w:t xml:space="preserve"> </w:t>
      </w:r>
      <w:r w:rsidR="00936BCF" w:rsidRPr="00936BCF">
        <w:rPr>
          <w:rStyle w:val="awspan"/>
          <w:color w:val="000000"/>
        </w:rPr>
        <w:t>členenia informácií uvádzaných vo výročnej správe</w:t>
      </w:r>
      <w:r w:rsidRPr="00936BCF">
        <w:t>.</w:t>
      </w:r>
      <w:r w:rsidR="00936BCF" w:rsidRPr="00936BCF">
        <w:t xml:space="preserve"> Banka vo výročnej správe </w:t>
      </w:r>
      <w:r w:rsidR="00936BCF">
        <w:t xml:space="preserve">tak </w:t>
      </w:r>
      <w:r w:rsidR="00936BCF" w:rsidRPr="00936BCF">
        <w:t xml:space="preserve">uvádza </w:t>
      </w:r>
      <w:r w:rsidR="00936BCF">
        <w:t xml:space="preserve">presne vymedzené </w:t>
      </w:r>
      <w:r w:rsidR="00936BCF" w:rsidRPr="00936BCF">
        <w:t xml:space="preserve">informácie </w:t>
      </w:r>
      <w:r w:rsidR="00936BCF">
        <w:t>v členení</w:t>
      </w:r>
      <w:r w:rsidR="00936BCF" w:rsidRPr="00936BCF">
        <w:t xml:space="preserve"> podľa všetkých štátov</w:t>
      </w:r>
      <w:r w:rsidR="00936BCF">
        <w:t xml:space="preserve"> (členské štáty EÚ, ako aj štáty mimo EÚ)</w:t>
      </w:r>
      <w:r w:rsidR="00936BCF" w:rsidRPr="00936BCF">
        <w:t>, v ktorých má zriadenú organizačnú zložku</w:t>
      </w:r>
      <w:r w:rsidR="00936BCF">
        <w:t>.</w:t>
      </w:r>
    </w:p>
    <w:p w14:paraId="04724054" w14:textId="77777777" w:rsidR="001A6020" w:rsidRPr="00224087" w:rsidRDefault="001A6020" w:rsidP="00F05524">
      <w:pPr>
        <w:jc w:val="both"/>
      </w:pPr>
    </w:p>
    <w:p w14:paraId="61DF79FD" w14:textId="78AE9744" w:rsidR="00685065" w:rsidRPr="00224087" w:rsidRDefault="00685065" w:rsidP="00685065">
      <w:pPr>
        <w:jc w:val="both"/>
        <w:rPr>
          <w:b/>
        </w:rPr>
      </w:pPr>
      <w:r w:rsidRPr="00224087">
        <w:rPr>
          <w:b/>
        </w:rPr>
        <w:t>K </w:t>
      </w:r>
      <w:r w:rsidR="009D5890" w:rsidRPr="00224087">
        <w:rPr>
          <w:b/>
        </w:rPr>
        <w:t xml:space="preserve">bodu </w:t>
      </w:r>
      <w:r w:rsidR="001A6020" w:rsidRPr="00224087">
        <w:rPr>
          <w:b/>
        </w:rPr>
        <w:t>13</w:t>
      </w:r>
      <w:r w:rsidRPr="00224087">
        <w:rPr>
          <w:b/>
        </w:rPr>
        <w:t xml:space="preserve"> [§ 38 ods. 3]</w:t>
      </w:r>
    </w:p>
    <w:p w14:paraId="4C9E707E" w14:textId="316E6A7F" w:rsidR="00685065" w:rsidRPr="00224087" w:rsidRDefault="00685065" w:rsidP="00F05524">
      <w:pPr>
        <w:jc w:val="both"/>
      </w:pPr>
      <w:r w:rsidRPr="00224087">
        <w:t>Navrhovaným bod</w:t>
      </w:r>
      <w:r w:rsidR="009D5890" w:rsidRPr="00224087">
        <w:t>om</w:t>
      </w:r>
      <w:r w:rsidRPr="00224087">
        <w:t xml:space="preserve"> sa umožňuje  Národnej banke Slovenska poskytovať výpisy z registra bankových úverov a záruk klientom okrem doterajšieho listinného (písomného) poskytovania výpisov z registra bankových úverov a záruk aj na základe elektronickej žiadosti klienta, a to aj prostredníctvom ústredného portálu verejnej správy (slovenko.sk) v súlade s § 2 ods. 5 zákona č. 305/2013 Z. z. v znení neskorších predpisov. Týmto návrhom sa  rozširuje možnosť poskytovať výpisy z registra bankových úverov klientom Národnou bankou Slovenska o elektronické poskytovanie takýchto výpisov. Národná banka Slovenska bude pri elektronicky predložených žiadostiach posudzovať úplnosť, správnosť a aktuálnosť vyplnených údajov v žiadosti vrátane toho, že žiadosť bola predložená v stanovenom formulári a formáte, že žiadosť bola predložená oprávnenou osobou, ako aj to, či žiadosť bola predložená cez ústredný portál verejnej správy za splnenia príslušných podmienok, ktoré sú potrebné na poslanie žiadosti cez takýto technický prostriedok. S prihliadnutím na skutočnosť, že poskytované údaje z registra klientovi sú predmetom bankového tajomstva si Národná banka Slovenska na základe dôkladného posúdenia žiadosti vyhradzuje právo v prípade pochybnosti o elektronicky predloženej žiadosti požiadať žiadateľa o predloženie listinnej žiadosti. Cieľom Národnej banky Slovenska je prispieť k elektronizácií jej procesov, znížiť administratívnu záťaž spojenú s jej procesmi a poskytnúť klientom žiadajúcim o výpis z registra bankových úverov a záruk rýchlejšiu a efektívnejšiu komunikáciu.</w:t>
      </w:r>
    </w:p>
    <w:p w14:paraId="5E96FFC8" w14:textId="77777777" w:rsidR="00685065" w:rsidRPr="00224087" w:rsidRDefault="00685065" w:rsidP="00F05524">
      <w:pPr>
        <w:jc w:val="both"/>
      </w:pPr>
    </w:p>
    <w:p w14:paraId="1F8987FD" w14:textId="63B53615" w:rsidR="001A6020" w:rsidRPr="00224087" w:rsidRDefault="001A6020" w:rsidP="001A6020">
      <w:pPr>
        <w:jc w:val="both"/>
        <w:rPr>
          <w:b/>
        </w:rPr>
      </w:pPr>
      <w:r w:rsidRPr="00224087">
        <w:rPr>
          <w:b/>
        </w:rPr>
        <w:t>K bodu 14 [§ 50 ods. 1 písm. d)]</w:t>
      </w:r>
    </w:p>
    <w:p w14:paraId="1492768C" w14:textId="6379FFDB" w:rsidR="001A6020" w:rsidRPr="00224087" w:rsidRDefault="001A6020" w:rsidP="001A6020">
      <w:pPr>
        <w:jc w:val="both"/>
      </w:pPr>
      <w:r w:rsidRPr="00224087">
        <w:t>Ide o dôslednú transpozíciu čl. 67 ods. 2 písm. e) CRD.</w:t>
      </w:r>
    </w:p>
    <w:p w14:paraId="38B1F496" w14:textId="77777777" w:rsidR="001A6020" w:rsidRPr="00224087" w:rsidRDefault="001A6020" w:rsidP="00F05524">
      <w:pPr>
        <w:jc w:val="both"/>
      </w:pPr>
    </w:p>
    <w:p w14:paraId="0D03DB67" w14:textId="4A7FAF8E" w:rsidR="00F05524" w:rsidRPr="00224087" w:rsidRDefault="00F05524" w:rsidP="001A6020">
      <w:pPr>
        <w:keepNext/>
        <w:jc w:val="both"/>
        <w:rPr>
          <w:b/>
        </w:rPr>
      </w:pPr>
      <w:r w:rsidRPr="00224087">
        <w:rPr>
          <w:b/>
        </w:rPr>
        <w:t xml:space="preserve">K bodu </w:t>
      </w:r>
      <w:r w:rsidR="001A6020" w:rsidRPr="00224087">
        <w:rPr>
          <w:b/>
        </w:rPr>
        <w:t>15</w:t>
      </w:r>
      <w:r w:rsidR="009D5890" w:rsidRPr="00224087">
        <w:rPr>
          <w:b/>
        </w:rPr>
        <w:t xml:space="preserve"> </w:t>
      </w:r>
      <w:r w:rsidRPr="00224087">
        <w:rPr>
          <w:b/>
        </w:rPr>
        <w:t>[§ 50 ods. 1 písm. t)]</w:t>
      </w:r>
    </w:p>
    <w:p w14:paraId="5FAE155E" w14:textId="2C6429FF" w:rsidR="00F05524" w:rsidRPr="00224087" w:rsidRDefault="00DA5D8C" w:rsidP="001A6020">
      <w:pPr>
        <w:keepNext/>
        <w:jc w:val="both"/>
      </w:pPr>
      <w:r w:rsidRPr="00224087">
        <w:t>Ide o transpozíciu čl. 23 ods. 2 písm. b) CBD, č</w:t>
      </w:r>
      <w:r w:rsidR="00955BB8" w:rsidRPr="00224087">
        <w:t>í</w:t>
      </w:r>
      <w:r w:rsidRPr="00224087">
        <w:t xml:space="preserve">m sa </w:t>
      </w:r>
      <w:r w:rsidR="00257228" w:rsidRPr="00224087">
        <w:t>zosúlaďuje § 50 ods. 1 písm. t) a rozširuje sa sankcia uloženia povinnosti banke zverejniť verejné vyhlásenie, v</w:t>
      </w:r>
      <w:r w:rsidR="00955BB8" w:rsidRPr="00224087">
        <w:t> </w:t>
      </w:r>
      <w:r w:rsidR="00257228" w:rsidRPr="00224087">
        <w:t>ktorom</w:t>
      </w:r>
      <w:r w:rsidR="00955BB8" w:rsidRPr="00224087">
        <w:t xml:space="preserve"> </w:t>
      </w:r>
      <w:r w:rsidR="00257228" w:rsidRPr="00224087">
        <w:t>sa uvedie osoba zodpovedná za nedostatok v činnosti, ako aj povaha porušenia.</w:t>
      </w:r>
    </w:p>
    <w:p w14:paraId="1180E01D" w14:textId="6819F87B" w:rsidR="00A94E99" w:rsidRPr="00224087" w:rsidRDefault="00A94E99" w:rsidP="00F05524">
      <w:pPr>
        <w:jc w:val="both"/>
      </w:pPr>
    </w:p>
    <w:p w14:paraId="7FCA13B7" w14:textId="7AE7832E" w:rsidR="0062298D" w:rsidRPr="00224087" w:rsidRDefault="0062298D" w:rsidP="0062298D">
      <w:pPr>
        <w:keepNext/>
        <w:jc w:val="both"/>
        <w:rPr>
          <w:b/>
        </w:rPr>
      </w:pPr>
      <w:r w:rsidRPr="00224087">
        <w:rPr>
          <w:b/>
        </w:rPr>
        <w:t xml:space="preserve">K bodu </w:t>
      </w:r>
      <w:r w:rsidR="001A6020" w:rsidRPr="00224087">
        <w:rPr>
          <w:b/>
        </w:rPr>
        <w:t>16</w:t>
      </w:r>
      <w:r w:rsidRPr="00224087">
        <w:rPr>
          <w:b/>
        </w:rPr>
        <w:t xml:space="preserve"> [§ 50 ods. 16]</w:t>
      </w:r>
    </w:p>
    <w:p w14:paraId="6BFAFA40" w14:textId="7DF0CC46" w:rsidR="00905B57" w:rsidRPr="00224087" w:rsidRDefault="0062298D" w:rsidP="0062298D">
      <w:pPr>
        <w:jc w:val="both"/>
      </w:pPr>
      <w:r w:rsidRPr="00224087">
        <w:t>Doplnením odseku 16 sa v súlade s čl. 24 ods. 8 CBD stanovuje maximálne obdobie zverejňovania osobných údajov v súvislosti s uverejňovaním sankcií a opatrení na nápravu.</w:t>
      </w:r>
      <w:r w:rsidR="000E6D2F">
        <w:t xml:space="preserve"> Národná banka Slovenska takéto osobné údaje ponecháva na svojom webovom sídle počas nevyhnutného obdobia a jeho dĺžku stanovuje s prihliadnutím na príslušné premlčacie lehoty (napríklad na udelenie pokuty alebo opatrení na nápravu), pričom táto lehota v žiadnom prípade nesmie byť dlhšia ako 10 rokov.</w:t>
      </w:r>
    </w:p>
    <w:p w14:paraId="634D3752" w14:textId="77777777" w:rsidR="0062298D" w:rsidRPr="00224087" w:rsidRDefault="0062298D" w:rsidP="00F05524">
      <w:pPr>
        <w:jc w:val="both"/>
      </w:pPr>
    </w:p>
    <w:p w14:paraId="7CB895AF" w14:textId="19D98A59" w:rsidR="00A94E99" w:rsidRPr="00224087" w:rsidRDefault="00A94E99" w:rsidP="00A94E99">
      <w:pPr>
        <w:keepNext/>
        <w:jc w:val="both"/>
        <w:rPr>
          <w:b/>
        </w:rPr>
      </w:pPr>
      <w:r w:rsidRPr="00224087">
        <w:rPr>
          <w:b/>
        </w:rPr>
        <w:t xml:space="preserve">K bodu </w:t>
      </w:r>
      <w:r w:rsidR="001A6020" w:rsidRPr="00224087">
        <w:rPr>
          <w:b/>
        </w:rPr>
        <w:t>17</w:t>
      </w:r>
      <w:r w:rsidR="009D5890" w:rsidRPr="00224087">
        <w:rPr>
          <w:b/>
        </w:rPr>
        <w:t xml:space="preserve"> </w:t>
      </w:r>
      <w:r w:rsidRPr="00224087">
        <w:rPr>
          <w:b/>
        </w:rPr>
        <w:t>[§ 50 ods. 24 a</w:t>
      </w:r>
      <w:r w:rsidR="007C3275" w:rsidRPr="00224087">
        <w:rPr>
          <w:b/>
        </w:rPr>
        <w:t>ž</w:t>
      </w:r>
      <w:r w:rsidRPr="00224087">
        <w:rPr>
          <w:b/>
        </w:rPr>
        <w:t xml:space="preserve"> </w:t>
      </w:r>
      <w:r w:rsidR="004055AA" w:rsidRPr="00224087">
        <w:rPr>
          <w:b/>
        </w:rPr>
        <w:t>2</w:t>
      </w:r>
      <w:r w:rsidR="004055AA">
        <w:rPr>
          <w:b/>
        </w:rPr>
        <w:t>6</w:t>
      </w:r>
      <w:r w:rsidRPr="00224087">
        <w:rPr>
          <w:b/>
        </w:rPr>
        <w:t>]</w:t>
      </w:r>
    </w:p>
    <w:p w14:paraId="26A020E0" w14:textId="3FAC2AD5" w:rsidR="00A94E99" w:rsidRPr="00224087" w:rsidRDefault="00A94E99" w:rsidP="00A94E99">
      <w:pPr>
        <w:jc w:val="both"/>
      </w:pPr>
      <w:r w:rsidRPr="00224087">
        <w:t>Odsekom 24 sa ustanovuje možnosť Národnej banky</w:t>
      </w:r>
      <w:r w:rsidR="00526A91" w:rsidRPr="00224087">
        <w:t xml:space="preserve"> Slovenska</w:t>
      </w:r>
      <w:r w:rsidRPr="00224087">
        <w:t xml:space="preserve"> </w:t>
      </w:r>
      <w:r w:rsidR="009D5890" w:rsidRPr="00224087">
        <w:t xml:space="preserve">odobrať </w:t>
      </w:r>
      <w:r w:rsidRPr="00224087">
        <w:t>predchádzajúci súhlas podľa § 28 ods. 1 ak banka, ktorá je emitentom krytých dlhopisov, neplní alebo nedodržuje podmienky na vydanie tohto predchádzajúceho súhlasu alebo opakovane alebo závažne porušila alebo porušuje svoje povinnosti.</w:t>
      </w:r>
    </w:p>
    <w:p w14:paraId="7B88BADD" w14:textId="70D5218E" w:rsidR="00A94E99" w:rsidRPr="00224087" w:rsidRDefault="00A94E99" w:rsidP="00A94E99">
      <w:pPr>
        <w:jc w:val="both"/>
      </w:pPr>
      <w:r w:rsidRPr="00224087">
        <w:t>Odsekom 25 sa ustanovuje postup za účelom prevodu programu krytých dlhopisov v</w:t>
      </w:r>
      <w:r w:rsidR="00955BB8" w:rsidRPr="00224087">
        <w:t> </w:t>
      </w:r>
      <w:r w:rsidRPr="00224087">
        <w:t>prípade</w:t>
      </w:r>
      <w:r w:rsidR="00955BB8" w:rsidRPr="00224087">
        <w:t>,</w:t>
      </w:r>
      <w:r w:rsidRPr="00224087">
        <w:t xml:space="preserve"> ak Národná banka Slovenska zruší predchádzajúci súhlas</w:t>
      </w:r>
      <w:r w:rsidR="005276F0" w:rsidRPr="00224087">
        <w:t xml:space="preserve"> podľa odseku 24 a § 28 ods. 5 druhej vety za bodkočiarkou</w:t>
      </w:r>
      <w:r w:rsidRPr="00224087">
        <w:t>.</w:t>
      </w:r>
    </w:p>
    <w:p w14:paraId="416510C4" w14:textId="499D47FB" w:rsidR="007C3275" w:rsidRPr="00224087" w:rsidRDefault="007C3275" w:rsidP="00A94E99">
      <w:pPr>
        <w:jc w:val="both"/>
      </w:pPr>
      <w:r w:rsidRPr="00224087">
        <w:t>V súlade s čl. 23 ods. 6 CBD odsek 26 ustanovuje</w:t>
      </w:r>
      <w:r w:rsidR="00C76D48" w:rsidRPr="00224087">
        <w:t xml:space="preserve">, aby pred prijatím každého rozhodnutia o uložení presne vymedzených nápravných opatrení alebo pokút v súvislosti s vydávaním alebo správou krytých dlhopisov podľa tohto zákona a osobitných predpisov (napríklad </w:t>
      </w:r>
      <w:r w:rsidR="004055AA" w:rsidRPr="004055AA">
        <w:t>nariadenia Európskeho parlamentu a Rady (EÚ) č. 575/2013 o prudenciálnych požiadavkách na úverové inštitúcie a investičné spoločnosti a o zmene nariadenia (EÚ) č. 648/2012 (Ú. v. EÚ L 176, 27.6.2013) v platnom znení (ďalej len „nariadenie CRR“)</w:t>
      </w:r>
      <w:r w:rsidR="00C76D48" w:rsidRPr="00224087">
        <w:t xml:space="preserve">) mala každá dotknutá fyzická osoba alebo právnická osoba právo na vypočutie. Taktiež sú presne vymedzené výnimky z tohto práva na vypočutie, ktoré môže Národná banka Slovenska uplatňovať len v prípadoch, ak je potrebné bezodkladne konať, aby sa zabránilo významným stratám </w:t>
      </w:r>
      <w:r w:rsidR="00367DCD" w:rsidRPr="00224087">
        <w:t>spôsobeným tretím osobám alebo pri závažnom narušení finančného systému. Aj v takýchto prípadoch však musí mať dotknutá fyzická osoba alebo právnická osoba právo vyjadriť sa čo najskôr po prijatí správneho opatrenia a v prípade potreby musí byť toto uložené opatrenie na nápravu alebo pokuta preskúmané.</w:t>
      </w:r>
      <w:r w:rsidR="00C76D48" w:rsidRPr="00224087">
        <w:t xml:space="preserve"> </w:t>
      </w:r>
    </w:p>
    <w:p w14:paraId="0E8254F9" w14:textId="63719063" w:rsidR="00C1652F" w:rsidRPr="00224087" w:rsidRDefault="00C1652F" w:rsidP="00A94E99">
      <w:pPr>
        <w:jc w:val="both"/>
      </w:pPr>
    </w:p>
    <w:p w14:paraId="6953E8B2" w14:textId="4F1774BA" w:rsidR="00C1652F" w:rsidRPr="00224087" w:rsidRDefault="00C1652F" w:rsidP="00C1652F">
      <w:pPr>
        <w:keepNext/>
        <w:jc w:val="both"/>
        <w:rPr>
          <w:b/>
        </w:rPr>
      </w:pPr>
      <w:r w:rsidRPr="00224087">
        <w:rPr>
          <w:b/>
        </w:rPr>
        <w:t xml:space="preserve">K bodu </w:t>
      </w:r>
      <w:r w:rsidR="001A6020" w:rsidRPr="00224087">
        <w:rPr>
          <w:b/>
        </w:rPr>
        <w:t>18</w:t>
      </w:r>
      <w:r w:rsidR="009D5890" w:rsidRPr="00224087">
        <w:rPr>
          <w:b/>
        </w:rPr>
        <w:t xml:space="preserve"> </w:t>
      </w:r>
      <w:r w:rsidRPr="00224087">
        <w:rPr>
          <w:b/>
        </w:rPr>
        <w:t>[§ 55 ods. 8]</w:t>
      </w:r>
    </w:p>
    <w:p w14:paraId="483CE6DD" w14:textId="31D5682C" w:rsidR="00C1652F" w:rsidRPr="00224087" w:rsidRDefault="00C1652F" w:rsidP="00C1652F">
      <w:pPr>
        <w:jc w:val="both"/>
      </w:pPr>
      <w:r w:rsidRPr="00224087">
        <w:t>Ide o legislatívno-</w:t>
      </w:r>
      <w:r w:rsidR="007E61D2" w:rsidRPr="00224087">
        <w:t xml:space="preserve">technickú úpravu </w:t>
      </w:r>
      <w:r w:rsidRPr="00224087">
        <w:t>vnútorných odkazov z dôvodu presunu ustanovenia § 67 ods. 9 do § 82 ods. 2.</w:t>
      </w:r>
    </w:p>
    <w:p w14:paraId="721BDC84" w14:textId="54604F81" w:rsidR="000C3870" w:rsidRPr="00224087" w:rsidRDefault="000C3870" w:rsidP="00C1652F">
      <w:pPr>
        <w:jc w:val="both"/>
      </w:pPr>
    </w:p>
    <w:p w14:paraId="108970B0" w14:textId="31272AFD" w:rsidR="000C3870" w:rsidRPr="00224087" w:rsidRDefault="000C3870" w:rsidP="000C3870">
      <w:pPr>
        <w:keepNext/>
        <w:jc w:val="both"/>
        <w:rPr>
          <w:b/>
        </w:rPr>
      </w:pPr>
      <w:r w:rsidRPr="00224087">
        <w:rPr>
          <w:b/>
        </w:rPr>
        <w:t xml:space="preserve">K bodu </w:t>
      </w:r>
      <w:r w:rsidR="001A6020" w:rsidRPr="00224087">
        <w:rPr>
          <w:b/>
        </w:rPr>
        <w:t>19</w:t>
      </w:r>
      <w:r w:rsidR="009D5890" w:rsidRPr="00224087">
        <w:rPr>
          <w:b/>
        </w:rPr>
        <w:t xml:space="preserve"> </w:t>
      </w:r>
      <w:r w:rsidRPr="00224087">
        <w:rPr>
          <w:b/>
        </w:rPr>
        <w:t>[§ 55 ods. 10]</w:t>
      </w:r>
    </w:p>
    <w:p w14:paraId="33AB797C" w14:textId="5D87E5D5" w:rsidR="000C3870" w:rsidRPr="00224087" w:rsidRDefault="0004365C" w:rsidP="000C3870">
      <w:pPr>
        <w:jc w:val="both"/>
      </w:pPr>
      <w:r w:rsidRPr="00224087">
        <w:t>Navrhuje sa</w:t>
      </w:r>
      <w:r w:rsidR="00955BB8" w:rsidRPr="00224087">
        <w:t>,</w:t>
      </w:r>
      <w:r w:rsidRPr="00224087">
        <w:t xml:space="preserve"> aby sa na platnosť a</w:t>
      </w:r>
      <w:r w:rsidR="00955BB8" w:rsidRPr="00224087">
        <w:t> </w:t>
      </w:r>
      <w:r w:rsidRPr="00224087">
        <w:t>účinnosť</w:t>
      </w:r>
      <w:r w:rsidR="00955BB8" w:rsidRPr="00224087">
        <w:t xml:space="preserve"> </w:t>
      </w:r>
      <w:r w:rsidRPr="00224087">
        <w:t xml:space="preserve">prevodu programu krytých dlhopisov alebo jeho časti nevyžadoval súhlas </w:t>
      </w:r>
      <w:r w:rsidR="009D5890" w:rsidRPr="00224087">
        <w:t>protistrán zabezpečovacích derivátov</w:t>
      </w:r>
      <w:r w:rsidRPr="00224087">
        <w:t>.</w:t>
      </w:r>
    </w:p>
    <w:p w14:paraId="69BF7579" w14:textId="31F912B3" w:rsidR="007758D2" w:rsidRPr="00224087" w:rsidRDefault="007758D2" w:rsidP="000C3870">
      <w:pPr>
        <w:jc w:val="both"/>
      </w:pPr>
    </w:p>
    <w:p w14:paraId="7F670BEF" w14:textId="6E3313D3" w:rsidR="00BD1EAB" w:rsidRPr="00224087" w:rsidRDefault="00BD1EAB" w:rsidP="00BD1EAB">
      <w:pPr>
        <w:keepNext/>
        <w:jc w:val="both"/>
        <w:rPr>
          <w:b/>
        </w:rPr>
      </w:pPr>
      <w:r w:rsidRPr="00224087">
        <w:rPr>
          <w:b/>
        </w:rPr>
        <w:t xml:space="preserve">K bodu </w:t>
      </w:r>
      <w:r w:rsidR="001A6020" w:rsidRPr="00224087">
        <w:rPr>
          <w:b/>
        </w:rPr>
        <w:t>20</w:t>
      </w:r>
      <w:r w:rsidR="009D5890" w:rsidRPr="00224087">
        <w:rPr>
          <w:b/>
        </w:rPr>
        <w:t xml:space="preserve"> </w:t>
      </w:r>
      <w:r w:rsidRPr="00224087">
        <w:rPr>
          <w:b/>
        </w:rPr>
        <w:t>[§ 67 až 74]</w:t>
      </w:r>
    </w:p>
    <w:p w14:paraId="0E38BEB6" w14:textId="1D533F0F" w:rsidR="007758D2" w:rsidRPr="00224087" w:rsidRDefault="00D94FF0" w:rsidP="00BD1EAB">
      <w:pPr>
        <w:jc w:val="both"/>
        <w:rPr>
          <w:u w:val="single"/>
        </w:rPr>
      </w:pPr>
      <w:r w:rsidRPr="00224087">
        <w:rPr>
          <w:u w:val="single"/>
        </w:rPr>
        <w:t>K § 67</w:t>
      </w:r>
    </w:p>
    <w:p w14:paraId="19D86D37" w14:textId="388C81E2" w:rsidR="00257228" w:rsidRPr="00224087" w:rsidRDefault="00D94FF0" w:rsidP="00F05524">
      <w:pPr>
        <w:jc w:val="both"/>
      </w:pPr>
      <w:r w:rsidRPr="00224087">
        <w:t xml:space="preserve">Z odseku 1 sa časť definície krytého dlhopisu presúva do odseku 8 za účelom transpozície </w:t>
      </w:r>
      <w:r w:rsidR="00BA1B50" w:rsidRPr="00224087">
        <w:t>č</w:t>
      </w:r>
      <w:r w:rsidRPr="00224087">
        <w:t>l. 4 ods. 1 písm. b) CBD</w:t>
      </w:r>
      <w:r w:rsidR="00AF0B20" w:rsidRPr="00224087">
        <w:t xml:space="preserve"> a zároveň sa spresňuje, že menovitá hodnota a alikvotné úrokové výnosy krytého dlhopisu sú v plnom rozsahu kryté aktívami alebo inými majetkovými hodnotami v príslušnom krycom súbore. Uvedené súvisí s rozšírením základných aktív a programov krytých dlhopisov.</w:t>
      </w:r>
    </w:p>
    <w:p w14:paraId="79E9D935" w14:textId="31E56137" w:rsidR="00D94FF0" w:rsidRPr="00224087" w:rsidRDefault="00D94FF0" w:rsidP="00F05524">
      <w:pPr>
        <w:jc w:val="both"/>
      </w:pPr>
      <w:r w:rsidRPr="00224087">
        <w:lastRenderedPageBreak/>
        <w:t xml:space="preserve">V odseku 2 sa transpozíciou čl. 27 CBD rozširujú možnosti označovania krytých dlhopisov </w:t>
      </w:r>
      <w:r w:rsidR="00A1062C" w:rsidRPr="00224087">
        <w:t>o označenie „európsky krytý dlhopis“ pre kryté dlhopisy zabezpečené základnými aktívami podľa § 70 ods. 1 písm. c) alebo d) a o označenie „európsky krytý dlhopis (prémiový)“ pre kryté dlhopisy zabezpečené so základnými aktívami podľa § 70 ods. 1 písm. a) alebo b)</w:t>
      </w:r>
      <w:r w:rsidR="00955BB8" w:rsidRPr="00224087">
        <w:t>,</w:t>
      </w:r>
      <w:r w:rsidR="00A1062C" w:rsidRPr="00224087">
        <w:t xml:space="preserve"> ak sú zároveň splnené požiadavky podľa </w:t>
      </w:r>
      <w:r w:rsidR="00BA1B50" w:rsidRPr="00224087">
        <w:t>č</w:t>
      </w:r>
      <w:r w:rsidR="00A1062C" w:rsidRPr="00224087">
        <w:t xml:space="preserve">l. 129 nariadenia </w:t>
      </w:r>
      <w:r w:rsidR="00195A72" w:rsidRPr="00224087">
        <w:t>CRR</w:t>
      </w:r>
      <w:r w:rsidR="00A1062C" w:rsidRPr="00224087">
        <w:t>.</w:t>
      </w:r>
    </w:p>
    <w:p w14:paraId="330737AD" w14:textId="31591546" w:rsidR="00A1062C" w:rsidRPr="00224087" w:rsidRDefault="00A1062C" w:rsidP="00F05524">
      <w:pPr>
        <w:jc w:val="both"/>
      </w:pPr>
      <w:r w:rsidRPr="00224087">
        <w:t>Navrhovaným odsekom 3 sa za účelom umožniť majiteľom krytých dlhopisov posúdiť profil a</w:t>
      </w:r>
      <w:r w:rsidR="00955BB8" w:rsidRPr="00224087">
        <w:t> </w:t>
      </w:r>
      <w:r w:rsidRPr="00224087">
        <w:t>riziká</w:t>
      </w:r>
      <w:r w:rsidR="00955BB8" w:rsidRPr="00224087">
        <w:t xml:space="preserve"> </w:t>
      </w:r>
      <w:r w:rsidRPr="00224087">
        <w:t>daného programu krytých dlhopisov a</w:t>
      </w:r>
      <w:r w:rsidR="00955BB8" w:rsidRPr="00224087">
        <w:t> </w:t>
      </w:r>
      <w:r w:rsidRPr="00224087">
        <w:t>postupovať</w:t>
      </w:r>
      <w:r w:rsidR="00955BB8" w:rsidRPr="00224087">
        <w:t xml:space="preserve"> </w:t>
      </w:r>
      <w:r w:rsidRPr="00224087">
        <w:t>s náležitou starostlivosťou ustanovuje povinnosť zverejňovať informácie podľa § 37 ods. 9 písm. i) až q) len pre banku, ktorá je emitentom krytých dlhopisov.</w:t>
      </w:r>
    </w:p>
    <w:p w14:paraId="59155DC4" w14:textId="2257EAF6" w:rsidR="00A1062C" w:rsidRPr="00224087" w:rsidRDefault="00A1062C" w:rsidP="00A1062C">
      <w:pPr>
        <w:jc w:val="both"/>
      </w:pPr>
      <w:r w:rsidRPr="00224087">
        <w:t>V odseku 4 ide o legislatívno-technickú úpravu vyvolanú úpravou odseku 2.</w:t>
      </w:r>
    </w:p>
    <w:p w14:paraId="4CDDA8CC" w14:textId="015F9B3D" w:rsidR="001769DF" w:rsidRPr="00224087" w:rsidRDefault="0000362F" w:rsidP="00A1062C">
      <w:pPr>
        <w:jc w:val="both"/>
      </w:pPr>
      <w:r w:rsidRPr="00224087">
        <w:t xml:space="preserve">V odseku 5 sa navrhujú úpravy vyvolané rozširovaním okruhu základných aktív podľa § 70 ods. 1. Samostatný program krytých dlhopisov sa spolu s príslušným krycím súborom vedie pre každé z písmen uvedené v § 70 ods. 1. Každé z písmen § 70 ods. 1 predstavuje </w:t>
      </w:r>
      <w:r w:rsidR="001769DF" w:rsidRPr="00224087">
        <w:t xml:space="preserve">jeden </w:t>
      </w:r>
      <w:r w:rsidRPr="00224087">
        <w:t>druh základného aktíva.</w:t>
      </w:r>
      <w:r w:rsidR="001769DF" w:rsidRPr="00224087">
        <w:t xml:space="preserve"> Banka, ktorá je emitentom krytých dlhopisov</w:t>
      </w:r>
      <w:r w:rsidR="001A6020" w:rsidRPr="00224087">
        <w:t>,</w:t>
      </w:r>
      <w:r w:rsidR="001769DF" w:rsidRPr="00224087">
        <w:t xml:space="preserve"> tak môže viesť až 4 programy krytých dlhopisov.</w:t>
      </w:r>
    </w:p>
    <w:p w14:paraId="71A468D0" w14:textId="4BD3285C" w:rsidR="001769DF" w:rsidRPr="00224087" w:rsidRDefault="001769DF" w:rsidP="00A1062C">
      <w:pPr>
        <w:jc w:val="both"/>
      </w:pPr>
      <w:r w:rsidRPr="00224087">
        <w:t>Odsek 6 sa upravuje tak</w:t>
      </w:r>
      <w:r w:rsidR="001A6020" w:rsidRPr="00224087">
        <w:t>,</w:t>
      </w:r>
      <w:r w:rsidRPr="00224087">
        <w:t xml:space="preserve"> aby nebolo potrebné konkrétnu emisiu kryť konkrétnou časťou krycieho súboru, ale aby boli emisie krytých dlhopisov v programe krytých dlhopisov kryté príslušným krycím súborom. </w:t>
      </w:r>
    </w:p>
    <w:p w14:paraId="0C8BDE4E" w14:textId="5D38CEB9" w:rsidR="0000362F" w:rsidRPr="00224087" w:rsidRDefault="00FF369D" w:rsidP="00A1062C">
      <w:pPr>
        <w:jc w:val="both"/>
      </w:pPr>
      <w:r w:rsidRPr="00224087">
        <w:t>Ustanovenie odseku 7 sa za účelom transpozície čl. 4 CBD rozširuje o protistrany zabezpečovacích derivátov.</w:t>
      </w:r>
    </w:p>
    <w:p w14:paraId="2801842F" w14:textId="263DB061" w:rsidR="00FF369D" w:rsidRPr="00224087" w:rsidRDefault="00FF369D" w:rsidP="00A1062C">
      <w:pPr>
        <w:jc w:val="both"/>
      </w:pPr>
      <w:r w:rsidRPr="00224087">
        <w:t xml:space="preserve">Odsekom 8 sa </w:t>
      </w:r>
      <w:r w:rsidR="0055085F" w:rsidRPr="00224087">
        <w:t xml:space="preserve">presúva a rozširuje časť odseku 1 z dôvodu </w:t>
      </w:r>
      <w:r w:rsidRPr="00224087">
        <w:t>transpo</w:t>
      </w:r>
      <w:r w:rsidR="0055085F" w:rsidRPr="00224087">
        <w:t>zície</w:t>
      </w:r>
      <w:r w:rsidRPr="00224087">
        <w:t xml:space="preserve"> </w:t>
      </w:r>
      <w:r w:rsidR="00BA1B50" w:rsidRPr="00224087">
        <w:t>č</w:t>
      </w:r>
      <w:r w:rsidR="0055085F" w:rsidRPr="00224087">
        <w:t xml:space="preserve">l. 4 ods. 1 písm. b) CBD, ktorý toto ustanovenie rozširuje o riešenie krízových situácií </w:t>
      </w:r>
      <w:r w:rsidR="00E272F7" w:rsidRPr="00224087">
        <w:t>a nároky protistrán zabezpečovacích derivátov podľa § 73.</w:t>
      </w:r>
    </w:p>
    <w:p w14:paraId="3B528012" w14:textId="7A4058D2" w:rsidR="00E272F7" w:rsidRPr="00224087" w:rsidRDefault="00E272F7" w:rsidP="00A1062C">
      <w:pPr>
        <w:jc w:val="both"/>
      </w:pPr>
      <w:r w:rsidRPr="00224087">
        <w:t xml:space="preserve">Odsekom 9 </w:t>
      </w:r>
      <w:r w:rsidR="00617628" w:rsidRPr="00224087">
        <w:t xml:space="preserve">sa transponuje čl. 3 ods. 9 a čl. 5 CBD, čím sa ustanovuje, že v prípade riešenia krízovej situácie banky, ktorá je emitentom krytých dlhopisov, alebo pri neschopnosti banky, ktorá je emitentom krytých dlhopisov, uhrádzať </w:t>
      </w:r>
      <w:r w:rsidR="004F36B3" w:rsidRPr="00224087">
        <w:t xml:space="preserve">riadne a včas </w:t>
      </w:r>
      <w:r w:rsidR="00617628" w:rsidRPr="00224087">
        <w:t xml:space="preserve">záväzky vzniknuté </w:t>
      </w:r>
      <w:r w:rsidR="004F36B3" w:rsidRPr="00224087">
        <w:t xml:space="preserve">z krytých dlhopisov </w:t>
      </w:r>
      <w:r w:rsidR="00617628" w:rsidRPr="00224087">
        <w:t>nenastáva automaticky okamžitá splatnosť krytého dlhopisu a</w:t>
      </w:r>
      <w:r w:rsidR="00A415DB" w:rsidRPr="00224087">
        <w:t> </w:t>
      </w:r>
      <w:r w:rsidR="00617628" w:rsidRPr="00224087">
        <w:t>majitelia</w:t>
      </w:r>
      <w:r w:rsidR="00A415DB" w:rsidRPr="00224087">
        <w:t xml:space="preserve"> </w:t>
      </w:r>
      <w:r w:rsidR="00617628" w:rsidRPr="00224087">
        <w:t>krytých dlhopisov nemajú vymáhateľný nárok na vyplatenie</w:t>
      </w:r>
      <w:r w:rsidR="004F36B3" w:rsidRPr="00224087">
        <w:t xml:space="preserve"> menovitej hodnoty týchto krytých dlhopisov a alikvotných úrokových výnosov z týchto krytých dlhopisov</w:t>
      </w:r>
      <w:r w:rsidR="00617628" w:rsidRPr="00224087">
        <w:t xml:space="preserve"> v čase pred pôvodným dátumom splatnosti, ak § 195a zákona č. 7/200</w:t>
      </w:r>
      <w:r w:rsidR="00A415DB" w:rsidRPr="00224087">
        <w:t>5 Z. z. o konkurze a reštrukturalizácii</w:t>
      </w:r>
      <w:r w:rsidR="00617628" w:rsidRPr="00224087">
        <w:t xml:space="preserve"> neustanovuje inak.</w:t>
      </w:r>
    </w:p>
    <w:p w14:paraId="684A772B" w14:textId="18A23279" w:rsidR="00C6357B" w:rsidRPr="00224087" w:rsidRDefault="00C6357B" w:rsidP="00A1062C">
      <w:pPr>
        <w:jc w:val="both"/>
      </w:pPr>
      <w:r w:rsidRPr="00224087">
        <w:t>Pôvodné odseky 8 až 13 sa presúvajú do nového § 82.</w:t>
      </w:r>
    </w:p>
    <w:p w14:paraId="19F50AC6" w14:textId="77777777" w:rsidR="00257228" w:rsidRPr="00224087" w:rsidRDefault="00257228" w:rsidP="00F05524">
      <w:pPr>
        <w:jc w:val="both"/>
      </w:pPr>
    </w:p>
    <w:p w14:paraId="769BE07D" w14:textId="6DA897BF" w:rsidR="007C509C" w:rsidRPr="00224087" w:rsidRDefault="007C509C" w:rsidP="007C509C">
      <w:pPr>
        <w:jc w:val="both"/>
        <w:rPr>
          <w:u w:val="single"/>
        </w:rPr>
      </w:pPr>
      <w:r w:rsidRPr="00224087">
        <w:rPr>
          <w:u w:val="single"/>
        </w:rPr>
        <w:t>K § 68</w:t>
      </w:r>
    </w:p>
    <w:p w14:paraId="6407148B" w14:textId="281EDA3E" w:rsidR="00CC52F5" w:rsidRPr="00224087" w:rsidRDefault="00CB72B5" w:rsidP="00D93C1F">
      <w:pPr>
        <w:jc w:val="both"/>
      </w:pPr>
      <w:r w:rsidRPr="00224087">
        <w:t>V odseku 1 sa predvetie dopĺňa o transpozíciu čl. 3 ods. 3 a 4 CBD</w:t>
      </w:r>
      <w:r w:rsidR="004F36B3" w:rsidRPr="00224087">
        <w:t xml:space="preserve"> a spresňuje sa, že krycím súborom sa zabezpečujú platobné záväzky z krytých dlhopisov v príslušnom programe krytých dlhopisov</w:t>
      </w:r>
      <w:r w:rsidRPr="00224087">
        <w:t>.</w:t>
      </w:r>
    </w:p>
    <w:p w14:paraId="3F5E0D69" w14:textId="4CE4E862" w:rsidR="00670DDA" w:rsidRPr="00224087" w:rsidRDefault="00CB72B5" w:rsidP="00D93C1F">
      <w:pPr>
        <w:jc w:val="both"/>
      </w:pPr>
      <w:r w:rsidRPr="00224087">
        <w:t xml:space="preserve">V súvislosti s § 67 ods. 5 sa spresňuje písmeno a) v odseku 3. Písmeno b) sa upravuje za účelom transpozície čl. 15 ods. 3 písm. </w:t>
      </w:r>
      <w:r w:rsidR="00670DDA" w:rsidRPr="00224087">
        <w:t>d)</w:t>
      </w:r>
      <w:r w:rsidR="001A6020" w:rsidRPr="00224087">
        <w:t xml:space="preserve"> CBD</w:t>
      </w:r>
      <w:r w:rsidR="00670DDA" w:rsidRPr="00224087">
        <w:t xml:space="preserve"> a zároveň sa umožňuje paušálny výpočet záväzkov alebo nákladov podľa tohto písmena.</w:t>
      </w:r>
    </w:p>
    <w:p w14:paraId="59C436DF" w14:textId="37B66A20" w:rsidR="0004458C" w:rsidRPr="00224087" w:rsidRDefault="00670DDA" w:rsidP="00D93C1F">
      <w:pPr>
        <w:jc w:val="both"/>
      </w:pPr>
      <w:r w:rsidRPr="00224087">
        <w:t>Odsek 4 sa spresňuje z dôvodu transpozície čl. 12 ods. 1 písm. b) CBD</w:t>
      </w:r>
      <w:r w:rsidR="00F172C8">
        <w:t>, a to tak aby boli zachované rovnaké postupy a spôsoby</w:t>
      </w:r>
      <w:r w:rsidRPr="00224087">
        <w:t>.</w:t>
      </w:r>
    </w:p>
    <w:p w14:paraId="17E86C99" w14:textId="55D9E486" w:rsidR="00670DDA" w:rsidRPr="00224087" w:rsidRDefault="00670DDA" w:rsidP="00D93C1F">
      <w:pPr>
        <w:jc w:val="both"/>
      </w:pPr>
      <w:r w:rsidRPr="00224087">
        <w:t>Odsek 5 sa v súvislosti s transpozíciou čl. 12 ods. 1 písm. c) CBD</w:t>
      </w:r>
      <w:r w:rsidR="00AE44E6" w:rsidRPr="00224087">
        <w:t xml:space="preserve"> </w:t>
      </w:r>
      <w:r w:rsidRPr="00224087">
        <w:t>rozširuje aj na riešenie krízovej situácie banky, ktorá</w:t>
      </w:r>
      <w:r w:rsidR="00AE44E6" w:rsidRPr="00224087">
        <w:t xml:space="preserve"> je emitentom krytých dlhopisov.</w:t>
      </w:r>
    </w:p>
    <w:p w14:paraId="09712D0C" w14:textId="3699E7E2" w:rsidR="00AE44E6" w:rsidRPr="00224087" w:rsidRDefault="00AE44E6" w:rsidP="00D93C1F">
      <w:pPr>
        <w:jc w:val="both"/>
      </w:pPr>
      <w:r w:rsidRPr="00224087">
        <w:t>Dopĺňa sa nový odsek 6, ktorým sa ustanovuje, že aktíva a iné majetkové hodnoty v krycom súbore zahŕňajú na účely odsekov 2 až 5 aj akékoľvek zabezpečenie prijaté v</w:t>
      </w:r>
      <w:r w:rsidR="00A415DB" w:rsidRPr="00224087">
        <w:t> </w:t>
      </w:r>
      <w:r w:rsidRPr="00224087">
        <w:t>spojitosti</w:t>
      </w:r>
      <w:r w:rsidR="00A415DB" w:rsidRPr="00224087">
        <w:t xml:space="preserve"> </w:t>
      </w:r>
      <w:r w:rsidRPr="00224087">
        <w:t>s</w:t>
      </w:r>
      <w:r w:rsidR="00A415DB" w:rsidRPr="00224087">
        <w:t> </w:t>
      </w:r>
      <w:r w:rsidRPr="00224087">
        <w:t>pozíciami</w:t>
      </w:r>
      <w:r w:rsidR="00A415DB" w:rsidRPr="00224087">
        <w:t xml:space="preserve"> </w:t>
      </w:r>
      <w:r w:rsidRPr="00224087">
        <w:t>v zabezpečovacích derivátoch zahrnutých do daného krycieho súboru.</w:t>
      </w:r>
    </w:p>
    <w:p w14:paraId="7BE0EA4B" w14:textId="31FC4073" w:rsidR="00997E77" w:rsidRPr="00224087" w:rsidRDefault="00721373" w:rsidP="00D93C1F">
      <w:pPr>
        <w:jc w:val="both"/>
      </w:pPr>
      <w:r w:rsidRPr="00224087">
        <w:t>Pôvodný odsek 6 sa prečíslováva na odsek 7.</w:t>
      </w:r>
    </w:p>
    <w:p w14:paraId="21436812" w14:textId="77777777" w:rsidR="00721373" w:rsidRPr="00224087" w:rsidRDefault="00721373" w:rsidP="00D93C1F">
      <w:pPr>
        <w:jc w:val="both"/>
      </w:pPr>
    </w:p>
    <w:p w14:paraId="21F94B22" w14:textId="60E8CA8E" w:rsidR="0080233E" w:rsidRPr="00224087" w:rsidRDefault="0080233E" w:rsidP="00DE33D4">
      <w:pPr>
        <w:keepNext/>
        <w:jc w:val="both"/>
        <w:rPr>
          <w:u w:val="single"/>
        </w:rPr>
      </w:pPr>
      <w:r w:rsidRPr="00224087">
        <w:rPr>
          <w:u w:val="single"/>
        </w:rPr>
        <w:lastRenderedPageBreak/>
        <w:t>K § 69</w:t>
      </w:r>
    </w:p>
    <w:p w14:paraId="3E88ED1E" w14:textId="461A6CFD" w:rsidR="000A3EC8" w:rsidRDefault="0080233E" w:rsidP="0080233E">
      <w:pPr>
        <w:jc w:val="both"/>
      </w:pPr>
      <w:r w:rsidRPr="00224087">
        <w:t>V</w:t>
      </w:r>
      <w:r w:rsidR="007B7D0A" w:rsidRPr="00224087">
        <w:t> </w:t>
      </w:r>
      <w:r w:rsidRPr="00224087">
        <w:t>odseku</w:t>
      </w:r>
      <w:r w:rsidR="007B7D0A" w:rsidRPr="00224087">
        <w:t xml:space="preserve"> 1 sa navrhuje úprava výpočtu ukazovateľa krytia, ktorá vychádza z transpozície tzv. nominálnej zásady podľa čl. 15 ods. 6 CBD. </w:t>
      </w:r>
      <w:r w:rsidR="00195A72" w:rsidRPr="00224087">
        <w:t>Navrhuje sa</w:t>
      </w:r>
      <w:r w:rsidR="00A415DB" w:rsidRPr="00224087">
        <w:t>,</w:t>
      </w:r>
      <w:r w:rsidR="00195A72" w:rsidRPr="00224087">
        <w:t xml:space="preserve"> aby sa </w:t>
      </w:r>
      <w:r w:rsidR="00CD2200">
        <w:t xml:space="preserve">hodnotami základných aktív podľa § 70 ods. 4, doplňujúcich aktív podľa § 72 ods. 3, likvidných aktív podľa § 74 ods. 4 a </w:t>
      </w:r>
      <w:r w:rsidR="00CD2200" w:rsidRPr="00CD2200">
        <w:t>nárok</w:t>
      </w:r>
      <w:r w:rsidR="00CD2200">
        <w:t>mi</w:t>
      </w:r>
      <w:r w:rsidR="00CD2200" w:rsidRPr="00CD2200">
        <w:t xml:space="preserve"> na platbu zo zabezpečovacích derivátov</w:t>
      </w:r>
      <w:r w:rsidR="00CD2200">
        <w:t xml:space="preserve"> </w:t>
      </w:r>
      <w:r w:rsidR="00195A72" w:rsidRPr="00224087">
        <w:t xml:space="preserve">kryli </w:t>
      </w:r>
      <w:r w:rsidR="000A3EC8">
        <w:t>všetky záväzky a náklady podľa § 68 ods. 3 v rámci daného programu krytých dlhopisov</w:t>
      </w:r>
      <w:r w:rsidR="00195A72" w:rsidRPr="00224087">
        <w:t>. Zároveň sa dopĺňa definícia nadmerného zabezpečenia podľa čl. 3 ods. 14 CBD</w:t>
      </w:r>
      <w:r w:rsidR="000A3EC8">
        <w:t xml:space="preserve"> a</w:t>
      </w:r>
      <w:r w:rsidR="000A3EC8" w:rsidRPr="000A3EC8">
        <w:t xml:space="preserve"> </w:t>
      </w:r>
      <w:r w:rsidR="000A3EC8" w:rsidRPr="00224087">
        <w:t>ustanovuje</w:t>
      </w:r>
      <w:r w:rsidR="00195A72" w:rsidRPr="00224087">
        <w:t xml:space="preserve"> sa, že banka, ktorá je emitentom krytých dlhopisov, je povinná ukazovateľ krytia vypočítavať pre každý program krytých dlhopisov samostatne</w:t>
      </w:r>
      <w:r w:rsidR="000A3EC8">
        <w:t xml:space="preserve">. </w:t>
      </w:r>
    </w:p>
    <w:p w14:paraId="06CB350F" w14:textId="2C1B5DDB" w:rsidR="00195A72" w:rsidRPr="00224087" w:rsidRDefault="000A3EC8" w:rsidP="0080233E">
      <w:pPr>
        <w:jc w:val="both"/>
      </w:pPr>
      <w:r>
        <w:t xml:space="preserve">V odseku 2 sa ustanovuje povinnosť banky </w:t>
      </w:r>
      <w:r w:rsidRPr="000A3EC8">
        <w:t>zabezpečiť a priebežne udržiavať nadmerné zabezpečenie</w:t>
      </w:r>
      <w:r w:rsidR="00195A72" w:rsidRPr="00224087">
        <w:t>aspoň na úrovni nadmerného zabezpečenia podľa čl. 129 ods. 3a CRR</w:t>
      </w:r>
      <w:r w:rsidR="00A415DB" w:rsidRPr="00224087">
        <w:t>,</w:t>
      </w:r>
      <w:r w:rsidR="00195A72" w:rsidRPr="00224087">
        <w:t xml:space="preserve"> ak ide o</w:t>
      </w:r>
      <w:r w:rsidR="00A415DB" w:rsidRPr="00224087">
        <w:t> </w:t>
      </w:r>
      <w:r w:rsidR="00195A72" w:rsidRPr="00224087">
        <w:t>program</w:t>
      </w:r>
      <w:r w:rsidR="00A415DB" w:rsidRPr="00224087">
        <w:t xml:space="preserve"> </w:t>
      </w:r>
      <w:r w:rsidR="00195A72" w:rsidRPr="00224087">
        <w:t>krytých dlhopisov so základnými aktívami podľa jedného z písmen § 70 ods. 1 písm. a) alebo b). Banka, ktorá je emitentom krytých dlhopisov, udržiava ukazovateľ krytia na úrovni nadmerného zabezpečenia 10 %</w:t>
      </w:r>
      <w:r w:rsidR="00A415DB" w:rsidRPr="00224087">
        <w:t>,</w:t>
      </w:r>
      <w:r w:rsidR="00195A72" w:rsidRPr="00224087">
        <w:t xml:space="preserve"> ak ide o program krytých dlhopisov so základnými aktívami podľa jedného z písmen § 70 ods. 1 písm. c) alebo d)</w:t>
      </w:r>
      <w:r w:rsidR="001C4CFD" w:rsidRPr="00224087">
        <w:t>.</w:t>
      </w:r>
    </w:p>
    <w:p w14:paraId="209322AB" w14:textId="30EC5827" w:rsidR="001C4CFD" w:rsidRPr="00224087" w:rsidRDefault="00143AC3" w:rsidP="0080233E">
      <w:pPr>
        <w:jc w:val="both"/>
      </w:pPr>
      <w:r w:rsidRPr="00224087">
        <w:t>Časť pôvodného ustanovenia odseku 2 sa presúva do nového odseku 3, ktorým sa ustanovuje, že banka, ktorá je emitentom krytých dlhopisov, môže ukazovateľ krytia udržiavať aj na vyššej úrovni ako podľa odseku 2. Týmto nie sú dotknuté požiadavky na úroveň krytia podľa odseku 4.</w:t>
      </w:r>
    </w:p>
    <w:p w14:paraId="3C903298" w14:textId="0DE884F3" w:rsidR="00143AC3" w:rsidRPr="00224087" w:rsidRDefault="00143AC3" w:rsidP="0080233E">
      <w:pPr>
        <w:jc w:val="both"/>
      </w:pPr>
      <w:r w:rsidRPr="00224087">
        <w:t>Pôvodný odsek 3 sa prečíslováva na odsek 4</w:t>
      </w:r>
      <w:r w:rsidR="00FF65CF" w:rsidRPr="00224087">
        <w:t xml:space="preserve"> a spresňuje sa povinnosť banky, ktorá je emitentom krytých dlhopisov, bezodkladne doplniť a priebežne dopĺňať krycí súbor na účely udržiavania ukazovateľa krytia na vyššej úrovni</w:t>
      </w:r>
      <w:r w:rsidRPr="00224087">
        <w:t>.</w:t>
      </w:r>
    </w:p>
    <w:p w14:paraId="2CBC33DF" w14:textId="7E063D90" w:rsidR="00143AC3" w:rsidRPr="00224087" w:rsidRDefault="00143AC3" w:rsidP="0080233E">
      <w:pPr>
        <w:jc w:val="both"/>
      </w:pPr>
      <w:r w:rsidRPr="00224087">
        <w:t>Do nového odseku 5 sa presúva pôvodné ustanovenie § 70 ods. 5 prvej a druhej vety, a to z dôvodu rozšírenia jeho uplatňovania na všetky aktíva krycieho súboru</w:t>
      </w:r>
      <w:r w:rsidR="00A415DB" w:rsidRPr="00224087">
        <w:t>,</w:t>
      </w:r>
      <w:r w:rsidRPr="00224087">
        <w:t xml:space="preserve"> pri ktorých je dlžník považovaný za zlyhaného.</w:t>
      </w:r>
    </w:p>
    <w:p w14:paraId="116CC033" w14:textId="372AB2E2" w:rsidR="00CC568C" w:rsidRPr="00224087" w:rsidRDefault="00CC568C" w:rsidP="0080233E">
      <w:pPr>
        <w:jc w:val="both"/>
      </w:pPr>
    </w:p>
    <w:p w14:paraId="1E5B8BB4" w14:textId="33648C3D" w:rsidR="00CC568C" w:rsidRPr="00224087" w:rsidRDefault="00CC568C" w:rsidP="00CC568C">
      <w:pPr>
        <w:jc w:val="both"/>
        <w:rPr>
          <w:u w:val="single"/>
        </w:rPr>
      </w:pPr>
      <w:r w:rsidRPr="00224087">
        <w:rPr>
          <w:u w:val="single"/>
        </w:rPr>
        <w:t>K § 70</w:t>
      </w:r>
    </w:p>
    <w:p w14:paraId="4C57F218" w14:textId="3B13FD99" w:rsidR="00EE4D47" w:rsidRPr="00224087" w:rsidRDefault="00CF05B5" w:rsidP="00CC568C">
      <w:pPr>
        <w:jc w:val="both"/>
      </w:pPr>
      <w:r w:rsidRPr="00224087">
        <w:t>Odsek 1 sa upravuje za účelom transpozície čl. 3 ods. 12 a najmä čl. 6 ods. 1 CBD, ktorý umožňuje rozšíriť okruh základných aktív krytých dlhopisov.</w:t>
      </w:r>
      <w:r w:rsidR="00EE4D47" w:rsidRPr="00224087">
        <w:t xml:space="preserve"> Každé z písmen v odseku 1 predstavuje jeden druh základného aktíva.</w:t>
      </w:r>
      <w:r w:rsidRPr="00224087">
        <w:t xml:space="preserve"> </w:t>
      </w:r>
      <w:r w:rsidR="00EE4D47" w:rsidRPr="00224087">
        <w:t>Banka, ktorá je emitentom krytých dlhopisov, vedie pre každé z písmen v tomto odseku samostatný program krytých dlhopisov.</w:t>
      </w:r>
    </w:p>
    <w:p w14:paraId="46F68327" w14:textId="5E73C7E0" w:rsidR="00EE4D47" w:rsidRPr="00224087" w:rsidRDefault="00EE4D47" w:rsidP="00CC568C">
      <w:pPr>
        <w:jc w:val="both"/>
      </w:pPr>
      <w:r w:rsidRPr="00224087">
        <w:t>Odsek 2 sa upravuje v súvislosti s úpravou odseku 1 a dopĺňa sa o transpozíciu čl. 6 ods. 2 CBD, ktorý ustanovuje, že banka, ktorá je emitentom krytých dlhopisov, je povinná posúdiť vymožiteľnosť pohľadávok a</w:t>
      </w:r>
      <w:r w:rsidR="00DB2702" w:rsidRPr="00224087">
        <w:t> </w:t>
      </w:r>
      <w:r w:rsidRPr="00224087">
        <w:t>schopnosť</w:t>
      </w:r>
      <w:r w:rsidR="00DB2702" w:rsidRPr="00224087">
        <w:t xml:space="preserve"> </w:t>
      </w:r>
      <w:r w:rsidRPr="00224087">
        <w:t>výkonu záložného alebo iného zabezpečovacieho práva pred ich zaradením do krycieho súboru.</w:t>
      </w:r>
    </w:p>
    <w:p w14:paraId="3D6B2932" w14:textId="55894CED" w:rsidR="00EE4D47" w:rsidRDefault="00EE4D47" w:rsidP="00CC568C">
      <w:pPr>
        <w:jc w:val="both"/>
      </w:pPr>
      <w:r w:rsidRPr="00224087">
        <w:t>Odsek 3 sa dopĺňa o analogickú úpravu poslednej vety § 67 ods. 5</w:t>
      </w:r>
      <w:r w:rsidR="005202E4" w:rsidRPr="00224087">
        <w:t>,</w:t>
      </w:r>
      <w:r w:rsidR="00473F31" w:rsidRPr="00224087">
        <w:t xml:space="preserve"> aby banka, ktorá je emitentom krytých dlhopisov, mohla v každom programe krytých dlhopisov viesť základné aktíva len podľa jedného z písmen uvedených v odseku 1.</w:t>
      </w:r>
      <w:r w:rsidR="00FF65CF" w:rsidRPr="00224087">
        <w:t xml:space="preserve"> Zároveň sa ustanovuje že základné aktíva podľa odseku 1 písm. a) a b) musia tvoriť najmenej 90 % a základné aktíva podľa odseku 1 písm. c) a d) musia tvoriť najmenej 80 % celkovej hodnoty príslušného krycieho súboru bez hodnoty likvidných aktív podľa § 74.</w:t>
      </w:r>
    </w:p>
    <w:p w14:paraId="7AD6FAAC" w14:textId="5B09C665" w:rsidR="0014189A" w:rsidRPr="00224087" w:rsidRDefault="0014189A" w:rsidP="00CC568C">
      <w:pPr>
        <w:jc w:val="both"/>
      </w:pPr>
      <w:r>
        <w:t>V odseku 4 sa upravuje určovanie hodnoty základných aktív, ktorá sa na účely v</w:t>
      </w:r>
      <w:r w:rsidRPr="0014189A">
        <w:t>ýpočtu ukazovateľa krytia podľa § 69 určuje na základe zostatkovej menovitej hodnoty jednotlivých pohľadávok a na iné účely sa určí na základe zostatkovej menovitej hodnoty jednotlivých pohľadávok spolu s alikvotným úrokovým výnosom.</w:t>
      </w:r>
    </w:p>
    <w:p w14:paraId="0370AEFF" w14:textId="119C7298" w:rsidR="00473F31" w:rsidRPr="00224087" w:rsidRDefault="00DD01CC" w:rsidP="00CC568C">
      <w:pPr>
        <w:jc w:val="both"/>
      </w:pPr>
      <w:r w:rsidRPr="00224087">
        <w:t>V odsek</w:t>
      </w:r>
      <w:r w:rsidR="008608E3" w:rsidRPr="00224087">
        <w:t>och</w:t>
      </w:r>
      <w:r w:rsidRPr="00224087">
        <w:t xml:space="preserve"> 5</w:t>
      </w:r>
      <w:r w:rsidR="008608E3" w:rsidRPr="00224087">
        <w:t xml:space="preserve"> a 6</w:t>
      </w:r>
      <w:r w:rsidRPr="00224087">
        <w:t xml:space="preserve"> ide o zmeny vyvolané ostatnými zmenami </w:t>
      </w:r>
      <w:r w:rsidR="007E3BE1" w:rsidRPr="00224087">
        <w:t xml:space="preserve">v tomto </w:t>
      </w:r>
      <w:r w:rsidR="005202E4" w:rsidRPr="00224087">
        <w:t>paragrafe</w:t>
      </w:r>
      <w:r w:rsidRPr="00224087">
        <w:t>.</w:t>
      </w:r>
    </w:p>
    <w:p w14:paraId="4416E27A" w14:textId="4D2A2917" w:rsidR="00DD01CC" w:rsidRPr="00224087" w:rsidRDefault="009F69EB" w:rsidP="00CC568C">
      <w:pPr>
        <w:jc w:val="both"/>
      </w:pPr>
      <w:r w:rsidRPr="00224087">
        <w:t>V</w:t>
      </w:r>
      <w:r w:rsidR="00AC0D25" w:rsidRPr="00224087">
        <w:t xml:space="preserve"> nových </w:t>
      </w:r>
      <w:r w:rsidRPr="00224087">
        <w:t xml:space="preserve">odsekoch 7 a 8 sa za účelom transpozície čl. 6 ods. 1 písm. c), ods. 4 a čl. 3 </w:t>
      </w:r>
      <w:r w:rsidR="009B4C17" w:rsidRPr="00224087">
        <w:t>bod</w:t>
      </w:r>
      <w:r w:rsidRPr="00224087">
        <w:t xml:space="preserve"> 22 CBD dopĺňa definícia verejného podniku a dopĺňajú sa minimálne požiadavky, ktoré musia spĺňať základné aktíva podľa odseku 1 písm. c)</w:t>
      </w:r>
      <w:r w:rsidR="001026DC" w:rsidRPr="00224087">
        <w:t>.</w:t>
      </w:r>
    </w:p>
    <w:p w14:paraId="03D14CE3" w14:textId="65773191" w:rsidR="00AC0D25" w:rsidRPr="00224087" w:rsidRDefault="00AC0D25" w:rsidP="00CC568C">
      <w:pPr>
        <w:jc w:val="both"/>
      </w:pPr>
      <w:r w:rsidRPr="00224087">
        <w:lastRenderedPageBreak/>
        <w:t>V nových odsekoch 9 a 10 sa za účelom transpozície čl. 9 CBD umožňuje banke, ktorá je emitentom krytých dlhopisov, použiť ako základné aktívum aj aktívum alebo inú majetkovú hodnotu jej dcérskej spoločnosti alebo inej banky, spĺňajúce vymedzenie</w:t>
      </w:r>
      <w:r w:rsidR="00BB3254" w:rsidRPr="00224087">
        <w:t xml:space="preserve"> základných aktív</w:t>
      </w:r>
      <w:r w:rsidRPr="00224087">
        <w:t xml:space="preserve"> podľa odseku 1 a ktoré na ňu bolo prevedené alebo jej bolo poskytnuté na základe zmluvy o</w:t>
      </w:r>
      <w:r w:rsidR="00D779CE" w:rsidRPr="00224087">
        <w:t> </w:t>
      </w:r>
      <w:r w:rsidRPr="00224087">
        <w:t>finančných</w:t>
      </w:r>
      <w:r w:rsidR="00D779CE" w:rsidRPr="00224087">
        <w:t xml:space="preserve"> </w:t>
      </w:r>
      <w:r w:rsidRPr="00224087">
        <w:t>zábezpekách, ak tieto zmluvy spĺňajú požiadavky podľa osobitných predpisov. Banka, ktorá je emitentom krytých dlhopisov</w:t>
      </w:r>
      <w:r w:rsidR="00D779CE" w:rsidRPr="00224087">
        <w:t>,</w:t>
      </w:r>
      <w:r w:rsidRPr="00224087">
        <w:t xml:space="preserve"> je pri použití aktív a</w:t>
      </w:r>
      <w:r w:rsidR="00D779CE" w:rsidRPr="00224087">
        <w:t> </w:t>
      </w:r>
      <w:r w:rsidRPr="00224087">
        <w:t>iných</w:t>
      </w:r>
      <w:r w:rsidR="00D779CE" w:rsidRPr="00224087">
        <w:t xml:space="preserve"> </w:t>
      </w:r>
      <w:r w:rsidRPr="00224087">
        <w:t xml:space="preserve">majetkových hodnôt vytvorených jej dcérskou spoločnosťou podľa odseku 9 povinná posúdiť úverové štandardy na poskytovanie úverov </w:t>
      </w:r>
      <w:r w:rsidR="005202E4" w:rsidRPr="00224087">
        <w:t>touto dcérskou spoločnosťou</w:t>
      </w:r>
      <w:r w:rsidRPr="00224087">
        <w:t xml:space="preserve"> alebo je povinná sama vykonať dôkladné posúdenie schopnosti dlžníka splácať úver riadne a včas.</w:t>
      </w:r>
    </w:p>
    <w:p w14:paraId="74FBA09F" w14:textId="77777777" w:rsidR="00CC568C" w:rsidRPr="00224087" w:rsidRDefault="00CC568C" w:rsidP="0080233E">
      <w:pPr>
        <w:jc w:val="both"/>
      </w:pPr>
    </w:p>
    <w:p w14:paraId="143924B0" w14:textId="17AAC8CB" w:rsidR="00E2620B" w:rsidRPr="00224087" w:rsidRDefault="00E2620B" w:rsidP="00E2620B">
      <w:pPr>
        <w:jc w:val="both"/>
        <w:rPr>
          <w:u w:val="single"/>
        </w:rPr>
      </w:pPr>
      <w:r w:rsidRPr="00224087">
        <w:rPr>
          <w:u w:val="single"/>
        </w:rPr>
        <w:t>K § 71</w:t>
      </w:r>
    </w:p>
    <w:p w14:paraId="63D75F82" w14:textId="28B57C31" w:rsidR="00997E77" w:rsidRPr="00224087" w:rsidRDefault="00A770AB" w:rsidP="00D93C1F">
      <w:pPr>
        <w:jc w:val="both"/>
      </w:pPr>
      <w:r w:rsidRPr="00224087">
        <w:t>Navrhuje sa úprava o</w:t>
      </w:r>
      <w:r w:rsidR="00E2620B" w:rsidRPr="00224087">
        <w:t>dsek</w:t>
      </w:r>
      <w:r w:rsidRPr="00224087">
        <w:t xml:space="preserve">ov 1 až 3 z dôvodu rozšírenia okruhu základných aktív podľa § 70 ods. 1. V odseku 2 sa ustanovujú LTV limity pre hypotekárny úver podľa § 70 ods. 1 písm. c) na úrovni 70 % hodnoty založenej nehnuteľnosti, ak ide o nehnuteľnosť určenú na bývanie a na úrovni </w:t>
      </w:r>
      <w:r w:rsidR="000F3D42" w:rsidRPr="00224087">
        <w:t>7</w:t>
      </w:r>
      <w:r w:rsidRPr="00224087">
        <w:t>0 % hodnoty založenej nehnuteľnosti, ak ide o nehnuteľnosť určenú na podnikanie. V zmysle odseku 3 sa tieto limity neuplatňujú na základné aktíva podľa § 70 ods. 1 písm. c), ktorými sú hypotekárne úvery, ktoré síce spĺňajú vymedzenie podľa § 70 ods.</w:t>
      </w:r>
      <w:r w:rsidR="002F2368" w:rsidRPr="00224087">
        <w:t xml:space="preserve"> 1</w:t>
      </w:r>
      <w:r w:rsidRPr="00224087">
        <w:t xml:space="preserve"> písm. b), ale neboli zaradené do krycieho súboru programu krytých dlhopisov pre základné aktíva podľa § 70 ods. </w:t>
      </w:r>
      <w:r w:rsidR="002F2368" w:rsidRPr="00224087">
        <w:t xml:space="preserve">1 </w:t>
      </w:r>
      <w:r w:rsidRPr="00224087">
        <w:t>písm. b) z dôvodu vyššieho LTV hodnoty založenej nehnuteľnosti ako sa uvádzajú v čl. 129 ods. 1 písm. d) a f)</w:t>
      </w:r>
      <w:r w:rsidR="003557B2" w:rsidRPr="00224087">
        <w:t xml:space="preserve"> CRR.</w:t>
      </w:r>
      <w:r w:rsidR="000F3D42" w:rsidRPr="00224087">
        <w:t xml:space="preserve"> V takom prípade LTV nesmie byť vyššie ako 100 %.</w:t>
      </w:r>
    </w:p>
    <w:p w14:paraId="55211EA3" w14:textId="3386E108" w:rsidR="00997E77" w:rsidRPr="00224087" w:rsidRDefault="00A958D1" w:rsidP="00D93C1F">
      <w:pPr>
        <w:jc w:val="both"/>
      </w:pPr>
      <w:r w:rsidRPr="00224087">
        <w:t xml:space="preserve">V odseku 4 </w:t>
      </w:r>
      <w:r w:rsidR="00D779CE" w:rsidRPr="00224087">
        <w:t xml:space="preserve">sú </w:t>
      </w:r>
      <w:r w:rsidRPr="00224087">
        <w:t>zmeny vyvolané ostatnými zmenami v tomto článku.</w:t>
      </w:r>
    </w:p>
    <w:p w14:paraId="2F901DDE" w14:textId="64A3D297" w:rsidR="00A958D1" w:rsidRPr="00224087" w:rsidRDefault="00A958D1" w:rsidP="00D93C1F">
      <w:pPr>
        <w:jc w:val="both"/>
      </w:pPr>
      <w:r w:rsidRPr="00224087">
        <w:t>V odsekoch 5 a 6 sa dopĺňajú požiadavky na oceňovanie založených nehnuteľností v zmysle čl.</w:t>
      </w:r>
      <w:r w:rsidR="00D779CE" w:rsidRPr="00224087">
        <w:t> </w:t>
      </w:r>
      <w:r w:rsidRPr="00224087">
        <w:t>6 ods. 5 CBD tak</w:t>
      </w:r>
      <w:r w:rsidR="00D779CE" w:rsidRPr="00224087">
        <w:t>,</w:t>
      </w:r>
      <w:r w:rsidRPr="00224087">
        <w:t xml:space="preserve"> aby bolo zabezpečené ich oceňovanie </w:t>
      </w:r>
      <w:r w:rsidR="00D779CE" w:rsidRPr="00224087">
        <w:t xml:space="preserve">v </w:t>
      </w:r>
      <w:r w:rsidRPr="00224087">
        <w:t>čase zahrnutia základného aktíva podľa § 70 ods. 1 písm. b) a c) do krycieho súboru na základe celkového posúdenia nehnuteľnosti, na základe aktuálnej úrovne trhovej hodnoty alebo hodnoty poskytnutého hypotekárneho financovania alebo na nižšej úrovni</w:t>
      </w:r>
      <w:r w:rsidR="00D779CE" w:rsidRPr="00224087">
        <w:t xml:space="preserve"> a</w:t>
      </w:r>
      <w:r w:rsidRPr="00224087">
        <w:t xml:space="preserve"> aby takéto oceňovanie vykonával oceňovateľ, ktorý spĺňa minimálne požiadavky podľa odseku 6. Oceňovateľ </w:t>
      </w:r>
      <w:r w:rsidR="00D779CE" w:rsidRPr="00224087">
        <w:t>musí  byť</w:t>
      </w:r>
      <w:r w:rsidRPr="00224087">
        <w:t xml:space="preserve"> nezávislý od procesu rozhodovania o poskytnutí hypotekárneho úveru a</w:t>
      </w:r>
      <w:r w:rsidR="00937DEE" w:rsidRPr="00224087">
        <w:t> musí byť znalcom podľa zákona č. 382/2004 Z. z. alebo musí</w:t>
      </w:r>
      <w:r w:rsidRPr="00224087">
        <w:t xml:space="preserve"> </w:t>
      </w:r>
      <w:r w:rsidR="00A535B9" w:rsidRPr="00224087">
        <w:t xml:space="preserve">byť </w:t>
      </w:r>
      <w:r w:rsidRPr="00224087">
        <w:t xml:space="preserve">odborne kvalifikovaný na vykonanie ocenenia; za odborne kvalifikovanú osobu na vykonanie interného ocenenia sa považuje fyzická osoba </w:t>
      </w:r>
      <w:r w:rsidR="00A535B9" w:rsidRPr="00224087">
        <w:t>s </w:t>
      </w:r>
      <w:r w:rsidRPr="00224087">
        <w:t xml:space="preserve">ukončeným vysokoškolským vzdelaním v odbore stavebníctva </w:t>
      </w:r>
      <w:r w:rsidR="00A535B9" w:rsidRPr="00224087">
        <w:t xml:space="preserve">a </w:t>
      </w:r>
      <w:r w:rsidRPr="00224087">
        <w:t>dvojročnej odbornej praxe.</w:t>
      </w:r>
      <w:r w:rsidR="002D7897" w:rsidRPr="00224087">
        <w:t xml:space="preserve"> Oceňovateľ pri určovaní hodnoty nehnuteľnosti nezohľadňuje špekulatívne prvky</w:t>
      </w:r>
      <w:r w:rsidR="00A535B9" w:rsidRPr="00224087">
        <w:t>,</w:t>
      </w:r>
      <w:r w:rsidR="002D7897" w:rsidRPr="00224087">
        <w:t xml:space="preserve"> ako napr. možný rast budúcej hodnoty nehnuteľnosti.</w:t>
      </w:r>
    </w:p>
    <w:p w14:paraId="3752858A" w14:textId="6DF63501" w:rsidR="00A958D1" w:rsidRPr="00224087" w:rsidRDefault="00A958D1" w:rsidP="00D93C1F">
      <w:pPr>
        <w:jc w:val="both"/>
      </w:pPr>
      <w:r w:rsidRPr="00224087">
        <w:t>Pôvodný odsek 4 sa prečíslováva na odsek 7.</w:t>
      </w:r>
    </w:p>
    <w:p w14:paraId="46C77C3E" w14:textId="10EC4BFB" w:rsidR="00A958D1" w:rsidRPr="00224087" w:rsidRDefault="00A958D1" w:rsidP="00D93C1F">
      <w:pPr>
        <w:jc w:val="both"/>
      </w:pPr>
      <w:r w:rsidRPr="00224087">
        <w:t>V odseku 8 sa ustanovuje povinnosť banky, ktorá je emitentom krytých dlhopisov, monitorovať, či sú nehnuteľnosti podľa odseku 1 primerane poistené proti riziku poškodenia.</w:t>
      </w:r>
      <w:r w:rsidR="002D7897" w:rsidRPr="00224087">
        <w:t xml:space="preserve"> Poistný nárok by mal byť oddelený podobne ako základné aktíva a ustanovenia tejto časti zákona by sa naň mali vzťahovať primerane.</w:t>
      </w:r>
    </w:p>
    <w:p w14:paraId="1DBB6F9D" w14:textId="314381E5" w:rsidR="00BD1956" w:rsidRPr="00224087" w:rsidRDefault="00BD1956" w:rsidP="00D93C1F">
      <w:pPr>
        <w:jc w:val="both"/>
      </w:pPr>
    </w:p>
    <w:p w14:paraId="3F9B20D6" w14:textId="56A8A054" w:rsidR="00BD1956" w:rsidRPr="00224087" w:rsidRDefault="00BD1956" w:rsidP="00BD1956">
      <w:pPr>
        <w:jc w:val="both"/>
        <w:rPr>
          <w:u w:val="single"/>
        </w:rPr>
      </w:pPr>
      <w:r w:rsidRPr="00224087">
        <w:rPr>
          <w:u w:val="single"/>
        </w:rPr>
        <w:t>K § 72</w:t>
      </w:r>
    </w:p>
    <w:p w14:paraId="4D6EDDE5" w14:textId="6A5D54D0" w:rsidR="00BD1956" w:rsidRPr="00224087" w:rsidRDefault="00603619" w:rsidP="00BD1956">
      <w:pPr>
        <w:jc w:val="both"/>
      </w:pPr>
      <w:r w:rsidRPr="00224087">
        <w:t>V odseku 1 sa dopĺňa definícia doplňujúcich aktív v zmysle čl. 3 ods. 13 CBD. Doplňujúce aktíva prispievajú k splneniu požiadaviek na krytie podľa § 69 a sú iné než základne aktíva v</w:t>
      </w:r>
      <w:r w:rsidR="00D779CE" w:rsidRPr="00224087">
        <w:t> </w:t>
      </w:r>
      <w:r w:rsidRPr="00224087">
        <w:t>danom</w:t>
      </w:r>
      <w:r w:rsidR="00D779CE" w:rsidRPr="00224087">
        <w:t xml:space="preserve"> </w:t>
      </w:r>
      <w:r w:rsidRPr="00224087">
        <w:t xml:space="preserve">krycom súbore. </w:t>
      </w:r>
      <w:r w:rsidR="00E80E15" w:rsidRPr="00224087">
        <w:t>Tiež</w:t>
      </w:r>
      <w:r w:rsidRPr="00224087">
        <w:t xml:space="preserve"> sa ustanovuj</w:t>
      </w:r>
      <w:r w:rsidR="00AC57C4" w:rsidRPr="00224087">
        <w:t>ú</w:t>
      </w:r>
      <w:r w:rsidR="0050175C">
        <w:t xml:space="preserve"> </w:t>
      </w:r>
      <w:r w:rsidR="00AC57C4" w:rsidRPr="00224087">
        <w:t>oprávnené</w:t>
      </w:r>
      <w:r w:rsidRPr="00224087">
        <w:t xml:space="preserve"> doplňujúce aktíva</w:t>
      </w:r>
      <w:r w:rsidR="00AC57C4" w:rsidRPr="00224087">
        <w:t>.</w:t>
      </w:r>
    </w:p>
    <w:p w14:paraId="7E398DD4" w14:textId="259D9ECB" w:rsidR="008F26E6" w:rsidRDefault="008F26E6" w:rsidP="00BD1956">
      <w:pPr>
        <w:jc w:val="both"/>
      </w:pPr>
      <w:r w:rsidRPr="00224087">
        <w:t xml:space="preserve">V odseku 2 sa ustanovuje, že doplňujúce aktíva môžu tvoriť najviac 10 % celkovej hodnoty príslušného krycieho súboru bez hodnoty likvidných aktív pri krycom súbore tvorenom základnými aktívami podľa § 70 ods. 1 písm. a) alebo písm. b) a najviac 20 % celkovej hodnoty príslušného krycieho súboru bez hodnoty likvidných aktív pri krycom súbore tvorenom základnými aktívami podľa § 70 ods. 1 písm. </w:t>
      </w:r>
      <w:r w:rsidR="00A14D52">
        <w:t>b</w:t>
      </w:r>
      <w:r w:rsidRPr="00224087">
        <w:t xml:space="preserve">) alebo písm. </w:t>
      </w:r>
      <w:r w:rsidR="00A14D52">
        <w:t>c</w:t>
      </w:r>
      <w:r w:rsidRPr="00224087">
        <w:t>).</w:t>
      </w:r>
    </w:p>
    <w:p w14:paraId="21BEA9F0" w14:textId="30524D17" w:rsidR="004D5187" w:rsidRPr="00224087" w:rsidRDefault="004D5187" w:rsidP="00BD1956">
      <w:pPr>
        <w:jc w:val="both"/>
      </w:pPr>
      <w:r>
        <w:lastRenderedPageBreak/>
        <w:t xml:space="preserve">V odseku </w:t>
      </w:r>
      <w:r w:rsidR="002254D4">
        <w:t>3</w:t>
      </w:r>
      <w:r>
        <w:t xml:space="preserve"> sa upravuje určovanie hodnoty doplňujúcich aktív, ktorá</w:t>
      </w:r>
      <w:r w:rsidRPr="004D5187">
        <w:t xml:space="preserve"> </w:t>
      </w:r>
      <w:r>
        <w:t xml:space="preserve">sa </w:t>
      </w:r>
      <w:r w:rsidRPr="004D5187">
        <w:t>na účely výpočtu ukazov</w:t>
      </w:r>
      <w:r>
        <w:t>ateľa krytia podľa § 69  určuje</w:t>
      </w:r>
      <w:r w:rsidRPr="004D5187">
        <w:t xml:space="preserve"> na základe nižšej hodnoty z spomedzi ich reálnej hodnoty a nominálnej hodnoty a na iné účely sa určí na základe ich reálnej hodnoty</w:t>
      </w:r>
      <w:r>
        <w:t>.</w:t>
      </w:r>
    </w:p>
    <w:p w14:paraId="53AE7369" w14:textId="235CC405" w:rsidR="00C90D38" w:rsidRPr="00224087" w:rsidRDefault="00C90D38" w:rsidP="00BD1956">
      <w:pPr>
        <w:jc w:val="both"/>
      </w:pPr>
    </w:p>
    <w:p w14:paraId="4C0239C4" w14:textId="4643E3E3" w:rsidR="00C90D38" w:rsidRPr="00224087" w:rsidRDefault="00C90D38" w:rsidP="00343147">
      <w:pPr>
        <w:keepNext/>
        <w:jc w:val="both"/>
        <w:rPr>
          <w:u w:val="single"/>
        </w:rPr>
      </w:pPr>
      <w:r w:rsidRPr="00224087">
        <w:rPr>
          <w:u w:val="single"/>
        </w:rPr>
        <w:t>K § 73</w:t>
      </w:r>
    </w:p>
    <w:p w14:paraId="14F202A9" w14:textId="69CB47C1" w:rsidR="00C90D38" w:rsidRPr="00224087" w:rsidRDefault="00C90D38" w:rsidP="00C90D38">
      <w:pPr>
        <w:jc w:val="both"/>
      </w:pPr>
      <w:r w:rsidRPr="00224087">
        <w:t>V odseku 1 sa dopĺňa povinnosť banky, ktorá je emitentom krytých dlhopisov, vyradiť z</w:t>
      </w:r>
      <w:r w:rsidR="00D779CE" w:rsidRPr="00224087">
        <w:t> </w:t>
      </w:r>
      <w:r w:rsidRPr="00224087">
        <w:t>krycieho</w:t>
      </w:r>
      <w:r w:rsidR="00D779CE" w:rsidRPr="00224087">
        <w:t xml:space="preserve"> </w:t>
      </w:r>
      <w:r w:rsidRPr="00224087">
        <w:t>súboru</w:t>
      </w:r>
      <w:r w:rsidR="00D779CE" w:rsidRPr="00224087">
        <w:t xml:space="preserve"> zabezpečovacie deriváty</w:t>
      </w:r>
      <w:r w:rsidRPr="00224087">
        <w:t>, ak riziká podľa prvej vety prestanú existovať</w:t>
      </w:r>
      <w:r w:rsidR="005B36DE" w:rsidRPr="00224087">
        <w:t>.</w:t>
      </w:r>
    </w:p>
    <w:p w14:paraId="57E8E7DD" w14:textId="027B3E48" w:rsidR="00CD2490" w:rsidRPr="00224087" w:rsidRDefault="00CD2490" w:rsidP="00C90D38">
      <w:pPr>
        <w:jc w:val="both"/>
      </w:pPr>
      <w:r w:rsidRPr="00224087">
        <w:t>V odseku 2 sa dopĺňa požiadavka na dostatočnú dokumentáciu v zmysle transpozície čl. 11 ods. 1 písm. b) CBD.</w:t>
      </w:r>
    </w:p>
    <w:p w14:paraId="750B82BA" w14:textId="5E5A39B7" w:rsidR="00B37544" w:rsidRPr="00224087" w:rsidRDefault="00B37544" w:rsidP="00C90D38">
      <w:pPr>
        <w:jc w:val="both"/>
      </w:pPr>
      <w:r w:rsidRPr="00224087">
        <w:t>Ostatné odseky sa nemenia.</w:t>
      </w:r>
    </w:p>
    <w:p w14:paraId="4E435F3F" w14:textId="77777777" w:rsidR="00CD2490" w:rsidRPr="00224087" w:rsidRDefault="00CD2490" w:rsidP="00C90D38">
      <w:pPr>
        <w:jc w:val="both"/>
      </w:pPr>
    </w:p>
    <w:p w14:paraId="77B62556" w14:textId="2D0FA6A2" w:rsidR="00486AA7" w:rsidRPr="00224087" w:rsidRDefault="00486AA7" w:rsidP="00486AA7">
      <w:pPr>
        <w:jc w:val="both"/>
        <w:rPr>
          <w:u w:val="single"/>
        </w:rPr>
      </w:pPr>
      <w:r w:rsidRPr="00224087">
        <w:rPr>
          <w:u w:val="single"/>
        </w:rPr>
        <w:t>K § 74</w:t>
      </w:r>
    </w:p>
    <w:p w14:paraId="51AE7CFF" w14:textId="20E62C05" w:rsidR="00997E77" w:rsidRPr="00224087" w:rsidRDefault="00486AA7" w:rsidP="00D93C1F">
      <w:pPr>
        <w:jc w:val="both"/>
      </w:pPr>
      <w:r w:rsidRPr="00224087">
        <w:t>V</w:t>
      </w:r>
      <w:r w:rsidR="00F117F1" w:rsidRPr="00224087">
        <w:t> odseku 1 sa ustanovuje povinnosť banky, ktorá je emitentom krytých dlhopisov, kryť v</w:t>
      </w:r>
      <w:r w:rsidR="00D779CE" w:rsidRPr="00224087">
        <w:t> </w:t>
      </w:r>
      <w:r w:rsidR="00F117F1" w:rsidRPr="00224087">
        <w:t>každom</w:t>
      </w:r>
      <w:r w:rsidR="00D779CE" w:rsidRPr="00224087">
        <w:t xml:space="preserve"> </w:t>
      </w:r>
      <w:r w:rsidR="00F117F1" w:rsidRPr="00224087">
        <w:t>okamihu čistý záporný tok likvidity z</w:t>
      </w:r>
      <w:r w:rsidR="00D779CE" w:rsidRPr="00224087">
        <w:t> </w:t>
      </w:r>
      <w:r w:rsidR="00F117F1" w:rsidRPr="00224087">
        <w:t>programu krytých dlhopisov vankúšom likvidných aktív minimálne v</w:t>
      </w:r>
      <w:r w:rsidR="00D779CE" w:rsidRPr="00224087">
        <w:t> </w:t>
      </w:r>
      <w:r w:rsidR="00F117F1" w:rsidRPr="00224087">
        <w:t>hodnote</w:t>
      </w:r>
      <w:r w:rsidR="00D779CE" w:rsidRPr="00224087">
        <w:t xml:space="preserve"> </w:t>
      </w:r>
      <w:r w:rsidR="00F117F1" w:rsidRPr="00224087">
        <w:t>maximálneho kumulovaného čistého záporného toku likvidity z programu krytých dlhopisov počas obdobia nasledujúcich 180 dní, ak odsek 6 alebo § 82 ods. 6 neustanovujú inak. Čistým záporným tokom likvidity sú všetky záporné peňažné toky splatné v jeden deň, zahrňujúce platbu istiny a</w:t>
      </w:r>
      <w:r w:rsidR="00D779CE" w:rsidRPr="00224087">
        <w:t> </w:t>
      </w:r>
      <w:r w:rsidR="00F117F1" w:rsidRPr="00224087">
        <w:t xml:space="preserve">úrokov, ako aj </w:t>
      </w:r>
      <w:r w:rsidR="006C59C0" w:rsidRPr="00224087">
        <w:t xml:space="preserve">platby </w:t>
      </w:r>
      <w:r w:rsidR="00F117F1" w:rsidRPr="00224087">
        <w:t>v rámci zabezpečovacích derivátov programu krytých dlhopisov, po odpočítaní všetkých kladných peňažných tokov z aktív a iných majetkových hodnôt podľa § 68 ods. 1 splatných v ten istý deň.</w:t>
      </w:r>
    </w:p>
    <w:p w14:paraId="0B2891D5" w14:textId="66570C79" w:rsidR="00F117F1" w:rsidRPr="00224087" w:rsidRDefault="00F117F1" w:rsidP="00486AA7">
      <w:pPr>
        <w:jc w:val="both"/>
      </w:pPr>
      <w:r w:rsidRPr="00224087">
        <w:t>V odseku 2 sa pôvodné znenie zosúlaďuje so znením čl. 16 ods. 3 CBD, pričom sa v písmene b) pripúšťa len 1. alebo 2. stupeň kreditnej kvality.</w:t>
      </w:r>
    </w:p>
    <w:p w14:paraId="5D8070CB" w14:textId="5EE8172C" w:rsidR="00F117F1" w:rsidRDefault="00F117F1" w:rsidP="00486AA7">
      <w:pPr>
        <w:jc w:val="both"/>
      </w:pPr>
      <w:r w:rsidRPr="00224087">
        <w:t>Pôvodné odseky 3 a 6 sa vypúšťajú.</w:t>
      </w:r>
    </w:p>
    <w:p w14:paraId="508AE04A" w14:textId="77777777" w:rsidR="002254D4" w:rsidRDefault="002254D4" w:rsidP="002254D4">
      <w:pPr>
        <w:jc w:val="both"/>
      </w:pPr>
      <w:r>
        <w:t>V odseku 3 sa upravuje určovanie hodnoty likvidných aktív, ktorá</w:t>
      </w:r>
      <w:r w:rsidRPr="004D5187">
        <w:t xml:space="preserve"> </w:t>
      </w:r>
      <w:r>
        <w:t xml:space="preserve">sa pri </w:t>
      </w:r>
      <w:r w:rsidRPr="002254D4">
        <w:t>cenných papierov vstupujúcich do vankúša likvidných aktív  sa  určuje na základe ich reálnej hodnoty vrátane alikvotného úrokového výnosu, ak odsek 4 neustanovuje inak a hodnota iných aktív vstupujúcich do vankúša likvidných aktív sa určuje na základe ich nominálnej hodnoty</w:t>
      </w:r>
      <w:r>
        <w:t>. Uvedené platí aj pri výpočte</w:t>
      </w:r>
      <w:r w:rsidRPr="002254D4">
        <w:t xml:space="preserve"> krytia maximálneho kumulovaného čistého záporného toku likvidity z programu krytých dlhopisov vankúšom likvidných aktív podľa odseku 1</w:t>
      </w:r>
      <w:r>
        <w:t>.</w:t>
      </w:r>
    </w:p>
    <w:p w14:paraId="0485CFC3" w14:textId="6CF66DA8" w:rsidR="002254D4" w:rsidRPr="00224087" w:rsidRDefault="002254D4" w:rsidP="002254D4">
      <w:pPr>
        <w:jc w:val="both"/>
      </w:pPr>
      <w:r>
        <w:t xml:space="preserve">V novom odseku 4 sa upravuje určovanie hodnoty </w:t>
      </w:r>
      <w:r w:rsidRPr="002254D4">
        <w:t>cenných papierov vstupujúcich do vankúša likvidných aktív</w:t>
      </w:r>
      <w:r>
        <w:t>, ktorá</w:t>
      </w:r>
      <w:r w:rsidRPr="004D5187">
        <w:t xml:space="preserve"> </w:t>
      </w:r>
      <w:r>
        <w:t xml:space="preserve">sa </w:t>
      </w:r>
      <w:r w:rsidRPr="004D5187">
        <w:t>na účely výpočtu ukazov</w:t>
      </w:r>
      <w:r>
        <w:t>ateľa krytia podľa § 69  určuje</w:t>
      </w:r>
      <w:r w:rsidRPr="002254D4">
        <w:t xml:space="preserve"> na základe nižšej hodnoty z spomedzi ich nominálnej hodnoty a reálnej hodnoty vrátane alikvotného úrokového výnosu</w:t>
      </w:r>
      <w:r>
        <w:t>.</w:t>
      </w:r>
    </w:p>
    <w:p w14:paraId="37DAC5EE" w14:textId="39337F2D" w:rsidR="00F117F1" w:rsidRPr="00224087" w:rsidRDefault="00F117F1" w:rsidP="00486AA7">
      <w:pPr>
        <w:jc w:val="both"/>
      </w:pPr>
      <w:r w:rsidRPr="00224087">
        <w:t>Novým odsekom 5 sa ustanovuje, že banka, ktorá je emitentom krytých dlhopisov a má zosúladené splatnosti kladných peňažných tokov a záporných peňažných tokov v rámci programu krytých dlhopisov v každom okamihu počas obdobia nasledujúcich 180 dní, nie je povinná viesť vankúš likvidných aktív podľa odseku 1.</w:t>
      </w:r>
    </w:p>
    <w:p w14:paraId="286B4467" w14:textId="65614A51" w:rsidR="00F117F1" w:rsidRPr="00224087" w:rsidRDefault="00F117F1" w:rsidP="00486AA7">
      <w:pPr>
        <w:jc w:val="both"/>
      </w:pPr>
      <w:r w:rsidRPr="00224087">
        <w:t>V odseku 6 sa spresňuje, že banka, ktorá je emitentom krytých dlhopisov a vedie viacero programov krytých dlhopisov, vypočítava hodnotu vankúša likvidných aktív jednotlivo pre každý program krytých dlhopisov.</w:t>
      </w:r>
    </w:p>
    <w:p w14:paraId="14913740" w14:textId="53B97CC7" w:rsidR="00EF03B3" w:rsidRPr="00224087" w:rsidRDefault="00EF03B3" w:rsidP="00486AA7">
      <w:pPr>
        <w:jc w:val="both"/>
      </w:pPr>
    </w:p>
    <w:p w14:paraId="552A52DB" w14:textId="1D246B0E" w:rsidR="00EF03B3" w:rsidRPr="00224087" w:rsidRDefault="00EF03B3" w:rsidP="00441C36">
      <w:pPr>
        <w:keepNext/>
        <w:jc w:val="both"/>
        <w:rPr>
          <w:b/>
        </w:rPr>
      </w:pPr>
      <w:r w:rsidRPr="00224087">
        <w:rPr>
          <w:b/>
        </w:rPr>
        <w:t xml:space="preserve">K bodu </w:t>
      </w:r>
      <w:r w:rsidR="006C59C0" w:rsidRPr="00224087">
        <w:rPr>
          <w:b/>
        </w:rPr>
        <w:t>21</w:t>
      </w:r>
      <w:r w:rsidR="00A80798" w:rsidRPr="00224087">
        <w:rPr>
          <w:b/>
        </w:rPr>
        <w:t xml:space="preserve"> </w:t>
      </w:r>
      <w:r w:rsidRPr="00224087">
        <w:rPr>
          <w:b/>
        </w:rPr>
        <w:t>[§ 75 ods. 2</w:t>
      </w:r>
      <w:r w:rsidR="00441C36" w:rsidRPr="00224087">
        <w:rPr>
          <w:b/>
        </w:rPr>
        <w:t>]</w:t>
      </w:r>
    </w:p>
    <w:p w14:paraId="72E904DD" w14:textId="44770674" w:rsidR="00441C36" w:rsidRPr="00224087" w:rsidRDefault="00441C36" w:rsidP="00441C36">
      <w:pPr>
        <w:keepNext/>
        <w:jc w:val="both"/>
      </w:pPr>
      <w:r w:rsidRPr="00224087">
        <w:t xml:space="preserve">Ide o zmenu súvisiacu s rozšírením okruhu základných aktív, pričom sa povinnosť priraďovania </w:t>
      </w:r>
      <w:r w:rsidR="00B70B74" w:rsidRPr="00224087">
        <w:t>konkrétnych aktív v krycom súbore</w:t>
      </w:r>
      <w:r w:rsidRPr="00224087">
        <w:t xml:space="preserve"> ku konkrétnej emisii</w:t>
      </w:r>
      <w:r w:rsidR="000855FE">
        <w:t xml:space="preserve"> mení na možnosť</w:t>
      </w:r>
      <w:r w:rsidRPr="00224087">
        <w:t xml:space="preserve">. </w:t>
      </w:r>
      <w:r w:rsidR="000855FE">
        <w:t xml:space="preserve">V prípade </w:t>
      </w:r>
      <w:r w:rsidR="000855FE">
        <w:lastRenderedPageBreak/>
        <w:t>nevyužitia tejto možnosti budú j</w:t>
      </w:r>
      <w:r w:rsidR="00B70B74" w:rsidRPr="00224087">
        <w:t>ednotlivé emisie krytých dlhopisov kryté všetkými aktívami v krycom súbore pomerne.</w:t>
      </w:r>
    </w:p>
    <w:p w14:paraId="50DC8A4C" w14:textId="0970E01C" w:rsidR="002338B2" w:rsidRPr="00224087" w:rsidRDefault="002338B2" w:rsidP="00441C36">
      <w:pPr>
        <w:keepNext/>
        <w:jc w:val="both"/>
        <w:rPr>
          <w:b/>
        </w:rPr>
      </w:pPr>
    </w:p>
    <w:p w14:paraId="5498C91E" w14:textId="0F6BF751" w:rsidR="002338B2" w:rsidRPr="00224087" w:rsidRDefault="002338B2" w:rsidP="002338B2">
      <w:pPr>
        <w:keepNext/>
        <w:jc w:val="both"/>
        <w:rPr>
          <w:b/>
        </w:rPr>
      </w:pPr>
      <w:r w:rsidRPr="00224087">
        <w:rPr>
          <w:b/>
        </w:rPr>
        <w:t xml:space="preserve">K bodu </w:t>
      </w:r>
      <w:r w:rsidR="006C59C0" w:rsidRPr="00224087">
        <w:rPr>
          <w:b/>
        </w:rPr>
        <w:t>22</w:t>
      </w:r>
      <w:r w:rsidR="00A80798" w:rsidRPr="00224087">
        <w:rPr>
          <w:b/>
        </w:rPr>
        <w:t xml:space="preserve"> </w:t>
      </w:r>
      <w:r w:rsidRPr="00224087">
        <w:rPr>
          <w:b/>
        </w:rPr>
        <w:t>[§ 76 ods. 6]</w:t>
      </w:r>
    </w:p>
    <w:p w14:paraId="2949A5F8" w14:textId="225B862B" w:rsidR="002338B2" w:rsidRPr="00224087" w:rsidRDefault="002338B2" w:rsidP="002338B2">
      <w:pPr>
        <w:keepNext/>
        <w:jc w:val="both"/>
      </w:pPr>
      <w:r w:rsidRPr="00224087">
        <w:t>Ide o legislatívno-technickú úpravu súvisiacu s vnútornými odkazmi.</w:t>
      </w:r>
    </w:p>
    <w:p w14:paraId="6603297D" w14:textId="77777777" w:rsidR="002338B2" w:rsidRPr="00224087" w:rsidRDefault="002338B2" w:rsidP="002338B2">
      <w:pPr>
        <w:keepNext/>
        <w:jc w:val="both"/>
      </w:pPr>
    </w:p>
    <w:p w14:paraId="3AF58583" w14:textId="4D6DD6E6" w:rsidR="00012C54" w:rsidRPr="00224087" w:rsidRDefault="00685065" w:rsidP="00012C54">
      <w:pPr>
        <w:keepNext/>
        <w:jc w:val="both"/>
        <w:rPr>
          <w:b/>
        </w:rPr>
      </w:pPr>
      <w:r w:rsidRPr="00224087">
        <w:rPr>
          <w:b/>
        </w:rPr>
        <w:t xml:space="preserve">K bodu </w:t>
      </w:r>
      <w:r w:rsidR="006C59C0" w:rsidRPr="00224087">
        <w:rPr>
          <w:b/>
        </w:rPr>
        <w:t>23</w:t>
      </w:r>
      <w:r w:rsidR="00A80798" w:rsidRPr="00224087">
        <w:rPr>
          <w:b/>
        </w:rPr>
        <w:t xml:space="preserve"> </w:t>
      </w:r>
      <w:r w:rsidR="00012C54" w:rsidRPr="00224087">
        <w:rPr>
          <w:b/>
        </w:rPr>
        <w:t>[§ 77 ods. 2]</w:t>
      </w:r>
    </w:p>
    <w:p w14:paraId="21DB8D55" w14:textId="1B30D994" w:rsidR="002338B2" w:rsidRPr="00224087" w:rsidRDefault="00012C54" w:rsidP="00012C54">
      <w:pPr>
        <w:keepNext/>
        <w:jc w:val="both"/>
      </w:pPr>
      <w:r w:rsidRPr="00224087">
        <w:t>Ide len o doplnenie zániku funkcie správcu programu krytých dlhopisov a</w:t>
      </w:r>
      <w:r w:rsidR="00D779CE" w:rsidRPr="00224087">
        <w:t> </w:t>
      </w:r>
      <w:r w:rsidRPr="00224087">
        <w:t>jeho</w:t>
      </w:r>
      <w:r w:rsidR="00D779CE" w:rsidRPr="00224087">
        <w:t xml:space="preserve"> </w:t>
      </w:r>
      <w:r w:rsidRPr="00224087">
        <w:t>zástupcu vymenovaných pre banku, ktorá je emitentom krytých dlhopisov</w:t>
      </w:r>
      <w:r w:rsidR="00616C62" w:rsidRPr="00224087">
        <w:t>,</w:t>
      </w:r>
      <w:r w:rsidRPr="00224087">
        <w:t xml:space="preserve"> o prípad ukončenia prevádzkovania podniku podľa § 195a zákona č. 7/2005 Z. z.</w:t>
      </w:r>
      <w:r w:rsidR="006C59C0" w:rsidRPr="00224087">
        <w:t xml:space="preserve"> o konkurze a reštrukturalizácii a o zmene a doplnení niektorých zákonov v znení neskorších predpisov</w:t>
      </w:r>
      <w:r w:rsidRPr="00224087">
        <w:t>.</w:t>
      </w:r>
    </w:p>
    <w:p w14:paraId="4328D427" w14:textId="6A504A8F" w:rsidR="006B71DC" w:rsidRPr="00224087" w:rsidRDefault="006B71DC" w:rsidP="00012C54">
      <w:pPr>
        <w:keepNext/>
        <w:jc w:val="both"/>
        <w:rPr>
          <w:b/>
        </w:rPr>
      </w:pPr>
    </w:p>
    <w:p w14:paraId="7CB6C1DC" w14:textId="65420BF0" w:rsidR="00CA0DC2" w:rsidRPr="00224087" w:rsidRDefault="00CA0DC2" w:rsidP="006B71DC">
      <w:pPr>
        <w:keepNext/>
        <w:jc w:val="both"/>
      </w:pPr>
    </w:p>
    <w:p w14:paraId="63C14D94" w14:textId="77777777" w:rsidR="00CA0DC2" w:rsidRPr="00224087" w:rsidRDefault="00CA0DC2" w:rsidP="006B71DC">
      <w:pPr>
        <w:keepNext/>
        <w:jc w:val="both"/>
        <w:rPr>
          <w:b/>
        </w:rPr>
      </w:pPr>
    </w:p>
    <w:p w14:paraId="7BC42189" w14:textId="497D8F9F" w:rsidR="00F25BF5" w:rsidRPr="00224087" w:rsidRDefault="00F25BF5" w:rsidP="006B71DC">
      <w:pPr>
        <w:keepNext/>
        <w:jc w:val="both"/>
        <w:rPr>
          <w:b/>
        </w:rPr>
      </w:pPr>
      <w:r w:rsidRPr="00224087">
        <w:rPr>
          <w:b/>
        </w:rPr>
        <w:t xml:space="preserve">K </w:t>
      </w:r>
      <w:r w:rsidR="003C0B85" w:rsidRPr="00224087">
        <w:rPr>
          <w:b/>
        </w:rPr>
        <w:t>bod</w:t>
      </w:r>
      <w:r w:rsidR="003C0B85">
        <w:rPr>
          <w:b/>
        </w:rPr>
        <w:t>u</w:t>
      </w:r>
      <w:r w:rsidR="003C0B85" w:rsidRPr="00224087">
        <w:rPr>
          <w:b/>
        </w:rPr>
        <w:t xml:space="preserve"> </w:t>
      </w:r>
      <w:r w:rsidR="003C0B85">
        <w:rPr>
          <w:b/>
        </w:rPr>
        <w:t>24</w:t>
      </w:r>
      <w:r w:rsidRPr="00224087">
        <w:rPr>
          <w:b/>
        </w:rPr>
        <w:t xml:space="preserve"> [§ 79 ods. 7 písm. d)]</w:t>
      </w:r>
    </w:p>
    <w:p w14:paraId="5BA95445" w14:textId="5DDBF087" w:rsidR="00997E77" w:rsidRPr="00224087" w:rsidRDefault="00F25BF5" w:rsidP="00D93C1F">
      <w:pPr>
        <w:jc w:val="both"/>
      </w:pPr>
      <w:r w:rsidRPr="00224087">
        <w:t>Ide o legislatívno-technickú</w:t>
      </w:r>
      <w:r w:rsidR="00401440" w:rsidRPr="00224087">
        <w:t xml:space="preserve"> úpravu</w:t>
      </w:r>
      <w:r w:rsidRPr="00224087">
        <w:t xml:space="preserve"> vnútorných odkazov</w:t>
      </w:r>
      <w:r w:rsidR="00401440" w:rsidRPr="00224087">
        <w:t>.</w:t>
      </w:r>
    </w:p>
    <w:p w14:paraId="6A6E3E1F" w14:textId="009AC3F8" w:rsidR="00F25BF5" w:rsidRPr="00224087" w:rsidRDefault="00F25BF5" w:rsidP="00D93C1F">
      <w:pPr>
        <w:jc w:val="both"/>
      </w:pPr>
    </w:p>
    <w:p w14:paraId="6536B0B7" w14:textId="27E35909" w:rsidR="00270BD4" w:rsidRPr="00224087" w:rsidRDefault="00270BD4" w:rsidP="00270BD4">
      <w:pPr>
        <w:keepNext/>
        <w:jc w:val="both"/>
        <w:rPr>
          <w:b/>
        </w:rPr>
      </w:pPr>
      <w:r w:rsidRPr="00224087">
        <w:rPr>
          <w:b/>
        </w:rPr>
        <w:t xml:space="preserve">K bodu </w:t>
      </w:r>
      <w:r w:rsidR="003C0B85" w:rsidRPr="00224087">
        <w:rPr>
          <w:b/>
        </w:rPr>
        <w:t>2</w:t>
      </w:r>
      <w:r w:rsidR="003C0B85">
        <w:rPr>
          <w:b/>
        </w:rPr>
        <w:t>5</w:t>
      </w:r>
      <w:r w:rsidR="003C0B85" w:rsidRPr="00224087">
        <w:rPr>
          <w:b/>
        </w:rPr>
        <w:t xml:space="preserve"> </w:t>
      </w:r>
      <w:r w:rsidRPr="00224087">
        <w:rPr>
          <w:b/>
        </w:rPr>
        <w:t>[§ 79  ods</w:t>
      </w:r>
      <w:r w:rsidR="006C59C0" w:rsidRPr="00224087">
        <w:rPr>
          <w:b/>
        </w:rPr>
        <w:t>.</w:t>
      </w:r>
      <w:r w:rsidRPr="00224087">
        <w:rPr>
          <w:b/>
        </w:rPr>
        <w:t xml:space="preserve"> </w:t>
      </w:r>
      <w:r w:rsidR="003C0B85">
        <w:rPr>
          <w:b/>
        </w:rPr>
        <w:t>9</w:t>
      </w:r>
      <w:r w:rsidRPr="00224087">
        <w:rPr>
          <w:b/>
        </w:rPr>
        <w:t>]</w:t>
      </w:r>
    </w:p>
    <w:p w14:paraId="3A408D7B" w14:textId="57DB78AC" w:rsidR="00270BD4" w:rsidRPr="00224087" w:rsidRDefault="00270BD4" w:rsidP="00270BD4">
      <w:pPr>
        <w:keepNext/>
        <w:jc w:val="both"/>
        <w:rPr>
          <w:b/>
        </w:rPr>
      </w:pPr>
      <w:r w:rsidRPr="00224087">
        <w:t xml:space="preserve">Novým odsekom </w:t>
      </w:r>
      <w:r w:rsidR="003C0B85">
        <w:t>9</w:t>
      </w:r>
      <w:r w:rsidR="003C0B85" w:rsidRPr="00224087">
        <w:t xml:space="preserve"> </w:t>
      </w:r>
      <w:r w:rsidRPr="00224087">
        <w:t xml:space="preserve">sa dopĺňa spresnenie, že správca programu krytých dlhopisov pokračuje vo svojej činnosti podľa ustanovení tohto zákona aj ak je nad bankou, ktorá je emitentom krytých dlhopisov, zavedená nútená správa, je voči tejto banke vedené rezolučné konanie alebo je </w:t>
      </w:r>
      <w:r w:rsidR="006C59C0" w:rsidRPr="00224087">
        <w:t xml:space="preserve">na </w:t>
      </w:r>
      <w:r w:rsidRPr="00224087">
        <w:t>majetok tejto banky vyhlásený konkurz. Správca sa na účely prípadov podľa prvej vety koordinuje s Národnou bankou Slovenska, rezolučnou radou a príslušnými správcami a vymieňa si s nimi informácie.</w:t>
      </w:r>
    </w:p>
    <w:p w14:paraId="6B6EEBE6" w14:textId="77777777" w:rsidR="00270BD4" w:rsidRPr="00224087" w:rsidRDefault="00270BD4" w:rsidP="00401440">
      <w:pPr>
        <w:keepNext/>
        <w:jc w:val="both"/>
        <w:rPr>
          <w:b/>
        </w:rPr>
      </w:pPr>
    </w:p>
    <w:p w14:paraId="66DBAB0F" w14:textId="40E9E162" w:rsidR="00401440" w:rsidRPr="00224087" w:rsidRDefault="00401440" w:rsidP="00401440">
      <w:pPr>
        <w:keepNext/>
        <w:jc w:val="both"/>
        <w:rPr>
          <w:b/>
        </w:rPr>
      </w:pPr>
      <w:r w:rsidRPr="00224087">
        <w:rPr>
          <w:b/>
        </w:rPr>
        <w:t xml:space="preserve">K bodu </w:t>
      </w:r>
      <w:r w:rsidR="003C0B85">
        <w:rPr>
          <w:b/>
        </w:rPr>
        <w:t>26</w:t>
      </w:r>
      <w:r w:rsidR="003C0B85" w:rsidRPr="00224087">
        <w:rPr>
          <w:b/>
        </w:rPr>
        <w:t xml:space="preserve"> </w:t>
      </w:r>
      <w:r w:rsidRPr="00224087">
        <w:rPr>
          <w:b/>
        </w:rPr>
        <w:t xml:space="preserve">[§ 80 </w:t>
      </w:r>
      <w:r w:rsidR="006C59C0" w:rsidRPr="00224087">
        <w:rPr>
          <w:b/>
        </w:rPr>
        <w:t>ods.</w:t>
      </w:r>
      <w:r w:rsidRPr="00224087">
        <w:rPr>
          <w:b/>
        </w:rPr>
        <w:t xml:space="preserve"> 2 a 3]</w:t>
      </w:r>
    </w:p>
    <w:p w14:paraId="17F0D0EB" w14:textId="70E299AE" w:rsidR="00F25BF5" w:rsidRPr="00224087" w:rsidRDefault="00401440" w:rsidP="00401440">
      <w:pPr>
        <w:jc w:val="both"/>
      </w:pPr>
      <w:r w:rsidRPr="00224087">
        <w:t xml:space="preserve">Ide o doplnenie nových odsekov 2 a 3, ktorými </w:t>
      </w:r>
      <w:r w:rsidR="006C59C0" w:rsidRPr="00224087">
        <w:t xml:space="preserve">sa </w:t>
      </w:r>
      <w:r w:rsidRPr="00224087">
        <w:t>precizujú a rozširujú právomoci správcu programu krytých dlhopisov a ktorými sa transponuje čl. 20 ods. 3 písm. b) a c) CBD.</w:t>
      </w:r>
    </w:p>
    <w:p w14:paraId="2AC78194" w14:textId="77777777" w:rsidR="00401440" w:rsidRPr="00224087" w:rsidRDefault="00401440" w:rsidP="00401440">
      <w:pPr>
        <w:jc w:val="both"/>
      </w:pPr>
    </w:p>
    <w:p w14:paraId="48EDBE38" w14:textId="0A64638C" w:rsidR="0009047B" w:rsidRPr="00224087" w:rsidRDefault="0009047B" w:rsidP="0009047B">
      <w:pPr>
        <w:keepNext/>
        <w:jc w:val="both"/>
        <w:rPr>
          <w:b/>
        </w:rPr>
      </w:pPr>
      <w:r w:rsidRPr="00224087">
        <w:rPr>
          <w:b/>
        </w:rPr>
        <w:t xml:space="preserve">K bodu </w:t>
      </w:r>
      <w:r w:rsidR="003C0B85">
        <w:rPr>
          <w:b/>
        </w:rPr>
        <w:t>27</w:t>
      </w:r>
      <w:r w:rsidR="003C0B85" w:rsidRPr="00224087">
        <w:rPr>
          <w:b/>
        </w:rPr>
        <w:t xml:space="preserve"> </w:t>
      </w:r>
      <w:r w:rsidRPr="00224087">
        <w:rPr>
          <w:b/>
        </w:rPr>
        <w:t>[§ 80 ods. 8]</w:t>
      </w:r>
    </w:p>
    <w:p w14:paraId="47CB7357" w14:textId="16C67809" w:rsidR="00401440" w:rsidRPr="00224087" w:rsidRDefault="0009047B" w:rsidP="0009047B">
      <w:pPr>
        <w:jc w:val="both"/>
      </w:pPr>
      <w:r w:rsidRPr="00224087">
        <w:t>Ide o zmenu vyvolanú aplikačnou praxou, ktorou sa upravuje zodpovednosť správcu programu krytých dlhopisov a jeho zástupcu za súlad údajov zapísaných v registri krytých dlhopisov s</w:t>
      </w:r>
      <w:r w:rsidR="005222BA" w:rsidRPr="00224087">
        <w:t> </w:t>
      </w:r>
      <w:r w:rsidRPr="00224087">
        <w:t>týmto</w:t>
      </w:r>
      <w:r w:rsidR="005222BA" w:rsidRPr="00224087">
        <w:t xml:space="preserve"> </w:t>
      </w:r>
      <w:r w:rsidRPr="00224087">
        <w:t>zákonom.</w:t>
      </w:r>
    </w:p>
    <w:p w14:paraId="1A50910A" w14:textId="7F5723B7" w:rsidR="00631B29" w:rsidRPr="00224087" w:rsidRDefault="00631B29" w:rsidP="0009047B">
      <w:pPr>
        <w:jc w:val="both"/>
      </w:pPr>
    </w:p>
    <w:p w14:paraId="22447AAC" w14:textId="1AB3732A" w:rsidR="00631B29" w:rsidRPr="00224087" w:rsidRDefault="00631B29" w:rsidP="00631B29">
      <w:pPr>
        <w:keepNext/>
        <w:jc w:val="both"/>
        <w:rPr>
          <w:b/>
        </w:rPr>
      </w:pPr>
      <w:r w:rsidRPr="00224087">
        <w:rPr>
          <w:b/>
        </w:rPr>
        <w:t xml:space="preserve">K bodu </w:t>
      </w:r>
      <w:r w:rsidR="003C0B85">
        <w:rPr>
          <w:b/>
        </w:rPr>
        <w:t>28</w:t>
      </w:r>
      <w:r w:rsidR="003C0B85" w:rsidRPr="00224087">
        <w:rPr>
          <w:b/>
        </w:rPr>
        <w:t xml:space="preserve"> </w:t>
      </w:r>
      <w:r w:rsidRPr="00224087">
        <w:rPr>
          <w:b/>
        </w:rPr>
        <w:t>[§ 81 a 82]</w:t>
      </w:r>
    </w:p>
    <w:p w14:paraId="369DD101" w14:textId="53DF97BB" w:rsidR="00631B29" w:rsidRPr="00224087" w:rsidRDefault="00631B29" w:rsidP="00631B29">
      <w:pPr>
        <w:jc w:val="both"/>
        <w:rPr>
          <w:u w:val="single"/>
        </w:rPr>
      </w:pPr>
      <w:r w:rsidRPr="00224087">
        <w:rPr>
          <w:u w:val="single"/>
        </w:rPr>
        <w:t>K</w:t>
      </w:r>
      <w:r w:rsidR="003315AA" w:rsidRPr="00224087">
        <w:rPr>
          <w:u w:val="single"/>
        </w:rPr>
        <w:t xml:space="preserve"> novému </w:t>
      </w:r>
      <w:r w:rsidRPr="00224087">
        <w:rPr>
          <w:u w:val="single"/>
        </w:rPr>
        <w:t>§ 81</w:t>
      </w:r>
    </w:p>
    <w:p w14:paraId="4DDEF20E" w14:textId="0197567B" w:rsidR="00401440" w:rsidRPr="00224087" w:rsidRDefault="00631B29" w:rsidP="00631B29">
      <w:pPr>
        <w:jc w:val="both"/>
      </w:pPr>
      <w:r w:rsidRPr="00224087">
        <w:t>V</w:t>
      </w:r>
      <w:r w:rsidR="003315AA" w:rsidRPr="00224087">
        <w:t>kladá sa nový § 81, ktorým sa transponujú ustanovenia</w:t>
      </w:r>
      <w:r w:rsidR="006C59C0" w:rsidRPr="00224087">
        <w:t xml:space="preserve"> CBD</w:t>
      </w:r>
      <w:r w:rsidR="003315AA" w:rsidRPr="00224087">
        <w:t xml:space="preserve"> týkajúce sa dohľadu a s tým súvisiacej spolupráce.</w:t>
      </w:r>
    </w:p>
    <w:p w14:paraId="76E81597" w14:textId="122D43FA" w:rsidR="003315AA" w:rsidRPr="00224087" w:rsidRDefault="003315AA" w:rsidP="008C2D17">
      <w:pPr>
        <w:jc w:val="both"/>
      </w:pPr>
      <w:r w:rsidRPr="00224087">
        <w:t xml:space="preserve">V odseku 1 </w:t>
      </w:r>
      <w:r w:rsidR="008C2D17" w:rsidRPr="00224087">
        <w:t>sa ustanovuje, že vydávanie a správa krytého dlhopisu podlieha dohľadu Národnej banky Slovenska.</w:t>
      </w:r>
    </w:p>
    <w:p w14:paraId="23B7FF2B" w14:textId="1AC7BB35" w:rsidR="003315AA" w:rsidRPr="00224087" w:rsidRDefault="003315AA" w:rsidP="00631B29">
      <w:pPr>
        <w:jc w:val="both"/>
      </w:pPr>
    </w:p>
    <w:p w14:paraId="45B526FF" w14:textId="7B65A329" w:rsidR="001B5A53" w:rsidRPr="00224087" w:rsidRDefault="001B5A53" w:rsidP="00631B29">
      <w:pPr>
        <w:jc w:val="both"/>
      </w:pPr>
      <w:r w:rsidRPr="00224087">
        <w:t xml:space="preserve">V odseku </w:t>
      </w:r>
      <w:r w:rsidR="008C2D17" w:rsidRPr="00224087">
        <w:t xml:space="preserve">2 </w:t>
      </w:r>
      <w:r w:rsidRPr="00224087">
        <w:t>sa upravuje spolupráca, koordinácia a výmena informácií medzi Národnou bankou Slovenska a rezolučnou radou v prípade ak je nad bankou, ktorá je emitentom krytých dlhopisov, začaté a vedené rezolučné konanie.</w:t>
      </w:r>
    </w:p>
    <w:p w14:paraId="411D5F38" w14:textId="053163F8" w:rsidR="001B5A53" w:rsidRPr="00224087" w:rsidRDefault="001B5A53" w:rsidP="00631B29">
      <w:pPr>
        <w:jc w:val="both"/>
      </w:pPr>
      <w:r w:rsidRPr="00224087">
        <w:t xml:space="preserve">V odseku </w:t>
      </w:r>
      <w:r w:rsidR="008C2D17" w:rsidRPr="00224087">
        <w:t xml:space="preserve">3 </w:t>
      </w:r>
      <w:r w:rsidRPr="00224087">
        <w:t>sa upravuje spolupráca, výmena a poskytnutie informácií medzi Národnou bankou Slovenska a iným príslušným orgánom vykonávajúcim dohľad nad krytými dlhopismi v inom členskom štáte, Európskym orgánom dohľadu (Európsky orgán pre bankovníctvo)</w:t>
      </w:r>
      <w:r w:rsidR="00CF1488" w:rsidRPr="00224087">
        <w:t xml:space="preserve"> a</w:t>
      </w:r>
      <w:r w:rsidRPr="00224087">
        <w:t xml:space="preserve"> Európskym orgánom dohľadu (Európsky orgán pre cenné papiere a trhy)</w:t>
      </w:r>
      <w:r w:rsidR="00CF1488" w:rsidRPr="00224087">
        <w:t>.</w:t>
      </w:r>
    </w:p>
    <w:p w14:paraId="5E47858A" w14:textId="427FFB29" w:rsidR="008611A5" w:rsidRDefault="008611A5" w:rsidP="00631B29">
      <w:pPr>
        <w:jc w:val="both"/>
      </w:pPr>
      <w:r>
        <w:lastRenderedPageBreak/>
        <w:t>V odseku 4 i</w:t>
      </w:r>
      <w:r w:rsidRPr="008611A5">
        <w:t>de o doplnenie povinn</w:t>
      </w:r>
      <w:r>
        <w:t>osti banky, ktorá je emitentom krytých dlhopisov,</w:t>
      </w:r>
      <w:r w:rsidRPr="008611A5">
        <w:t xml:space="preserve"> predkladať Národnej banke </w:t>
      </w:r>
      <w:r>
        <w:t>Slovenska raz ročne informácie</w:t>
      </w:r>
      <w:r w:rsidRPr="008611A5">
        <w:t xml:space="preserve"> v zmysle minimálnej transpozície čl. 21 ods. 1 a 2 CBD.</w:t>
      </w:r>
    </w:p>
    <w:p w14:paraId="70937A7A" w14:textId="1131F2EE" w:rsidR="00B6045D" w:rsidRPr="00224087" w:rsidRDefault="008C2D17" w:rsidP="00631B29">
      <w:pPr>
        <w:jc w:val="both"/>
      </w:pPr>
      <w:r w:rsidRPr="00224087">
        <w:t xml:space="preserve">V odseku </w:t>
      </w:r>
      <w:r w:rsidR="008611A5">
        <w:t>5</w:t>
      </w:r>
      <w:r w:rsidR="008611A5" w:rsidRPr="00224087">
        <w:t xml:space="preserve"> </w:t>
      </w:r>
      <w:r w:rsidR="00B6045D" w:rsidRPr="00224087">
        <w:t>ide o transpozíciu čl. 21 ods. 3</w:t>
      </w:r>
      <w:r w:rsidR="006C59C0" w:rsidRPr="00224087">
        <w:t xml:space="preserve"> CBD</w:t>
      </w:r>
      <w:r w:rsidRPr="00224087">
        <w:t xml:space="preserve"> a ustanovuje sa povinnosť </w:t>
      </w:r>
      <w:r w:rsidR="008611A5">
        <w:t>banky</w:t>
      </w:r>
      <w:r w:rsidRPr="00224087">
        <w:t xml:space="preserve"> predložiť Národnej banke Slovenska informácie podľa </w:t>
      </w:r>
      <w:r w:rsidR="008611A5">
        <w:t>odseku 4</w:t>
      </w:r>
      <w:r w:rsidR="004055AA" w:rsidRPr="00224087">
        <w:t xml:space="preserve"> </w:t>
      </w:r>
      <w:r w:rsidRPr="00224087">
        <w:t>na jej vyžiadanie</w:t>
      </w:r>
      <w:r w:rsidR="008611A5">
        <w:t>, a to aj</w:t>
      </w:r>
      <w:r w:rsidRPr="00224087">
        <w:t xml:space="preserve"> pri riešení krízovej situácie banky, ktorá je emitentom krytých dlhopisov</w:t>
      </w:r>
      <w:r w:rsidR="006C59C0" w:rsidRPr="00224087">
        <w:t>,</w:t>
      </w:r>
      <w:r w:rsidRPr="00224087">
        <w:t xml:space="preserve"> alebo pri jej neschopnosti uhrádzať riadne a včas svoje záväzky</w:t>
      </w:r>
      <w:r w:rsidR="00C03656" w:rsidRPr="00224087">
        <w:t>.</w:t>
      </w:r>
      <w:r w:rsidR="00C03656" w:rsidRPr="00224087" w:rsidDel="00C03656">
        <w:t xml:space="preserve"> </w:t>
      </w:r>
    </w:p>
    <w:p w14:paraId="0A9C0794" w14:textId="71434F90" w:rsidR="00B6045D" w:rsidRPr="00224087" w:rsidRDefault="00B6045D" w:rsidP="00631B29">
      <w:pPr>
        <w:jc w:val="both"/>
      </w:pPr>
      <w:r w:rsidRPr="00224087">
        <w:t xml:space="preserve">V odsekoch </w:t>
      </w:r>
      <w:r w:rsidR="00B762B1">
        <w:t>6</w:t>
      </w:r>
      <w:r w:rsidR="00B762B1" w:rsidRPr="00224087">
        <w:t xml:space="preserve"> </w:t>
      </w:r>
      <w:r w:rsidRPr="00224087">
        <w:t xml:space="preserve">až </w:t>
      </w:r>
      <w:r w:rsidR="00B762B1">
        <w:t>8</w:t>
      </w:r>
      <w:r w:rsidR="00A9587D" w:rsidRPr="00224087">
        <w:t xml:space="preserve"> </w:t>
      </w:r>
      <w:r w:rsidRPr="00224087">
        <w:t xml:space="preserve">sa upravujú povinnosti Národnej banky Slovenska viesť </w:t>
      </w:r>
      <w:r w:rsidR="00B762B1">
        <w:t xml:space="preserve">a </w:t>
      </w:r>
      <w:r w:rsidR="00B762B1" w:rsidRPr="00B762B1">
        <w:t>zverejň</w:t>
      </w:r>
      <w:r w:rsidR="00B762B1">
        <w:t>ovať</w:t>
      </w:r>
      <w:r w:rsidR="00B762B1" w:rsidRPr="00B762B1">
        <w:t xml:space="preserve"> na svojom webovom sídle </w:t>
      </w:r>
      <w:r w:rsidRPr="00224087">
        <w:t>aktuálny zoznam bánk, ktorým bol udelený predchádzajúci súhlas podľa § 28 ods. 1 písm. f), zoznam krytých dlhopisov, ktoré môžu podľa § 67 ods. 2 písm. a) používať označenie „európsky krytý dlhopis“, a zoznam krytých dlhopisov, ktoré môžu podľa § 67 ods. 2 písm. b) používať označenie „európsky krytý dlhopis (prémiový)“. Národná banka</w:t>
      </w:r>
      <w:r w:rsidR="00C03656" w:rsidRPr="00224087">
        <w:t xml:space="preserve"> Slovenska</w:t>
      </w:r>
      <w:r w:rsidRPr="00224087">
        <w:t xml:space="preserve"> tieto zoznamy oznamuje Európskemu orgánu dohľadu (Európskemu orgánu pre bankovníctvo) každoročne</w:t>
      </w:r>
      <w:r w:rsidR="00F135FD" w:rsidRPr="00224087">
        <w:t>.</w:t>
      </w:r>
    </w:p>
    <w:p w14:paraId="323F1140" w14:textId="77777777" w:rsidR="00F135FD" w:rsidRPr="00224087" w:rsidRDefault="00F135FD" w:rsidP="00631B29">
      <w:pPr>
        <w:jc w:val="both"/>
      </w:pPr>
    </w:p>
    <w:p w14:paraId="6EBB6449" w14:textId="5AD220AD" w:rsidR="00F135FD" w:rsidRPr="00224087" w:rsidRDefault="00F135FD" w:rsidP="00F135FD">
      <w:pPr>
        <w:jc w:val="both"/>
        <w:rPr>
          <w:u w:val="single"/>
        </w:rPr>
      </w:pPr>
      <w:r w:rsidRPr="00224087">
        <w:rPr>
          <w:u w:val="single"/>
        </w:rPr>
        <w:t>K novému § 82</w:t>
      </w:r>
    </w:p>
    <w:p w14:paraId="3C2016BB" w14:textId="0DBD4CCF" w:rsidR="00F135FD" w:rsidRPr="00224087" w:rsidRDefault="00F135FD" w:rsidP="00F135FD">
      <w:pPr>
        <w:jc w:val="both"/>
      </w:pPr>
      <w:r w:rsidRPr="00224087">
        <w:t>Ide o presun pôvodných ustanovení § 67 ods. 8 až 13 za účelom zlepšenia prehľadnosti tejto časti zákona.</w:t>
      </w:r>
    </w:p>
    <w:p w14:paraId="46A6F2CC" w14:textId="3E503382" w:rsidR="0087200B" w:rsidRPr="00224087" w:rsidRDefault="0087200B" w:rsidP="00F135FD">
      <w:pPr>
        <w:jc w:val="both"/>
      </w:pPr>
      <w:r w:rsidRPr="00224087">
        <w:t xml:space="preserve">V odsekoch 7 až 9 sa upravuje možnosť </w:t>
      </w:r>
      <w:r w:rsidRPr="00DE33D4">
        <w:t xml:space="preserve">predĺženia </w:t>
      </w:r>
      <w:r w:rsidR="00A14D52" w:rsidRPr="00DE33D4">
        <w:t xml:space="preserve">lehoty </w:t>
      </w:r>
      <w:r w:rsidRPr="00DE33D4">
        <w:t>splatnosti záväzkov z programu</w:t>
      </w:r>
      <w:r w:rsidRPr="00224087">
        <w:t xml:space="preserve"> krytých dlhopisov pri začatí rezolučného konania voči banke, ktorá je emitentom krytých dlhopisov.</w:t>
      </w:r>
    </w:p>
    <w:p w14:paraId="3A29DE90" w14:textId="2A20D18C" w:rsidR="0087200B" w:rsidRPr="00224087" w:rsidRDefault="0087200B" w:rsidP="00F135FD">
      <w:pPr>
        <w:jc w:val="both"/>
      </w:pPr>
      <w:r w:rsidRPr="00224087">
        <w:t>V odseku 10 sa spresňuje, že bankou, ktorá je emitentom krytých dlhopisov, sa rozumie aj banka</w:t>
      </w:r>
      <w:r w:rsidR="00C03656" w:rsidRPr="00224087">
        <w:t>,</w:t>
      </w:r>
      <w:r w:rsidRPr="00224087">
        <w:t xml:space="preserve"> na ktorú bol program krytých dlhopisov inej banky prevedený.</w:t>
      </w:r>
    </w:p>
    <w:p w14:paraId="587DEBC7" w14:textId="77777777" w:rsidR="00631B29" w:rsidRPr="00224087" w:rsidRDefault="00631B29" w:rsidP="00631B29">
      <w:pPr>
        <w:jc w:val="both"/>
      </w:pPr>
    </w:p>
    <w:p w14:paraId="73CF7D50" w14:textId="73B4B6B4" w:rsidR="0004458C" w:rsidRPr="00224087" w:rsidRDefault="0004458C" w:rsidP="0004458C">
      <w:pPr>
        <w:keepNext/>
        <w:jc w:val="both"/>
        <w:rPr>
          <w:b/>
        </w:rPr>
      </w:pPr>
      <w:r w:rsidRPr="00224087">
        <w:rPr>
          <w:b/>
        </w:rPr>
        <w:t xml:space="preserve">K bodu </w:t>
      </w:r>
      <w:r w:rsidR="003C0B85">
        <w:rPr>
          <w:b/>
        </w:rPr>
        <w:t>29</w:t>
      </w:r>
      <w:r w:rsidR="003C0B85" w:rsidRPr="00224087">
        <w:rPr>
          <w:b/>
        </w:rPr>
        <w:t xml:space="preserve"> </w:t>
      </w:r>
      <w:r w:rsidRPr="00224087">
        <w:rPr>
          <w:b/>
        </w:rPr>
        <w:t>[§ 94 ods. 6]</w:t>
      </w:r>
    </w:p>
    <w:p w14:paraId="67660AD5" w14:textId="599802E6" w:rsidR="002850F5" w:rsidRPr="00224087" w:rsidRDefault="002850F5" w:rsidP="002850F5">
      <w:pPr>
        <w:jc w:val="both"/>
      </w:pPr>
      <w:r w:rsidRPr="00224087">
        <w:t>Navrhovaná zmena precizuje obsah splnomocňujúceho ustanovenie § 94 ods. 6 na vydanie opatrenia Národnou bankou Slovenska o aspekty elektronického podávania žiadostí prostredníctvom elektronického komunikačného systému Európskej centrálnej banky – IMAS Portal tak, aby boli dostatočným usmernením pri elektronickom podávaní žiadosti najmä, avšak nielen vo vzťahu k určeniu (i) informačného systému, cez ktorý sa žiadosti budú elektronicky podávať, (ii) druhu žiadostí, ktoré bude možno podať elektronicky a (iii) postupu pri podávaní žiadosti a jej príloh v elektronickej podobe.</w:t>
      </w:r>
    </w:p>
    <w:p w14:paraId="425E5CFD" w14:textId="77777777" w:rsidR="0004458C" w:rsidRPr="00224087" w:rsidRDefault="0004458C" w:rsidP="002850F5">
      <w:pPr>
        <w:jc w:val="both"/>
      </w:pPr>
    </w:p>
    <w:p w14:paraId="3BC92D4C" w14:textId="75642E03" w:rsidR="00A35C73" w:rsidRPr="00224087" w:rsidRDefault="00A35C73" w:rsidP="00A35C73">
      <w:pPr>
        <w:keepNext/>
        <w:jc w:val="both"/>
        <w:rPr>
          <w:b/>
        </w:rPr>
      </w:pPr>
      <w:r w:rsidRPr="00224087">
        <w:rPr>
          <w:b/>
        </w:rPr>
        <w:t xml:space="preserve">K bodu </w:t>
      </w:r>
      <w:r w:rsidR="003C0B85">
        <w:rPr>
          <w:b/>
        </w:rPr>
        <w:t>30</w:t>
      </w:r>
      <w:r w:rsidR="003C0B85" w:rsidRPr="00224087">
        <w:rPr>
          <w:b/>
        </w:rPr>
        <w:t xml:space="preserve"> </w:t>
      </w:r>
      <w:r w:rsidRPr="00224087">
        <w:rPr>
          <w:b/>
        </w:rPr>
        <w:t>[§ 114b ods. 3]</w:t>
      </w:r>
    </w:p>
    <w:p w14:paraId="79649589" w14:textId="2571F828" w:rsidR="00A35C73" w:rsidRPr="00224087" w:rsidRDefault="00A35C73" w:rsidP="00A35C73">
      <w:pPr>
        <w:jc w:val="both"/>
      </w:pPr>
      <w:r w:rsidRPr="00224087">
        <w:t xml:space="preserve">Upravuje sa splnomocňujúce ustanovenie na vydanie opatrenia </w:t>
      </w:r>
      <w:r w:rsidR="002F2368" w:rsidRPr="00224087">
        <w:t>Národnej banky Slovenska</w:t>
      </w:r>
      <w:r w:rsidRPr="00224087">
        <w:t xml:space="preserve"> podľa § 114b ods. 3.</w:t>
      </w:r>
    </w:p>
    <w:p w14:paraId="501EB2C7" w14:textId="77777777" w:rsidR="00A35C73" w:rsidRPr="00224087" w:rsidRDefault="00A35C73" w:rsidP="00A35C73">
      <w:pPr>
        <w:jc w:val="both"/>
      </w:pPr>
    </w:p>
    <w:p w14:paraId="3043EF22" w14:textId="1F463223" w:rsidR="009017D3" w:rsidRPr="00224087" w:rsidRDefault="009017D3" w:rsidP="009017D3">
      <w:pPr>
        <w:keepNext/>
        <w:jc w:val="both"/>
        <w:rPr>
          <w:b/>
        </w:rPr>
      </w:pPr>
      <w:r w:rsidRPr="00224087">
        <w:rPr>
          <w:b/>
        </w:rPr>
        <w:t xml:space="preserve">K bodu </w:t>
      </w:r>
      <w:r w:rsidR="003C0B85" w:rsidRPr="00224087">
        <w:rPr>
          <w:b/>
        </w:rPr>
        <w:t>3</w:t>
      </w:r>
      <w:r w:rsidR="003C0B85">
        <w:rPr>
          <w:b/>
        </w:rPr>
        <w:t>1</w:t>
      </w:r>
      <w:r w:rsidR="003C0B85" w:rsidRPr="00224087">
        <w:rPr>
          <w:b/>
        </w:rPr>
        <w:t xml:space="preserve"> </w:t>
      </w:r>
      <w:r w:rsidRPr="00224087">
        <w:rPr>
          <w:b/>
        </w:rPr>
        <w:t>[§ 122ye]</w:t>
      </w:r>
    </w:p>
    <w:p w14:paraId="36259146" w14:textId="7047E52B" w:rsidR="009A2200" w:rsidRPr="00224087" w:rsidRDefault="00420304" w:rsidP="00420304">
      <w:pPr>
        <w:tabs>
          <w:tab w:val="left" w:pos="1276"/>
        </w:tabs>
        <w:jc w:val="both"/>
      </w:pPr>
      <w:r w:rsidRPr="00224087">
        <w:t>V </w:t>
      </w:r>
      <w:r w:rsidR="00C03656" w:rsidRPr="00224087">
        <w:t xml:space="preserve">navrhovaných prechodných ustanoveniach </w:t>
      </w:r>
      <w:r w:rsidRPr="00224087">
        <w:t>§ 122y</w:t>
      </w:r>
      <w:r w:rsidR="009A2200" w:rsidRPr="00224087">
        <w:t>e</w:t>
      </w:r>
      <w:r w:rsidRPr="00224087">
        <w:t xml:space="preserve"> sa </w:t>
      </w:r>
      <w:r w:rsidR="009A2200" w:rsidRPr="00224087">
        <w:t>v odseku 1 v súlade s čl. 3</w:t>
      </w:r>
      <w:r w:rsidR="00FE3081" w:rsidRPr="00224087">
        <w:t>0</w:t>
      </w:r>
      <w:r w:rsidR="009A2200" w:rsidRPr="00224087">
        <w:t xml:space="preserve"> ods. 1 a 2 CBD </w:t>
      </w:r>
      <w:r w:rsidR="00CC69D9" w:rsidRPr="00224087">
        <w:t>špecifikujú podmienky pre navyšované emisie krytých dlhopisov, ktoré musia plniť taxatívne vymedzené požiadavky.</w:t>
      </w:r>
    </w:p>
    <w:p w14:paraId="393D8AAF" w14:textId="095B2C56" w:rsidR="00CC69D9" w:rsidRDefault="0064459B" w:rsidP="00420304">
      <w:pPr>
        <w:tabs>
          <w:tab w:val="left" w:pos="1276"/>
        </w:tabs>
        <w:jc w:val="both"/>
      </w:pPr>
      <w:r w:rsidRPr="00224087">
        <w:t>Vzhľadom na to, že 1. januára 2018 nadobudla účinnosť novela zákona o bankách, ktorá v zásade obsahovala požiadavky novej smernice CBD, je žiadúce, aby sa kryté dlhopisy vydané podľa tejto novely pred 8. júlom 2022</w:t>
      </w:r>
      <w:r w:rsidR="00C03656" w:rsidRPr="00224087">
        <w:t xml:space="preserve"> vrátane hypotekárnych záložných listov, ktoré boli v súlade s § 122ya ods. 3 preregistrované do registra krytých dlhopisov,</w:t>
      </w:r>
      <w:r w:rsidRPr="00224087">
        <w:t xml:space="preserve"> považovali za kryté dlhopisy podľa tohto zákona v znení </w:t>
      </w:r>
      <w:r w:rsidR="00C03656" w:rsidRPr="00224087">
        <w:t>účinnom od</w:t>
      </w:r>
      <w:r w:rsidRPr="00224087">
        <w:t xml:space="preserve"> 8. </w:t>
      </w:r>
      <w:r w:rsidR="00C03656" w:rsidRPr="00224087">
        <w:t xml:space="preserve">júla </w:t>
      </w:r>
      <w:r w:rsidRPr="00224087">
        <w:t xml:space="preserve">2022. </w:t>
      </w:r>
      <w:r w:rsidR="003C0B85">
        <w:t>Podľa odseku 2 sa kryté dlhopisy vydané pred 8. júlom 2022 vrátane hypotekárnych záložných listov, ktoré banka vydala pred 1. januárom 2018 a ktoré táto banka v súlade s týmto zákonom zapísala od 1. januára 2018 do 31. decembra 2018 do svojho registra krytých</w:t>
      </w:r>
      <w:r w:rsidR="00734CD8">
        <w:t xml:space="preserve"> dlhopisov</w:t>
      </w:r>
      <w:r w:rsidR="003C0B85">
        <w:t xml:space="preserve">, sa od </w:t>
      </w:r>
      <w:r w:rsidR="001D762D">
        <w:t xml:space="preserve">splnenia podmienok podľa zákona v znení účinnom od 8. júla 2022 považujú za kryté dlhopisy podľa predpisov </w:t>
      </w:r>
      <w:r w:rsidR="00A14D52">
        <w:t>v znení účinnom</w:t>
      </w:r>
      <w:r w:rsidR="001D762D">
        <w:t xml:space="preserve"> </w:t>
      </w:r>
      <w:r w:rsidR="00A14D52">
        <w:lastRenderedPageBreak/>
        <w:t>od</w:t>
      </w:r>
      <w:r w:rsidR="001D762D">
        <w:t xml:space="preserve"> 8. júl</w:t>
      </w:r>
      <w:r w:rsidR="00A14D52">
        <w:t>a</w:t>
      </w:r>
      <w:r w:rsidR="001D762D">
        <w:t xml:space="preserve"> 2022. P</w:t>
      </w:r>
      <w:r w:rsidR="003C0B85" w:rsidRPr="00037A4A">
        <w:t xml:space="preserve">ričom sa nemení a nie je dotknutý ich názov </w:t>
      </w:r>
      <w:r w:rsidR="001D762D">
        <w:t xml:space="preserve">„krytý dlhopis“ alebo </w:t>
      </w:r>
      <w:r w:rsidR="003C0B85" w:rsidRPr="00037A4A">
        <w:t>„hypotekárny záložný list“ a tiež sa nemenia a nie sú dotknuté práva a povinnosti spojené s</w:t>
      </w:r>
      <w:r w:rsidR="001D762D">
        <w:t xml:space="preserve"> týmto krytým dlhopisom alebo </w:t>
      </w:r>
      <w:r w:rsidR="003C0B85" w:rsidRPr="00037A4A">
        <w:t>hypotekárnym záložným listom; týmto však nie je dotknutá možnosť zmeny emisných podmienok podľa ustanovení odseku </w:t>
      </w:r>
      <w:r w:rsidR="001D762D">
        <w:t>3</w:t>
      </w:r>
      <w:r w:rsidR="003C0B85" w:rsidRPr="00037A4A">
        <w:t xml:space="preserve"> alebo podľa osobitného predpisu. Banka je bezodkladne povinná na svojom webovom sídle uverejniť údaje o každej emisii hypotekárnych záložných listov, ktoré sa považujú za kryté dlhopisy, vrátane uvedenia dňa, od ktorého sa považujú za kryté dlhopisy.</w:t>
      </w:r>
      <w:r w:rsidR="001D762D">
        <w:t xml:space="preserve"> </w:t>
      </w:r>
    </w:p>
    <w:p w14:paraId="46DC97C5" w14:textId="09C0866F" w:rsidR="004352BC" w:rsidRPr="00224087" w:rsidRDefault="00C027F9" w:rsidP="00420304">
      <w:pPr>
        <w:tabs>
          <w:tab w:val="left" w:pos="1276"/>
        </w:tabs>
        <w:jc w:val="both"/>
      </w:pPr>
      <w:r>
        <w:t>V odseku 3 sa upravuje postup banky</w:t>
      </w:r>
      <w:r w:rsidR="004352BC" w:rsidRPr="004352BC">
        <w:t>, ktorá je emitentom krytých dlhopisov,</w:t>
      </w:r>
      <w:r w:rsidR="004352BC">
        <w:t xml:space="preserve"> </w:t>
      </w:r>
      <w:r>
        <w:t>a</w:t>
      </w:r>
      <w:r w:rsidR="00060DB5">
        <w:t xml:space="preserve"> ktorá </w:t>
      </w:r>
      <w:r>
        <w:t xml:space="preserve">chce </w:t>
      </w:r>
      <w:r w:rsidR="004352BC">
        <w:t xml:space="preserve">zosúladiť </w:t>
      </w:r>
      <w:r w:rsidR="00B14CD5">
        <w:t>emisie krytých dlhopisov</w:t>
      </w:r>
      <w:r w:rsidR="004352BC" w:rsidRPr="004352BC">
        <w:t>, ktoré boli vydané pred 8. júlom 2022</w:t>
      </w:r>
      <w:r w:rsidR="00060DB5">
        <w:t>. Táto banka</w:t>
      </w:r>
      <w:r w:rsidR="00B14CD5">
        <w:t xml:space="preserve"> môže vo vzťahu k týmto</w:t>
      </w:r>
      <w:r w:rsidR="004352BC" w:rsidRPr="004352BC">
        <w:t xml:space="preserve"> krytým dlhopisom začať plniť požiadavky podľa tohto zákona v znení účinnom od 8. júla 2022 odo dňa, kedy dôjde k zmene programu týchto krytých dlhopisov podľa odseku 4 a</w:t>
      </w:r>
      <w:r w:rsidR="00900E97">
        <w:t xml:space="preserve"> ak je to potrebné aj </w:t>
      </w:r>
      <w:r w:rsidR="004352BC" w:rsidRPr="004352BC">
        <w:t>k zmene emisných podmienok týchto krytých dlhopisov v takom rozsahu, aby zodpovedali podmienkam pre kryté dlhopisy a program krytých dlhopisov podľa predpisov v znení ú</w:t>
      </w:r>
      <w:r w:rsidR="00B14CD5">
        <w:t>činných účinnom od 8. júla 2022.</w:t>
      </w:r>
      <w:r w:rsidR="004352BC" w:rsidRPr="004352BC">
        <w:t xml:space="preserve"> </w:t>
      </w:r>
      <w:r w:rsidR="00B14CD5">
        <w:t xml:space="preserve">Táto banka však aj po 7. júli 2022 </w:t>
      </w:r>
      <w:r w:rsidR="004352BC" w:rsidRPr="004352BC">
        <w:t>musí zabezpeč</w:t>
      </w:r>
      <w:r w:rsidR="00B14CD5">
        <w:t>iť aby tieto</w:t>
      </w:r>
      <w:r w:rsidR="004352BC" w:rsidRPr="004352BC">
        <w:t xml:space="preserve"> kryt</w:t>
      </w:r>
      <w:r w:rsidR="00B14CD5">
        <w:t>é</w:t>
      </w:r>
      <w:r w:rsidR="004352BC" w:rsidRPr="004352BC">
        <w:t xml:space="preserve"> dlhopis</w:t>
      </w:r>
      <w:r w:rsidR="00B14CD5">
        <w:t>y boli zabezpečené</w:t>
      </w:r>
      <w:r w:rsidR="004352BC" w:rsidRPr="004352BC">
        <w:t xml:space="preserve"> v súlade s § 70 a 71 ods. 1 a 2 v znení účinnom do 7. júla 2022</w:t>
      </w:r>
      <w:r w:rsidR="00577841">
        <w:t>. Zároveň</w:t>
      </w:r>
      <w:r w:rsidR="004352BC" w:rsidRPr="004352BC">
        <w:t xml:space="preserve"> musia zostať zachované alebo musia byť výhodnejšie práva aj rozsah práv majiteľov krytých dlhopisov vydaných pred 8. júlom 2022, pričom tieto práva vznikli pred 8. júlom 2022, a musia zostať zachované alebo musia byť výhodnejšie práva aj rozsah práv majiteľov hypotekárnych záložných l</w:t>
      </w:r>
      <w:r w:rsidR="00900E97">
        <w:t>istov, ktoré boli podľa § </w:t>
      </w:r>
      <w:r w:rsidR="004352BC" w:rsidRPr="004352BC">
        <w:t xml:space="preserve">122ya ods. 3 v období po 1. januári 2018 a do 31. decembra 2018 zapísané do registra krytých dlhopisov, pričom tieto práva vznikli pred 1. januárom 2018 a na takéto hypotekárne záložné listy nemožno ani pri zmene emisných podmienok uplatniť a nevzťahujú sa na ne ustanovenia § 82 ods. 3 až 9 v znení účinnom od 8. júla 2022, a taktiež nemožno uplatniť požiadavku na percentuálny pomer hodnoty založenej nehnuteľnosti a zabezpečovanej pohľadávky z istiny hypotekárneho úveru podľa § 71 ods. 2 v znení účinnom od 8. júla 2022 alebo podľa </w:t>
      </w:r>
      <w:r w:rsidR="00B439AD">
        <w:t>nariadenia CRR</w:t>
      </w:r>
      <w:r w:rsidR="004352BC" w:rsidRPr="004352BC">
        <w:t>, ak by tento percentuálny pomer bol nevýhodnejší pre zabezpečovanú pohľadávku ako percentuálny pomer uplatňovaný podľa predpisov v znení účinnom</w:t>
      </w:r>
      <w:r w:rsidR="00B14CD5">
        <w:t xml:space="preserve"> do 31. decembra 2017. </w:t>
      </w:r>
      <w:r w:rsidR="004352BC" w:rsidRPr="004352BC">
        <w:t>Zmenu emisných podmienok podľa prvej vety môže banka, ktorá je emitentom krytých dlhopisov, jednorazovo vykonať aj bez súhlasu ich majiteľov</w:t>
      </w:r>
      <w:r w:rsidR="00B439AD">
        <w:t>.</w:t>
      </w:r>
    </w:p>
    <w:p w14:paraId="7D05CF66" w14:textId="39F203BA" w:rsidR="0075506F" w:rsidRPr="00224087" w:rsidRDefault="0075506F" w:rsidP="00420304">
      <w:pPr>
        <w:tabs>
          <w:tab w:val="left" w:pos="1276"/>
        </w:tabs>
        <w:jc w:val="both"/>
      </w:pPr>
      <w:r w:rsidRPr="00224087">
        <w:t xml:space="preserve">Odsek </w:t>
      </w:r>
      <w:r w:rsidR="001D762D">
        <w:t>4</w:t>
      </w:r>
      <w:r w:rsidR="001D762D" w:rsidRPr="00224087">
        <w:t xml:space="preserve"> </w:t>
      </w:r>
      <w:r w:rsidRPr="00224087">
        <w:t xml:space="preserve">upravuje platnosť </w:t>
      </w:r>
      <w:r w:rsidR="00C03656" w:rsidRPr="00224087">
        <w:t xml:space="preserve">predchádzajúceho </w:t>
      </w:r>
      <w:r w:rsidRPr="00224087">
        <w:t xml:space="preserve">súhlasu </w:t>
      </w:r>
      <w:r w:rsidR="003F2EF2" w:rsidRPr="00224087">
        <w:t xml:space="preserve">podľa § 28 ods. 1 písm. f), aby programy krytých dlhopisov, ktoré už v súčasnosti existujú, </w:t>
      </w:r>
      <w:r w:rsidR="00C03656" w:rsidRPr="00224087">
        <w:t xml:space="preserve">nepotrebovali opätovné alebo </w:t>
      </w:r>
      <w:r w:rsidR="003F2EF2" w:rsidRPr="00224087">
        <w:t>dodatočné schválenie zo strany Národnej banky Slovenska.</w:t>
      </w:r>
      <w:r w:rsidR="001D762D">
        <w:t xml:space="preserve"> Takýto udelený predchádzajúci súhlas sa považuje po splnení podmienok ustanovených týmto zákonom v znení účinnom od 8. júla 2022 bankou, ktorá je emitentom krytých dlhopisov, za predchádzajúci súhlas na začatie a vykonávanie činností s prvým programom krytých dlhopisov podľa § 28 ods. 1 písm. f) v znení účinnom od 8. júla 2022 a to pre</w:t>
      </w:r>
      <w:r w:rsidR="006D1CF0">
        <w:t xml:space="preserve"> ktorýkoľvek</w:t>
      </w:r>
      <w:r w:rsidR="001D762D">
        <w:t xml:space="preserve"> druh aktíva uvedeného v § 70 ods. 1 písm. b). Takáto banka je povinná vopred informovať Národnú banku Slovenska o zmenách už existujúceho programu krytých dlhopisov a o zmenách podmienok, ktoré boli podkladom na udelenie predchádzajúceho súhlasu, aby tak preukázala splnenie podmienok ustanovených zákonom v znení účinnom od 8. júla 2022. </w:t>
      </w:r>
    </w:p>
    <w:p w14:paraId="317F48F7" w14:textId="5FF00CB1" w:rsidR="009A2200" w:rsidRPr="00224087" w:rsidRDefault="003F2EF2" w:rsidP="00420304">
      <w:pPr>
        <w:tabs>
          <w:tab w:val="left" w:pos="1276"/>
        </w:tabs>
        <w:jc w:val="both"/>
      </w:pPr>
      <w:r w:rsidRPr="00224087">
        <w:t xml:space="preserve">Odseky </w:t>
      </w:r>
      <w:r w:rsidR="001D762D">
        <w:t>5</w:t>
      </w:r>
      <w:r w:rsidR="001D762D" w:rsidRPr="00224087">
        <w:t xml:space="preserve"> </w:t>
      </w:r>
      <w:r w:rsidRPr="00224087">
        <w:t>a </w:t>
      </w:r>
      <w:r w:rsidR="001D762D">
        <w:t>6</w:t>
      </w:r>
      <w:r w:rsidR="001D762D" w:rsidRPr="00224087">
        <w:t xml:space="preserve"> </w:t>
      </w:r>
      <w:r w:rsidRPr="00224087">
        <w:t xml:space="preserve">upravujú postup pri prípadných zmenách emisných podmienok pri krytých dlhopisoch vydaných pred </w:t>
      </w:r>
      <w:r w:rsidR="00C03656" w:rsidRPr="00224087">
        <w:t>8</w:t>
      </w:r>
      <w:r w:rsidRPr="00224087">
        <w:t>. júlom 2022</w:t>
      </w:r>
      <w:r w:rsidR="00C03656" w:rsidRPr="00224087">
        <w:t xml:space="preserve"> vrátane hypotekárnych záložných listov, ktoré boli v súlade s § 122ya ods. 3 preregistrované do registra krytých dlhopisov</w:t>
      </w:r>
      <w:r w:rsidRPr="00224087">
        <w:t>.</w:t>
      </w:r>
      <w:r w:rsidR="00A85980" w:rsidRPr="00224087">
        <w:t xml:space="preserve"> </w:t>
      </w:r>
      <w:r w:rsidRPr="00224087">
        <w:t xml:space="preserve">Ak banka, ktorá je emitentom krytých dlhopisov, nebude postupovať podľa odsekov 2 až </w:t>
      </w:r>
      <w:r w:rsidR="001D762D">
        <w:t>6</w:t>
      </w:r>
      <w:r w:rsidRPr="00224087">
        <w:t xml:space="preserve">, upravuje sa v odseku </w:t>
      </w:r>
      <w:r w:rsidR="001D762D">
        <w:t>7</w:t>
      </w:r>
      <w:r w:rsidR="001D762D" w:rsidRPr="00224087">
        <w:t xml:space="preserve"> </w:t>
      </w:r>
      <w:r w:rsidRPr="00224087">
        <w:t>platnosť právnych vzťahov a nárokov vzniknutých z krytých dlhopisov</w:t>
      </w:r>
      <w:r w:rsidR="00E568B5" w:rsidRPr="00224087">
        <w:t xml:space="preserve"> </w:t>
      </w:r>
      <w:r w:rsidRPr="00224087">
        <w:t>vydaných pred účinnosťou tohto zákona</w:t>
      </w:r>
      <w:r w:rsidR="00E568B5" w:rsidRPr="00224087">
        <w:t xml:space="preserve"> vrátane hypotekárnych záložných listov, ktoré boli v súlade s § 122ya ods. 3 preregistrované do registra krytých dlhopisov</w:t>
      </w:r>
      <w:r w:rsidRPr="00224087">
        <w:t xml:space="preserve">. </w:t>
      </w:r>
    </w:p>
    <w:p w14:paraId="1500C91D" w14:textId="1F5C3A8E" w:rsidR="00A85980" w:rsidRPr="00224087" w:rsidRDefault="005922C9" w:rsidP="00A85980">
      <w:pPr>
        <w:tabs>
          <w:tab w:val="left" w:pos="1276"/>
        </w:tabs>
        <w:jc w:val="both"/>
      </w:pPr>
      <w:r w:rsidRPr="00224087">
        <w:t xml:space="preserve">V odsekoch </w:t>
      </w:r>
      <w:r w:rsidR="001D762D">
        <w:t>8</w:t>
      </w:r>
      <w:r w:rsidR="001D762D" w:rsidRPr="00224087">
        <w:t xml:space="preserve"> </w:t>
      </w:r>
      <w:r w:rsidRPr="00224087">
        <w:t xml:space="preserve">až </w:t>
      </w:r>
      <w:r w:rsidR="002A3D8E" w:rsidRPr="00224087">
        <w:t>1</w:t>
      </w:r>
      <w:r w:rsidR="002A3D8E">
        <w:t>3</w:t>
      </w:r>
      <w:r w:rsidR="002A3D8E" w:rsidRPr="00224087">
        <w:t xml:space="preserve"> </w:t>
      </w:r>
      <w:r w:rsidRPr="00224087">
        <w:t>sa v prípade hypotekárnych bánk, ktoré sa rozhodnú vydávať kryté dlhopisy</w:t>
      </w:r>
      <w:r w:rsidR="000C5196" w:rsidRPr="00224087">
        <w:t xml:space="preserve"> až po 8. júli 2022</w:t>
      </w:r>
      <w:r w:rsidRPr="00224087">
        <w:t>, upravuje postup prípadného preregistrovania hypotekárnych záložných listov</w:t>
      </w:r>
      <w:r w:rsidR="000C5196" w:rsidRPr="00224087">
        <w:t xml:space="preserve"> vydaných </w:t>
      </w:r>
      <w:r w:rsidR="00420304" w:rsidRPr="00224087">
        <w:t>pred 1. januárom 2018</w:t>
      </w:r>
      <w:r w:rsidR="00A85980" w:rsidRPr="00224087">
        <w:t xml:space="preserve"> spolu s príslušnými </w:t>
      </w:r>
      <w:r w:rsidR="00420304" w:rsidRPr="00224087">
        <w:t>hypotekárny</w:t>
      </w:r>
      <w:r w:rsidR="00A85980" w:rsidRPr="00224087">
        <w:t>mi</w:t>
      </w:r>
      <w:r w:rsidR="00420304" w:rsidRPr="00224087">
        <w:t xml:space="preserve"> </w:t>
      </w:r>
      <w:r w:rsidR="00A85980" w:rsidRPr="00224087">
        <w:t>úvermi poskytnutými</w:t>
      </w:r>
      <w:r w:rsidR="00420304" w:rsidRPr="00224087">
        <w:t xml:space="preserve"> na </w:t>
      </w:r>
      <w:r w:rsidR="00420304" w:rsidRPr="00224087">
        <w:lastRenderedPageBreak/>
        <w:t>základe zmlúv o hypotekárnom úvere uzavretých pred 1. januárom 2018</w:t>
      </w:r>
      <w:r w:rsidR="00A85980" w:rsidRPr="00224087">
        <w:t xml:space="preserve"> z registra hypoték do registra krytých dlhopisov počas obdobia od 8. júla 2022 do </w:t>
      </w:r>
      <w:r w:rsidR="00B157A7">
        <w:t>31. decembra</w:t>
      </w:r>
      <w:r w:rsidR="00A85980" w:rsidRPr="00224087">
        <w:t xml:space="preserve"> 2023 </w:t>
      </w:r>
      <w:r w:rsidR="00420304" w:rsidRPr="00224087">
        <w:t>za presne vymedzených podmienok</w:t>
      </w:r>
      <w:r w:rsidR="00A85980" w:rsidRPr="00224087">
        <w:t xml:space="preserve">. </w:t>
      </w:r>
      <w:r w:rsidR="00420304" w:rsidRPr="00224087">
        <w:t>Pri tomto preregistrovaní je banka povinná k tomu istému dňu vykonať výmaz z registra hypoték aj zápis do registra krytých dlhopisov.</w:t>
      </w:r>
      <w:r w:rsidR="00A85980" w:rsidRPr="00224087">
        <w:t xml:space="preserve"> Ide o totožný postup</w:t>
      </w:r>
      <w:r w:rsidR="006945C6" w:rsidRPr="00224087">
        <w:t>,</w:t>
      </w:r>
      <w:r w:rsidR="00A85980" w:rsidRPr="00224087">
        <w:t xml:space="preserve"> ako tomu bolo pri novele </w:t>
      </w:r>
      <w:r w:rsidR="00C03656" w:rsidRPr="00224087">
        <w:t xml:space="preserve">zákona o bankách – zákon č. </w:t>
      </w:r>
      <w:r w:rsidR="00A85980" w:rsidRPr="00224087">
        <w:t>279/2017 Z. z.</w:t>
      </w:r>
    </w:p>
    <w:p w14:paraId="0371D559" w14:textId="000717EB" w:rsidR="00420304" w:rsidRPr="00224087" w:rsidRDefault="00420304" w:rsidP="00420304">
      <w:pPr>
        <w:tabs>
          <w:tab w:val="left" w:pos="709"/>
        </w:tabs>
        <w:jc w:val="both"/>
      </w:pPr>
      <w:r w:rsidRPr="00224087">
        <w:t>Odsek</w:t>
      </w:r>
      <w:r w:rsidR="001761E8" w:rsidRPr="00224087">
        <w:t>om</w:t>
      </w:r>
      <w:r w:rsidRPr="00224087">
        <w:t xml:space="preserve"> </w:t>
      </w:r>
      <w:r w:rsidR="002A3D8E" w:rsidRPr="00224087">
        <w:t>1</w:t>
      </w:r>
      <w:r w:rsidR="002A3D8E">
        <w:t>4</w:t>
      </w:r>
      <w:r w:rsidR="002A3D8E" w:rsidRPr="00224087">
        <w:t xml:space="preserve"> </w:t>
      </w:r>
      <w:r w:rsidR="001761E8" w:rsidRPr="00224087">
        <w:t>sa</w:t>
      </w:r>
      <w:r w:rsidRPr="00224087">
        <w:t xml:space="preserve"> umožňuje, aby banka, ktorá mala k 31. decembru 2017 platné povolenie na vykonávanie hypotekárnych obchodov a ktorá je oprávnená vykonávať činnosti súvisiace s programom krytých dlhopisov, je po </w:t>
      </w:r>
      <w:r w:rsidR="00E766A8" w:rsidRPr="00224087">
        <w:t>8</w:t>
      </w:r>
      <w:r w:rsidRPr="00224087">
        <w:t>. </w:t>
      </w:r>
      <w:r w:rsidR="00E766A8" w:rsidRPr="00224087">
        <w:t>júli 2022</w:t>
      </w:r>
      <w:r w:rsidRPr="00224087">
        <w:t xml:space="preserve"> oprávnená na krytie hypotekárnych záložných listov použiť aj aktíva spĺňajúce podmienky na ich zaradenie do krycieho súboru pre program krytých dlhopisov podľa predpisov </w:t>
      </w:r>
      <w:r w:rsidR="00E568B5" w:rsidRPr="00224087">
        <w:t xml:space="preserve">v znení účinnom od </w:t>
      </w:r>
      <w:r w:rsidR="00E766A8" w:rsidRPr="00224087">
        <w:t xml:space="preserve">8. </w:t>
      </w:r>
      <w:r w:rsidR="00E568B5" w:rsidRPr="00224087">
        <w:t xml:space="preserve">júla </w:t>
      </w:r>
      <w:r w:rsidR="00E766A8" w:rsidRPr="00224087">
        <w:t>2022</w:t>
      </w:r>
      <w:r w:rsidRPr="00224087">
        <w:t xml:space="preserve">, pričom táto banka musí zabezpečiť, aby sa celkovo nezhoršil rozsah a úroveň krytia hypotekárnych záložných listov podľa podmienok vyžadovaných pre hypotekárne obchody podľa predpisov </w:t>
      </w:r>
      <w:r w:rsidR="00A14D52">
        <w:t xml:space="preserve">v znení účinnom </w:t>
      </w:r>
      <w:r w:rsidRPr="00224087">
        <w:t xml:space="preserve">do 31. decembra 2017. </w:t>
      </w:r>
    </w:p>
    <w:p w14:paraId="0EAC16B3" w14:textId="776F4E81" w:rsidR="00420304" w:rsidRPr="00224087" w:rsidRDefault="00420304" w:rsidP="00420304">
      <w:pPr>
        <w:tabs>
          <w:tab w:val="left" w:pos="709"/>
        </w:tabs>
        <w:jc w:val="both"/>
      </w:pPr>
      <w:r w:rsidRPr="00224087">
        <w:t xml:space="preserve">Podľa odseku </w:t>
      </w:r>
      <w:r w:rsidR="002A3D8E" w:rsidRPr="00224087">
        <w:t>1</w:t>
      </w:r>
      <w:r w:rsidR="002A3D8E">
        <w:t>5</w:t>
      </w:r>
      <w:r w:rsidR="002A3D8E" w:rsidRPr="00224087">
        <w:t xml:space="preserve"> </w:t>
      </w:r>
      <w:r w:rsidRPr="00224087">
        <w:t>môže banka, ktorá je emitentom krytých dlhopisov, úvery zabezpečené záložným právom k nehnuteľnosti poskytnuté pred 1. januárom 2018 a na ktoré sa nevzťahuje odsek </w:t>
      </w:r>
      <w:r w:rsidR="001761E8" w:rsidRPr="00224087">
        <w:t>1</w:t>
      </w:r>
      <w:r w:rsidRPr="00224087">
        <w:t xml:space="preserve">, zaradiť do krycieho súboru ako základné aktíva, ak spĺňajú podmienky ustanovené pre program krytých dlhopisov podľa predpisov </w:t>
      </w:r>
      <w:r w:rsidR="00FA7484" w:rsidRPr="00224087">
        <w:t>v znení účinnom od 8.</w:t>
      </w:r>
      <w:r w:rsidR="00E568B5" w:rsidRPr="00224087">
        <w:t>°</w:t>
      </w:r>
      <w:r w:rsidR="00FA7484" w:rsidRPr="00224087">
        <w:t xml:space="preserve">júla </w:t>
      </w:r>
      <w:r w:rsidRPr="00224087">
        <w:t>20</w:t>
      </w:r>
      <w:r w:rsidR="001761E8" w:rsidRPr="00224087">
        <w:t>22</w:t>
      </w:r>
      <w:r w:rsidRPr="00224087">
        <w:t xml:space="preserve">. </w:t>
      </w:r>
    </w:p>
    <w:p w14:paraId="7B67524B" w14:textId="77777777" w:rsidR="009017D3" w:rsidRPr="00224087" w:rsidRDefault="009017D3" w:rsidP="009017D3">
      <w:pPr>
        <w:jc w:val="both"/>
      </w:pPr>
    </w:p>
    <w:p w14:paraId="29890538" w14:textId="04239D82" w:rsidR="00A134E5" w:rsidRPr="00224087" w:rsidRDefault="00A134E5" w:rsidP="00A134E5">
      <w:pPr>
        <w:jc w:val="both"/>
        <w:rPr>
          <w:b/>
        </w:rPr>
      </w:pPr>
      <w:r w:rsidRPr="00224087">
        <w:rPr>
          <w:b/>
        </w:rPr>
        <w:t xml:space="preserve">K bodu </w:t>
      </w:r>
      <w:r w:rsidR="002A3D8E" w:rsidRPr="00224087">
        <w:rPr>
          <w:b/>
        </w:rPr>
        <w:t>3</w:t>
      </w:r>
      <w:r w:rsidR="002A3D8E">
        <w:rPr>
          <w:b/>
        </w:rPr>
        <w:t>2</w:t>
      </w:r>
      <w:r w:rsidR="002A3D8E" w:rsidRPr="00224087">
        <w:rPr>
          <w:b/>
        </w:rPr>
        <w:t xml:space="preserve"> </w:t>
      </w:r>
      <w:r w:rsidRPr="00224087">
        <w:rPr>
          <w:b/>
        </w:rPr>
        <w:t>[trinásty bod prílohy]</w:t>
      </w:r>
    </w:p>
    <w:p w14:paraId="089A03B9" w14:textId="587ACE66" w:rsidR="00A134E5" w:rsidRPr="00224087" w:rsidRDefault="00A134E5" w:rsidP="00A134E5">
      <w:pPr>
        <w:jc w:val="both"/>
      </w:pPr>
      <w:r w:rsidRPr="00224087">
        <w:t xml:space="preserve">Dopĺňa sa transpozičná príloha o smernicu, ktorá </w:t>
      </w:r>
      <w:r w:rsidR="004F4A1E" w:rsidRPr="00224087">
        <w:t xml:space="preserve">sa týmto návrhom zákona </w:t>
      </w:r>
      <w:r w:rsidRPr="00224087">
        <w:t>transpon</w:t>
      </w:r>
      <w:r w:rsidR="004F4A1E" w:rsidRPr="00224087">
        <w:t xml:space="preserve">uje do slovenského právneho poriadku. </w:t>
      </w:r>
    </w:p>
    <w:p w14:paraId="135A11EC" w14:textId="5BF795EF" w:rsidR="00FA02CB" w:rsidRPr="00224087" w:rsidRDefault="00FA02CB" w:rsidP="009017D3">
      <w:pPr>
        <w:jc w:val="both"/>
      </w:pPr>
    </w:p>
    <w:p w14:paraId="4EF9B091" w14:textId="77777777" w:rsidR="00FA02CB" w:rsidRPr="00224087" w:rsidRDefault="00FA02CB" w:rsidP="009017D3">
      <w:pPr>
        <w:jc w:val="both"/>
      </w:pPr>
    </w:p>
    <w:p w14:paraId="3752AAB6" w14:textId="4F51BAED" w:rsidR="002F2737" w:rsidRPr="00224087" w:rsidRDefault="002F2737" w:rsidP="009C364F">
      <w:pPr>
        <w:keepNext/>
        <w:jc w:val="center"/>
        <w:rPr>
          <w:b/>
        </w:rPr>
      </w:pPr>
      <w:r w:rsidRPr="00224087">
        <w:rPr>
          <w:b/>
        </w:rPr>
        <w:t xml:space="preserve">K čl. II – novela zákona </w:t>
      </w:r>
      <w:r w:rsidR="007E24E5" w:rsidRPr="00224087">
        <w:rPr>
          <w:b/>
        </w:rPr>
        <w:t>č. 530/1990 Zb. o dlhopisoch v znení neskorších predpisov</w:t>
      </w:r>
    </w:p>
    <w:p w14:paraId="0794F698" w14:textId="77777777" w:rsidR="007E24E5" w:rsidRPr="00224087" w:rsidRDefault="007E24E5" w:rsidP="009C364F">
      <w:pPr>
        <w:keepNext/>
        <w:jc w:val="both"/>
      </w:pPr>
    </w:p>
    <w:p w14:paraId="1A7B232A" w14:textId="5387A874" w:rsidR="00D66D60" w:rsidRPr="00D66D60" w:rsidRDefault="00D66D60" w:rsidP="00D66D60">
      <w:pPr>
        <w:jc w:val="both"/>
        <w:rPr>
          <w:b/>
        </w:rPr>
      </w:pPr>
      <w:r w:rsidRPr="000B6BC9">
        <w:rPr>
          <w:b/>
        </w:rPr>
        <w:t>K bodu 1 (§ 2</w:t>
      </w:r>
      <w:r>
        <w:rPr>
          <w:b/>
        </w:rPr>
        <w:t>0</w:t>
      </w:r>
      <w:r w:rsidRPr="000B6BC9">
        <w:rPr>
          <w:b/>
        </w:rPr>
        <w:t xml:space="preserve"> ods. 3)</w:t>
      </w:r>
    </w:p>
    <w:p w14:paraId="75894028" w14:textId="6CB4710D" w:rsidR="007E24E5" w:rsidRPr="00224087" w:rsidRDefault="007E24E5" w:rsidP="009C364F">
      <w:pPr>
        <w:keepNext/>
        <w:jc w:val="both"/>
      </w:pPr>
      <w:r w:rsidRPr="00224087">
        <w:t xml:space="preserve">V súvislosti s transpozíciou čl. 17 ods. 1 písm. b) CBD je potrebné novelizovať § 20b ods. 3 v tom zmysle, že emisné podmienky krytých dlhopisov musia obsahovať informácie o možnosti predĺženia splatnosti krytého dlhopisu podľa § 82 ods. 3 až </w:t>
      </w:r>
      <w:r w:rsidR="00FA7484" w:rsidRPr="00224087">
        <w:t xml:space="preserve">10 </w:t>
      </w:r>
      <w:r w:rsidRPr="00224087">
        <w:t>zákona o bankách.</w:t>
      </w:r>
    </w:p>
    <w:p w14:paraId="7DA15EA0" w14:textId="77777777" w:rsidR="007E24E5" w:rsidRPr="00224087" w:rsidRDefault="007E24E5" w:rsidP="009017D3">
      <w:pPr>
        <w:jc w:val="both"/>
      </w:pPr>
    </w:p>
    <w:p w14:paraId="71C529D7" w14:textId="72040D43" w:rsidR="00D66D60" w:rsidRPr="00D66D60" w:rsidRDefault="00D66D60" w:rsidP="00D66D60">
      <w:pPr>
        <w:jc w:val="both"/>
        <w:rPr>
          <w:b/>
        </w:rPr>
      </w:pPr>
      <w:r w:rsidRPr="00D66D60">
        <w:rPr>
          <w:b/>
        </w:rPr>
        <w:t>K bodu 2 (§ 2</w:t>
      </w:r>
      <w:r w:rsidR="006A3001">
        <w:rPr>
          <w:b/>
        </w:rPr>
        <w:t>5a</w:t>
      </w:r>
      <w:r w:rsidRPr="00D66D60">
        <w:rPr>
          <w:b/>
        </w:rPr>
        <w:t>)</w:t>
      </w:r>
    </w:p>
    <w:p w14:paraId="33E314EB" w14:textId="77777777" w:rsidR="00D66D60" w:rsidRDefault="00D66D60" w:rsidP="00D66D60">
      <w:pPr>
        <w:jc w:val="both"/>
      </w:pPr>
      <w:r>
        <w:t xml:space="preserve">Zavádza sa odkaz na transpozičnú prílohu. </w:t>
      </w:r>
    </w:p>
    <w:p w14:paraId="29A63FEF" w14:textId="77777777" w:rsidR="00D66D60" w:rsidRDefault="00D66D60" w:rsidP="00D66D60">
      <w:pPr>
        <w:jc w:val="both"/>
      </w:pPr>
    </w:p>
    <w:p w14:paraId="69EF6F04" w14:textId="77777777" w:rsidR="00D66D60" w:rsidRPr="00D66D60" w:rsidRDefault="00D66D60" w:rsidP="00D66D60">
      <w:pPr>
        <w:jc w:val="both"/>
        <w:rPr>
          <w:b/>
        </w:rPr>
      </w:pPr>
      <w:r w:rsidRPr="00D66D60">
        <w:rPr>
          <w:b/>
        </w:rPr>
        <w:t>K bodu 3 (Príloha)</w:t>
      </w:r>
    </w:p>
    <w:p w14:paraId="5EC6CD0F" w14:textId="2182D953" w:rsidR="00E44317" w:rsidRPr="00224087" w:rsidRDefault="00D66D60" w:rsidP="00D66D60">
      <w:pPr>
        <w:jc w:val="both"/>
      </w:pPr>
      <w:r>
        <w:t>Zavádza sa transpozičná príloha.</w:t>
      </w:r>
    </w:p>
    <w:p w14:paraId="75B84231" w14:textId="77777777" w:rsidR="00FA02CB" w:rsidRDefault="00FA02CB" w:rsidP="009017D3">
      <w:pPr>
        <w:jc w:val="both"/>
      </w:pPr>
    </w:p>
    <w:p w14:paraId="7E28C0F9" w14:textId="22D327B3" w:rsidR="002A3D8E" w:rsidRDefault="002A3D8E" w:rsidP="009017D3">
      <w:pPr>
        <w:jc w:val="both"/>
      </w:pPr>
    </w:p>
    <w:p w14:paraId="4E36AE8D" w14:textId="77777777" w:rsidR="002A3D8E" w:rsidRPr="00224087" w:rsidRDefault="002A3D8E" w:rsidP="009017D3">
      <w:pPr>
        <w:jc w:val="both"/>
      </w:pPr>
    </w:p>
    <w:p w14:paraId="4422567A" w14:textId="03C48E2D" w:rsidR="00C67409" w:rsidRDefault="00C67409" w:rsidP="00C67409">
      <w:pPr>
        <w:jc w:val="center"/>
        <w:rPr>
          <w:b/>
        </w:rPr>
      </w:pPr>
      <w:r w:rsidRPr="00224087">
        <w:rPr>
          <w:b/>
        </w:rPr>
        <w:t xml:space="preserve">K čl. III – novela </w:t>
      </w:r>
      <w:r w:rsidRPr="00224087">
        <w:rPr>
          <w:rStyle w:val="awspan"/>
          <w:b/>
          <w:color w:val="000000"/>
        </w:rPr>
        <w:t>zákona</w:t>
      </w:r>
      <w:r w:rsidRPr="00224087">
        <w:rPr>
          <w:rStyle w:val="awspan"/>
          <w:b/>
          <w:color w:val="000000"/>
          <w:spacing w:val="6"/>
        </w:rPr>
        <w:t xml:space="preserve"> </w:t>
      </w:r>
      <w:r w:rsidRPr="00224087">
        <w:rPr>
          <w:rStyle w:val="awspan"/>
          <w:b/>
          <w:color w:val="000000"/>
        </w:rPr>
        <w:t>Národnej</w:t>
      </w:r>
      <w:r w:rsidRPr="00224087">
        <w:rPr>
          <w:rStyle w:val="awspan"/>
          <w:b/>
          <w:color w:val="000000"/>
          <w:spacing w:val="6"/>
        </w:rPr>
        <w:t xml:space="preserve"> </w:t>
      </w:r>
      <w:r w:rsidRPr="00224087">
        <w:rPr>
          <w:rStyle w:val="awspan"/>
          <w:b/>
          <w:color w:val="000000"/>
        </w:rPr>
        <w:t>rady</w:t>
      </w:r>
      <w:r w:rsidRPr="00224087">
        <w:rPr>
          <w:rStyle w:val="awspan"/>
          <w:b/>
          <w:color w:val="000000"/>
          <w:spacing w:val="6"/>
        </w:rPr>
        <w:t xml:space="preserve"> </w:t>
      </w:r>
      <w:r w:rsidRPr="00224087">
        <w:rPr>
          <w:rStyle w:val="awspan"/>
          <w:b/>
          <w:color w:val="000000"/>
        </w:rPr>
        <w:t>Slovenskej</w:t>
      </w:r>
      <w:r w:rsidRPr="00224087">
        <w:rPr>
          <w:rStyle w:val="awspan"/>
          <w:b/>
          <w:color w:val="000000"/>
          <w:spacing w:val="6"/>
        </w:rPr>
        <w:t xml:space="preserve"> </w:t>
      </w:r>
      <w:r w:rsidRPr="00224087">
        <w:rPr>
          <w:rStyle w:val="awspan"/>
          <w:b/>
          <w:color w:val="000000"/>
        </w:rPr>
        <w:t>republiky</w:t>
      </w:r>
      <w:r w:rsidRPr="00224087">
        <w:rPr>
          <w:rStyle w:val="awspan"/>
          <w:b/>
          <w:color w:val="000000"/>
          <w:spacing w:val="6"/>
        </w:rPr>
        <w:t xml:space="preserve"> </w:t>
      </w:r>
      <w:r w:rsidRPr="00224087">
        <w:rPr>
          <w:rStyle w:val="awspan"/>
          <w:b/>
          <w:color w:val="000000"/>
        </w:rPr>
        <w:t>č.</w:t>
      </w:r>
      <w:r w:rsidRPr="00224087">
        <w:rPr>
          <w:rStyle w:val="awspan"/>
          <w:b/>
          <w:color w:val="000000"/>
          <w:spacing w:val="6"/>
        </w:rPr>
        <w:t xml:space="preserve"> </w:t>
      </w:r>
      <w:r w:rsidRPr="00224087">
        <w:rPr>
          <w:rStyle w:val="awspan"/>
          <w:b/>
          <w:color w:val="000000"/>
        </w:rPr>
        <w:t>118/1996</w:t>
      </w:r>
      <w:r w:rsidRPr="00224087">
        <w:rPr>
          <w:rStyle w:val="awspan"/>
          <w:b/>
          <w:color w:val="000000"/>
          <w:spacing w:val="6"/>
        </w:rPr>
        <w:t xml:space="preserve"> </w:t>
      </w:r>
      <w:r w:rsidRPr="00224087">
        <w:rPr>
          <w:rStyle w:val="awspan"/>
          <w:b/>
          <w:color w:val="000000"/>
        </w:rPr>
        <w:t>Z.</w:t>
      </w:r>
      <w:r w:rsidRPr="00224087">
        <w:rPr>
          <w:rStyle w:val="awspan"/>
          <w:b/>
          <w:color w:val="000000"/>
          <w:spacing w:val="6"/>
        </w:rPr>
        <w:t xml:space="preserve"> </w:t>
      </w:r>
      <w:r w:rsidRPr="00224087">
        <w:rPr>
          <w:rStyle w:val="awspan"/>
          <w:b/>
          <w:color w:val="000000"/>
        </w:rPr>
        <w:t>z.</w:t>
      </w:r>
      <w:r w:rsidRPr="00224087">
        <w:rPr>
          <w:rStyle w:val="awspan"/>
          <w:b/>
          <w:color w:val="000000"/>
          <w:spacing w:val="6"/>
        </w:rPr>
        <w:t xml:space="preserve"> </w:t>
      </w:r>
      <w:r w:rsidRPr="00224087">
        <w:rPr>
          <w:rStyle w:val="awspan"/>
          <w:b/>
          <w:color w:val="000000"/>
        </w:rPr>
        <w:t>o ochrane</w:t>
      </w:r>
      <w:r w:rsidRPr="00224087">
        <w:rPr>
          <w:rStyle w:val="awspan"/>
          <w:b/>
          <w:color w:val="000000"/>
          <w:spacing w:val="6"/>
        </w:rPr>
        <w:t xml:space="preserve"> </w:t>
      </w:r>
      <w:r w:rsidRPr="00224087">
        <w:rPr>
          <w:rStyle w:val="awspan"/>
          <w:b/>
          <w:color w:val="000000"/>
        </w:rPr>
        <w:t>vkladov</w:t>
      </w:r>
      <w:r w:rsidRPr="00224087">
        <w:rPr>
          <w:rStyle w:val="awspan"/>
          <w:b/>
          <w:color w:val="000000"/>
          <w:spacing w:val="6"/>
        </w:rPr>
        <w:t xml:space="preserve"> </w:t>
      </w:r>
      <w:r w:rsidRPr="00224087">
        <w:rPr>
          <w:rStyle w:val="awspan"/>
          <w:b/>
          <w:color w:val="000000"/>
        </w:rPr>
        <w:t>a o zmene a doplnení</w:t>
      </w:r>
      <w:r w:rsidRPr="00224087">
        <w:rPr>
          <w:rStyle w:val="awspan"/>
          <w:b/>
          <w:color w:val="000000"/>
          <w:spacing w:val="25"/>
        </w:rPr>
        <w:t xml:space="preserve"> </w:t>
      </w:r>
      <w:r w:rsidRPr="00224087">
        <w:rPr>
          <w:rStyle w:val="awspan"/>
          <w:b/>
          <w:color w:val="000000"/>
        </w:rPr>
        <w:t>niektorých</w:t>
      </w:r>
      <w:r w:rsidRPr="00224087">
        <w:rPr>
          <w:rStyle w:val="awspan"/>
          <w:b/>
          <w:color w:val="000000"/>
          <w:spacing w:val="25"/>
        </w:rPr>
        <w:t xml:space="preserve"> </w:t>
      </w:r>
      <w:r w:rsidRPr="00224087">
        <w:rPr>
          <w:rStyle w:val="awspan"/>
          <w:b/>
          <w:color w:val="000000"/>
        </w:rPr>
        <w:t>zákonov</w:t>
      </w:r>
      <w:r w:rsidRPr="00224087">
        <w:rPr>
          <w:rStyle w:val="awspan"/>
          <w:b/>
          <w:color w:val="000000"/>
          <w:spacing w:val="25"/>
        </w:rPr>
        <w:t xml:space="preserve"> </w:t>
      </w:r>
      <w:r w:rsidRPr="00224087">
        <w:rPr>
          <w:b/>
        </w:rPr>
        <w:t>v znení neskorších predpisov</w:t>
      </w:r>
    </w:p>
    <w:p w14:paraId="61A96233" w14:textId="77777777" w:rsidR="00F35DB7" w:rsidRPr="00224087" w:rsidRDefault="00F35DB7" w:rsidP="00C67409">
      <w:pPr>
        <w:jc w:val="center"/>
        <w:rPr>
          <w:b/>
        </w:rPr>
      </w:pPr>
    </w:p>
    <w:p w14:paraId="7E86525A" w14:textId="10D3CE0A" w:rsidR="00B879A9" w:rsidRPr="00224087" w:rsidRDefault="002530CB" w:rsidP="00B879A9">
      <w:pPr>
        <w:jc w:val="both"/>
        <w:rPr>
          <w:b/>
        </w:rPr>
      </w:pPr>
      <w:r w:rsidRPr="00224087">
        <w:rPr>
          <w:b/>
        </w:rPr>
        <w:t>K bodu 1</w:t>
      </w:r>
      <w:r w:rsidR="00B879A9">
        <w:rPr>
          <w:b/>
        </w:rPr>
        <w:t>, 2 a 4</w:t>
      </w:r>
      <w:r w:rsidR="00B879A9" w:rsidRPr="00224087">
        <w:rPr>
          <w:b/>
        </w:rPr>
        <w:t xml:space="preserve"> [§ </w:t>
      </w:r>
      <w:r w:rsidR="00B879A9">
        <w:rPr>
          <w:b/>
        </w:rPr>
        <w:t>6</w:t>
      </w:r>
      <w:r w:rsidR="00B879A9" w:rsidRPr="00224087">
        <w:rPr>
          <w:b/>
        </w:rPr>
        <w:t xml:space="preserve"> ods. </w:t>
      </w:r>
      <w:r w:rsidR="00B879A9">
        <w:rPr>
          <w:b/>
        </w:rPr>
        <w:t>10</w:t>
      </w:r>
      <w:r w:rsidR="00B82326">
        <w:rPr>
          <w:b/>
        </w:rPr>
        <w:t>, § 8 ods. 4 a § 10 ods. 2</w:t>
      </w:r>
      <w:r w:rsidR="00B879A9" w:rsidRPr="00224087">
        <w:rPr>
          <w:b/>
        </w:rPr>
        <w:t>]</w:t>
      </w:r>
    </w:p>
    <w:p w14:paraId="44CFC451" w14:textId="6AF9ABE6" w:rsidR="00B879A9" w:rsidRDefault="00B879A9" w:rsidP="00B879A9">
      <w:pPr>
        <w:jc w:val="both"/>
      </w:pPr>
      <w:r w:rsidRPr="00B879A9">
        <w:t xml:space="preserve">Pri príležitosti novelizácie tohto zákona sa navrhuje zapracovať túto legislatívno-technickú </w:t>
      </w:r>
      <w:r>
        <w:t>úpravu</w:t>
      </w:r>
      <w:r w:rsidRPr="00B879A9">
        <w:t>, ktorá je nevyhnutná na spresnenie odkazu na správny poriadok a na zjednotenie a zosúladenie legislatívno-technickej praxe s ostatnými právnymi predpismi. Touto úpravou sa tak prispeje k prehľadnosti a presnosti právneho poriadku.</w:t>
      </w:r>
    </w:p>
    <w:p w14:paraId="252CCD47" w14:textId="77777777" w:rsidR="00B879A9" w:rsidRPr="00224087" w:rsidRDefault="00B879A9" w:rsidP="00B879A9">
      <w:pPr>
        <w:jc w:val="both"/>
      </w:pPr>
    </w:p>
    <w:p w14:paraId="12A80731" w14:textId="14EED966" w:rsidR="002530CB" w:rsidRPr="00224087" w:rsidRDefault="002530CB" w:rsidP="00DE33D4">
      <w:pPr>
        <w:keepNext/>
        <w:jc w:val="both"/>
        <w:rPr>
          <w:b/>
        </w:rPr>
      </w:pPr>
      <w:r w:rsidRPr="00224087">
        <w:rPr>
          <w:b/>
        </w:rPr>
        <w:lastRenderedPageBreak/>
        <w:t xml:space="preserve">K bodu </w:t>
      </w:r>
      <w:r w:rsidR="00B879A9">
        <w:rPr>
          <w:b/>
        </w:rPr>
        <w:t>3</w:t>
      </w:r>
      <w:r w:rsidRPr="00224087">
        <w:rPr>
          <w:b/>
        </w:rPr>
        <w:t xml:space="preserve"> [§ 9 ods. 3]</w:t>
      </w:r>
    </w:p>
    <w:p w14:paraId="7E4E5FE5" w14:textId="1B7D97FE" w:rsidR="002530CB" w:rsidRPr="00224087" w:rsidRDefault="002530CB" w:rsidP="009017D3">
      <w:pPr>
        <w:jc w:val="both"/>
      </w:pPr>
      <w:r w:rsidRPr="00224087">
        <w:t xml:space="preserve">V súvislosti s hodnotením programov krytých dlhopisov ratingovými agentúrami je </w:t>
      </w:r>
      <w:r w:rsidR="004C5BB1" w:rsidRPr="00224087">
        <w:t xml:space="preserve">potrebné upraviť znenie § 9 ods. 3 tak, aby išlo o dôslednú transpozíciu čl. 7 ods. 5 smernice Európskeho parlamentu a Rady 2014/49/EÚ zo 16. apríla 2014 o systémoch ochrany vkladov. </w:t>
      </w:r>
    </w:p>
    <w:p w14:paraId="729E8F82" w14:textId="77777777" w:rsidR="00C67409" w:rsidRPr="00224087" w:rsidRDefault="00C67409" w:rsidP="009017D3">
      <w:pPr>
        <w:jc w:val="both"/>
      </w:pPr>
    </w:p>
    <w:p w14:paraId="6BF99CB0" w14:textId="2A16C817" w:rsidR="00243936" w:rsidRPr="00224087" w:rsidRDefault="00243936" w:rsidP="00243936">
      <w:pPr>
        <w:jc w:val="both"/>
        <w:rPr>
          <w:b/>
        </w:rPr>
      </w:pPr>
      <w:r w:rsidRPr="00224087">
        <w:rPr>
          <w:b/>
        </w:rPr>
        <w:t xml:space="preserve">K bodu </w:t>
      </w:r>
      <w:r w:rsidR="00B879A9">
        <w:rPr>
          <w:b/>
        </w:rPr>
        <w:t>5</w:t>
      </w:r>
      <w:r w:rsidR="00B879A9" w:rsidRPr="00224087">
        <w:rPr>
          <w:b/>
        </w:rPr>
        <w:t xml:space="preserve"> </w:t>
      </w:r>
      <w:r w:rsidRPr="00224087">
        <w:rPr>
          <w:b/>
        </w:rPr>
        <w:t>[§ 10 ods. 13]</w:t>
      </w:r>
    </w:p>
    <w:p w14:paraId="41E9F360" w14:textId="2B819601" w:rsidR="004C5BB1" w:rsidRPr="00224087" w:rsidRDefault="00243936" w:rsidP="009017D3">
      <w:pPr>
        <w:jc w:val="both"/>
      </w:pPr>
      <w:r w:rsidRPr="00224087">
        <w:t>Ide o dôslednú transpozíciu čl. 8 ods. 7 smernice 2014/49/ES týkajúceho sa jazyka, v ktorom Fond ochrany vkladov komunikuje s vkladateľom.</w:t>
      </w:r>
    </w:p>
    <w:p w14:paraId="6062998E" w14:textId="77777777" w:rsidR="004C5BB1" w:rsidRPr="00224087" w:rsidRDefault="004C5BB1" w:rsidP="009017D3">
      <w:pPr>
        <w:jc w:val="both"/>
      </w:pPr>
    </w:p>
    <w:p w14:paraId="25647E94" w14:textId="4706F05F" w:rsidR="00243936" w:rsidRPr="00224087" w:rsidRDefault="007C6E0D" w:rsidP="009017D3">
      <w:pPr>
        <w:jc w:val="both"/>
        <w:rPr>
          <w:b/>
        </w:rPr>
      </w:pPr>
      <w:r w:rsidRPr="00224087">
        <w:rPr>
          <w:b/>
        </w:rPr>
        <w:t xml:space="preserve">K bodu </w:t>
      </w:r>
      <w:r w:rsidR="00B879A9">
        <w:rPr>
          <w:b/>
        </w:rPr>
        <w:t>6</w:t>
      </w:r>
      <w:r w:rsidR="00B879A9" w:rsidRPr="00224087">
        <w:rPr>
          <w:b/>
        </w:rPr>
        <w:t xml:space="preserve"> </w:t>
      </w:r>
      <w:r w:rsidRPr="00224087">
        <w:rPr>
          <w:b/>
        </w:rPr>
        <w:t xml:space="preserve">[§ 12 ods. 4 písm. </w:t>
      </w:r>
      <w:r w:rsidR="00E44317" w:rsidRPr="00224087">
        <w:rPr>
          <w:b/>
        </w:rPr>
        <w:t>f</w:t>
      </w:r>
      <w:r w:rsidRPr="00224087">
        <w:rPr>
          <w:b/>
        </w:rPr>
        <w:t>)]</w:t>
      </w:r>
    </w:p>
    <w:p w14:paraId="1915E3A2" w14:textId="369BA146" w:rsidR="00243936" w:rsidRPr="00224087" w:rsidRDefault="00E44317" w:rsidP="009017D3">
      <w:pPr>
        <w:jc w:val="both"/>
      </w:pPr>
      <w:r w:rsidRPr="00224087">
        <w:t>Z dôvodu dôslednej transpozície čl. 15 ods. 3 a čl. 16 ods. 4 sa upravuje ustanovenie týkajúce sa jazyka, na ktorom sa banka alebo pobočka zahraničnej banky dohodla s vkladateľom a v ktorom mu poskytuje príslušné informácie o ochrane vkladov.</w:t>
      </w:r>
    </w:p>
    <w:p w14:paraId="443B79A5" w14:textId="77777777" w:rsidR="00A54CC7" w:rsidRPr="00224087" w:rsidRDefault="00A54CC7" w:rsidP="009017D3">
      <w:pPr>
        <w:jc w:val="both"/>
      </w:pPr>
    </w:p>
    <w:p w14:paraId="64F8C692" w14:textId="20A209C7" w:rsidR="00B879A9" w:rsidRPr="00224087" w:rsidRDefault="00B879A9" w:rsidP="00B879A9">
      <w:pPr>
        <w:jc w:val="both"/>
        <w:rPr>
          <w:b/>
        </w:rPr>
      </w:pPr>
      <w:r w:rsidRPr="00224087">
        <w:rPr>
          <w:b/>
        </w:rPr>
        <w:t xml:space="preserve">K bodu </w:t>
      </w:r>
      <w:r>
        <w:rPr>
          <w:b/>
        </w:rPr>
        <w:t>7</w:t>
      </w:r>
      <w:r w:rsidRPr="00224087">
        <w:rPr>
          <w:b/>
        </w:rPr>
        <w:t xml:space="preserve"> [</w:t>
      </w:r>
      <w:r w:rsidR="00B139A7">
        <w:rPr>
          <w:b/>
        </w:rPr>
        <w:t xml:space="preserve">prvý bod </w:t>
      </w:r>
      <w:r>
        <w:rPr>
          <w:b/>
        </w:rPr>
        <w:t>príloh</w:t>
      </w:r>
      <w:r w:rsidR="00B139A7">
        <w:rPr>
          <w:b/>
        </w:rPr>
        <w:t>y</w:t>
      </w:r>
      <w:r w:rsidRPr="00224087">
        <w:rPr>
          <w:b/>
        </w:rPr>
        <w:t>]</w:t>
      </w:r>
    </w:p>
    <w:p w14:paraId="7132FBE0" w14:textId="1D191663" w:rsidR="00FA7484" w:rsidRDefault="00B879A9" w:rsidP="009017D3">
      <w:pPr>
        <w:jc w:val="both"/>
      </w:pPr>
      <w:r>
        <w:t xml:space="preserve">V prílohe sa vypúšťa prvý bod, nakoľko </w:t>
      </w:r>
      <w:r w:rsidRPr="00B879A9">
        <w:t>smernica Európskeho parlamentu a Rady 94/19/ES z 30. mája 1994 o systémoch ochrany vkladov</w:t>
      </w:r>
      <w:r>
        <w:t xml:space="preserve"> už nie je účinná.</w:t>
      </w:r>
    </w:p>
    <w:p w14:paraId="74F3A3A2" w14:textId="0DBC54A7" w:rsidR="002A3D8E" w:rsidRDefault="002A3D8E" w:rsidP="009017D3">
      <w:pPr>
        <w:jc w:val="both"/>
      </w:pPr>
    </w:p>
    <w:p w14:paraId="52C29433" w14:textId="77777777" w:rsidR="002A3D8E" w:rsidRPr="00224087" w:rsidRDefault="002A3D8E" w:rsidP="009017D3">
      <w:pPr>
        <w:jc w:val="both"/>
      </w:pPr>
    </w:p>
    <w:p w14:paraId="7685B275" w14:textId="576489A4" w:rsidR="007B629B" w:rsidRPr="00224087" w:rsidRDefault="007B629B" w:rsidP="007B629B">
      <w:pPr>
        <w:jc w:val="center"/>
        <w:rPr>
          <w:b/>
        </w:rPr>
      </w:pPr>
      <w:r w:rsidRPr="00224087">
        <w:rPr>
          <w:b/>
        </w:rPr>
        <w:t xml:space="preserve">K čl. IV – novela </w:t>
      </w:r>
      <w:r w:rsidRPr="00224087">
        <w:rPr>
          <w:rStyle w:val="awspan"/>
          <w:b/>
          <w:color w:val="000000"/>
        </w:rPr>
        <w:t>zákona</w:t>
      </w:r>
      <w:r w:rsidRPr="00224087">
        <w:rPr>
          <w:rStyle w:val="awspan"/>
          <w:b/>
          <w:color w:val="000000"/>
          <w:spacing w:val="6"/>
        </w:rPr>
        <w:t xml:space="preserve"> </w:t>
      </w:r>
      <w:r w:rsidRPr="00224087">
        <w:rPr>
          <w:b/>
        </w:rPr>
        <w:t>č. 566/2001 Z. z. o cenných papieroch a investičných službách a o zmene a doplnení niektorých zákonov</w:t>
      </w:r>
    </w:p>
    <w:p w14:paraId="021C3568" w14:textId="77777777" w:rsidR="007B629B" w:rsidRPr="00224087" w:rsidRDefault="007B629B" w:rsidP="007B629B">
      <w:pPr>
        <w:jc w:val="both"/>
      </w:pPr>
    </w:p>
    <w:p w14:paraId="613FDFB4" w14:textId="77777777" w:rsidR="00461856" w:rsidRPr="00224087" w:rsidRDefault="00461856" w:rsidP="00461856">
      <w:pPr>
        <w:rPr>
          <w:b/>
        </w:rPr>
      </w:pPr>
      <w:r w:rsidRPr="00224087">
        <w:rPr>
          <w:b/>
        </w:rPr>
        <w:t>K bodu 1 [§ 56 ods. 13]</w:t>
      </w:r>
    </w:p>
    <w:p w14:paraId="6A75D6D4" w14:textId="77777777" w:rsidR="00461856" w:rsidRPr="00224087" w:rsidRDefault="00461856" w:rsidP="00461856">
      <w:pPr>
        <w:jc w:val="both"/>
      </w:pPr>
      <w:r w:rsidRPr="00224087">
        <w:t>Z dôvodu zabezpečenia právnej istoty sa navrhuje vypustenie s ohľadom na § 173zf ods. 2, ktorý ustanovuje, že podľa § 56 ods. 13 sa bude postupovať najneskôr do 31. decembra 2021.</w:t>
      </w:r>
    </w:p>
    <w:p w14:paraId="45BF6612" w14:textId="77777777" w:rsidR="00461856" w:rsidRPr="00224087" w:rsidRDefault="00461856" w:rsidP="00461856"/>
    <w:p w14:paraId="5AF48DA1" w14:textId="77777777" w:rsidR="00667F3E" w:rsidRDefault="00667F3E" w:rsidP="00667F3E">
      <w:r>
        <w:t>K bodu 2 [§ 120 ods. 2]</w:t>
      </w:r>
    </w:p>
    <w:p w14:paraId="72EA41DC" w14:textId="77777777" w:rsidR="00667F3E" w:rsidRDefault="00667F3E" w:rsidP="00667F3E">
      <w:pPr>
        <w:jc w:val="both"/>
      </w:pPr>
      <w:r>
        <w:t xml:space="preserve">Ide o spresnenie implementácie čl. 1 ods. 3 nariadenia </w:t>
      </w:r>
      <w:r w:rsidRPr="000B5765">
        <w:t>Európskeho parlamentu a Rady (EÚ) 2017/1129 zo 14. júna 2017 o prospekte, ktorý sa má uverejniť pri verejnej ponuke cenných papierov alebo ich prijatí na obchodovanie na regulovanom trhu, a o zrušení smernice 2003/71/ES</w:t>
      </w:r>
      <w:r>
        <w:t xml:space="preserve"> v nadväznosti na aplikačnú prax. </w:t>
      </w:r>
    </w:p>
    <w:p w14:paraId="2F861D70" w14:textId="77777777" w:rsidR="00667F3E" w:rsidRDefault="00667F3E" w:rsidP="00461856">
      <w:pPr>
        <w:rPr>
          <w:b/>
        </w:rPr>
      </w:pPr>
    </w:p>
    <w:p w14:paraId="5ABB9F52" w14:textId="667CA183" w:rsidR="00461856" w:rsidRPr="00224087" w:rsidRDefault="00461856" w:rsidP="00461856">
      <w:pPr>
        <w:rPr>
          <w:b/>
        </w:rPr>
      </w:pPr>
      <w:r w:rsidRPr="00224087">
        <w:rPr>
          <w:b/>
        </w:rPr>
        <w:t xml:space="preserve">K bodu </w:t>
      </w:r>
      <w:r w:rsidR="00667F3E">
        <w:rPr>
          <w:b/>
        </w:rPr>
        <w:t>3</w:t>
      </w:r>
      <w:r w:rsidR="00667F3E" w:rsidRPr="00224087">
        <w:rPr>
          <w:b/>
        </w:rPr>
        <w:t xml:space="preserve"> </w:t>
      </w:r>
      <w:r w:rsidRPr="00224087">
        <w:rPr>
          <w:b/>
        </w:rPr>
        <w:t>[§ 132t]</w:t>
      </w:r>
    </w:p>
    <w:p w14:paraId="6ADC045F" w14:textId="77777777" w:rsidR="00461856" w:rsidRPr="00224087" w:rsidRDefault="00461856" w:rsidP="00461856">
      <w:pPr>
        <w:jc w:val="both"/>
      </w:pPr>
      <w:r w:rsidRPr="00224087">
        <w:t>Navrhuje sa určenie zodpovedných osôb a určenie orgánu dohľadu v súlade s nariadením Európskeho parlamentu a Rady (EÚ) 2020/1503 zo 7. októbra 2020 o európskych poskytovateľoch služieb hromadného financovania pre podnikanie a o zmene nariadenia (EÚ) 2017/1129 a smernice (EÚ) 2019/1937 (ďalej len „nariadenie o poskytovateľoch služieb hromadného financovania“).</w:t>
      </w:r>
    </w:p>
    <w:p w14:paraId="15A0ACD2" w14:textId="77777777" w:rsidR="00461856" w:rsidRPr="00224087" w:rsidRDefault="00461856" w:rsidP="00461856">
      <w:pPr>
        <w:jc w:val="both"/>
      </w:pPr>
    </w:p>
    <w:p w14:paraId="5012B4F4" w14:textId="564D1EB7" w:rsidR="00461856" w:rsidRPr="00224087" w:rsidRDefault="00461856" w:rsidP="00461856">
      <w:pPr>
        <w:rPr>
          <w:b/>
        </w:rPr>
      </w:pPr>
      <w:r w:rsidRPr="00224087">
        <w:rPr>
          <w:b/>
        </w:rPr>
        <w:t xml:space="preserve">K bodu </w:t>
      </w:r>
      <w:r w:rsidR="00667F3E">
        <w:rPr>
          <w:b/>
        </w:rPr>
        <w:t>4</w:t>
      </w:r>
      <w:r w:rsidR="00667F3E" w:rsidRPr="00224087">
        <w:rPr>
          <w:b/>
        </w:rPr>
        <w:t xml:space="preserve"> </w:t>
      </w:r>
      <w:r w:rsidRPr="00224087">
        <w:rPr>
          <w:b/>
        </w:rPr>
        <w:t>[§ 135 ods. 1]</w:t>
      </w:r>
    </w:p>
    <w:p w14:paraId="78B4C51C" w14:textId="77777777" w:rsidR="00461856" w:rsidRPr="00224087" w:rsidRDefault="00461856" w:rsidP="00461856">
      <w:pPr>
        <w:jc w:val="both"/>
      </w:pPr>
      <w:r w:rsidRPr="00224087">
        <w:t xml:space="preserve">Navrhuje sa rozšíriť okruh dohliadaných subjektov o poskytovateľov služieb hromadného financovania. </w:t>
      </w:r>
    </w:p>
    <w:p w14:paraId="49FAC685" w14:textId="77777777" w:rsidR="00461856" w:rsidRPr="00224087" w:rsidRDefault="00461856" w:rsidP="00461856">
      <w:pPr>
        <w:jc w:val="both"/>
      </w:pPr>
    </w:p>
    <w:p w14:paraId="349EC631" w14:textId="27C21D5D" w:rsidR="00461856" w:rsidRPr="00224087" w:rsidRDefault="00461856" w:rsidP="00461856">
      <w:pPr>
        <w:rPr>
          <w:b/>
        </w:rPr>
      </w:pPr>
      <w:r w:rsidRPr="00224087">
        <w:rPr>
          <w:b/>
        </w:rPr>
        <w:t xml:space="preserve">K bodom </w:t>
      </w:r>
      <w:r w:rsidR="00667F3E">
        <w:rPr>
          <w:b/>
        </w:rPr>
        <w:t>5</w:t>
      </w:r>
      <w:r w:rsidR="00667F3E" w:rsidRPr="00224087">
        <w:rPr>
          <w:b/>
        </w:rPr>
        <w:t xml:space="preserve"> </w:t>
      </w:r>
      <w:r w:rsidRPr="00224087">
        <w:rPr>
          <w:b/>
        </w:rPr>
        <w:t xml:space="preserve">až </w:t>
      </w:r>
      <w:r w:rsidR="00667F3E">
        <w:rPr>
          <w:b/>
        </w:rPr>
        <w:t>7</w:t>
      </w:r>
      <w:r w:rsidRPr="00224087">
        <w:rPr>
          <w:b/>
        </w:rPr>
        <w:t>[pozn</w:t>
      </w:r>
      <w:r w:rsidR="002A3D8E">
        <w:rPr>
          <w:b/>
        </w:rPr>
        <w:t>ámky</w:t>
      </w:r>
      <w:r w:rsidRPr="00224087">
        <w:rPr>
          <w:b/>
        </w:rPr>
        <w:t xml:space="preserve"> pod čiarou</w:t>
      </w:r>
      <w:r w:rsidR="002A3D8E">
        <w:rPr>
          <w:b/>
        </w:rPr>
        <w:t xml:space="preserve"> </w:t>
      </w:r>
      <w:r w:rsidRPr="00224087">
        <w:rPr>
          <w:b/>
        </w:rPr>
        <w:t xml:space="preserve"> 110ja, 110m a 110n]</w:t>
      </w:r>
    </w:p>
    <w:p w14:paraId="4A261287" w14:textId="77777777" w:rsidR="00461856" w:rsidRPr="00224087" w:rsidRDefault="00461856" w:rsidP="00461856">
      <w:pPr>
        <w:jc w:val="both"/>
      </w:pPr>
      <w:r w:rsidRPr="00224087">
        <w:t xml:space="preserve">Legislatívno-technická zmena, rozšírenie poznámok pod čiarou o nariadenie o poskytovateľoch služieb hromadného financovania. </w:t>
      </w:r>
    </w:p>
    <w:p w14:paraId="4738EA31" w14:textId="77777777" w:rsidR="00E44317" w:rsidRDefault="00E44317" w:rsidP="009017D3">
      <w:pPr>
        <w:jc w:val="both"/>
      </w:pPr>
    </w:p>
    <w:p w14:paraId="31C7957A" w14:textId="19F5286B" w:rsidR="002A3D8E" w:rsidRDefault="002A3D8E" w:rsidP="009017D3">
      <w:pPr>
        <w:jc w:val="both"/>
      </w:pPr>
    </w:p>
    <w:p w14:paraId="546FB65F" w14:textId="0F08E822" w:rsidR="00181DFF" w:rsidRPr="00181DFF" w:rsidRDefault="00181DFF" w:rsidP="00DE33D4">
      <w:pPr>
        <w:keepNext/>
        <w:jc w:val="center"/>
        <w:rPr>
          <w:b/>
        </w:rPr>
      </w:pPr>
      <w:r w:rsidRPr="00181DFF">
        <w:rPr>
          <w:b/>
        </w:rPr>
        <w:lastRenderedPageBreak/>
        <w:t>K čl. V – novela zákona č. 461/2003 Z. z. o sociálnom poistení v znení neskorších predpisov</w:t>
      </w:r>
    </w:p>
    <w:p w14:paraId="3F953771" w14:textId="77777777" w:rsidR="00181DFF" w:rsidRDefault="00181DFF" w:rsidP="009017D3">
      <w:pPr>
        <w:jc w:val="both"/>
      </w:pPr>
    </w:p>
    <w:p w14:paraId="228AF8A4" w14:textId="44C80817" w:rsidR="000F55D6" w:rsidRDefault="00C91421" w:rsidP="009017D3">
      <w:pPr>
        <w:jc w:val="both"/>
      </w:pPr>
      <w:r w:rsidRPr="00C91421">
        <w:t>Cieľom návrhu novely zákona je umožniť efektívnu kontrolu prostredníctvom elektronickej komunikácie, vo veci overovania podmienok poskytnutia pomoci de minimis a štátnej pomoci pre podniky trpiace dopadmi pandémie ochorenia Covid-19. Vláda Slovenskej republiky v spolupráci s Ministerstvom financií SR a Ministerstvom hospodárstva SR počas pandémie vytvorila rozsiahly systém návratnej pomoci pre slovenských podnikateľov zaťažených dopadmi priebehu ochorenia Covid – 19. Táto pomoc, vo forme pomoci de minimis alebo štátnej pomoci, je primárne návratnou pomocou, ale obsahuje možný nenávratný prvok v podobe úrokovej dotácie alebo dotácie záručného poplatku. Tento nenávratný prvok závisí od dodržania podmienok zaručujúcich ochranu zamestnanosti, s cieľom zmierniť dopady pandémie nie len na podniky, ale aj na v nich zamestnaných občanov. Pre efektívnu kontrolu splnenia týchto podmienok sa navrhuje umožniť Sociálnej poisťovni poskytovať elektronicky bez súhlasu dotknutej osoby priamo bankám a pobočkám zahraničných bánk informácie o klientoch potrebné k overeniu kritérií k oprávnenému poskytnutiu štátnej alebo minimálnej pomoci. Cieľom úpravy je debyrokratizácia spôsobu overovania zamestnanosti a zamedzenie potreby fyzického kontaktu klienta banky so Sociálnou poisťovňou a bankou, čím sa odstráni administratívna záťaž na úrovni klientov bánk, na úrovni pobočiek Sociálnej poisťovne, ako aj na úrovni bánk samotných.</w:t>
      </w:r>
    </w:p>
    <w:p w14:paraId="4913DC3F" w14:textId="77777777" w:rsidR="002A3D8E" w:rsidRPr="00224087" w:rsidRDefault="002A3D8E" w:rsidP="009017D3">
      <w:pPr>
        <w:jc w:val="both"/>
      </w:pPr>
    </w:p>
    <w:p w14:paraId="6A49A9C6" w14:textId="13F34DD9" w:rsidR="009221A0" w:rsidRPr="00224087" w:rsidRDefault="009221A0" w:rsidP="009221A0">
      <w:pPr>
        <w:jc w:val="center"/>
        <w:rPr>
          <w:b/>
        </w:rPr>
      </w:pPr>
      <w:r w:rsidRPr="00224087">
        <w:rPr>
          <w:b/>
        </w:rPr>
        <w:t xml:space="preserve">K čl. </w:t>
      </w:r>
      <w:r w:rsidR="00F27766" w:rsidRPr="00224087">
        <w:rPr>
          <w:b/>
        </w:rPr>
        <w:t>V</w:t>
      </w:r>
      <w:r w:rsidR="00181DFF">
        <w:rPr>
          <w:b/>
        </w:rPr>
        <w:t>I</w:t>
      </w:r>
      <w:r w:rsidRPr="00224087">
        <w:rPr>
          <w:b/>
        </w:rPr>
        <w:t xml:space="preserve"> – novela </w:t>
      </w:r>
      <w:r w:rsidRPr="00224087">
        <w:rPr>
          <w:rStyle w:val="awspan"/>
          <w:b/>
          <w:color w:val="000000"/>
        </w:rPr>
        <w:t>zákona</w:t>
      </w:r>
      <w:r w:rsidRPr="00224087">
        <w:rPr>
          <w:rStyle w:val="awspan"/>
          <w:b/>
          <w:color w:val="000000"/>
          <w:spacing w:val="6"/>
        </w:rPr>
        <w:t xml:space="preserve"> </w:t>
      </w:r>
      <w:r w:rsidRPr="00224087">
        <w:rPr>
          <w:b/>
        </w:rPr>
        <w:t>č. 7/2005 Z. z. o konkurze a reštrukturalizácii a o zmene a doplnení niektorých zákonov v znení neskorších predpisov</w:t>
      </w:r>
    </w:p>
    <w:p w14:paraId="5F9F3D84" w14:textId="77777777" w:rsidR="009221A0" w:rsidRPr="00224087" w:rsidRDefault="009221A0" w:rsidP="009017D3">
      <w:pPr>
        <w:jc w:val="both"/>
      </w:pPr>
    </w:p>
    <w:p w14:paraId="0F49E791" w14:textId="44321745" w:rsidR="00962D94" w:rsidRPr="00224087" w:rsidRDefault="00962D94" w:rsidP="00962D94">
      <w:pPr>
        <w:jc w:val="both"/>
        <w:rPr>
          <w:b/>
        </w:rPr>
      </w:pPr>
      <w:r w:rsidRPr="00224087">
        <w:rPr>
          <w:b/>
        </w:rPr>
        <w:t>K bod</w:t>
      </w:r>
      <w:r w:rsidR="009F047D" w:rsidRPr="00224087">
        <w:rPr>
          <w:b/>
        </w:rPr>
        <w:t>om</w:t>
      </w:r>
      <w:r w:rsidRPr="00224087">
        <w:rPr>
          <w:b/>
        </w:rPr>
        <w:t xml:space="preserve"> 1</w:t>
      </w:r>
      <w:r w:rsidR="009F047D" w:rsidRPr="00224087">
        <w:rPr>
          <w:b/>
        </w:rPr>
        <w:t xml:space="preserve"> a 3</w:t>
      </w:r>
      <w:r w:rsidRPr="00224087">
        <w:rPr>
          <w:b/>
        </w:rPr>
        <w:t xml:space="preserve"> [Poznámk</w:t>
      </w:r>
      <w:r w:rsidR="009F047D" w:rsidRPr="00224087">
        <w:rPr>
          <w:b/>
        </w:rPr>
        <w:t>y</w:t>
      </w:r>
      <w:r w:rsidRPr="00224087">
        <w:rPr>
          <w:b/>
        </w:rPr>
        <w:t xml:space="preserve"> pod čiarou k odkaz</w:t>
      </w:r>
      <w:r w:rsidR="009F047D" w:rsidRPr="00224087">
        <w:rPr>
          <w:b/>
        </w:rPr>
        <w:t>om</w:t>
      </w:r>
      <w:r w:rsidRPr="00224087">
        <w:rPr>
          <w:b/>
        </w:rPr>
        <w:t xml:space="preserve"> 33</w:t>
      </w:r>
      <w:r w:rsidR="009F047D" w:rsidRPr="00224087">
        <w:rPr>
          <w:b/>
        </w:rPr>
        <w:t xml:space="preserve"> a 33d</w:t>
      </w:r>
      <w:r w:rsidRPr="00224087">
        <w:rPr>
          <w:b/>
        </w:rPr>
        <w:t>]</w:t>
      </w:r>
    </w:p>
    <w:p w14:paraId="23628953" w14:textId="6AB7CFBE" w:rsidR="00213F3D" w:rsidRPr="00224087" w:rsidRDefault="00962D94" w:rsidP="009017D3">
      <w:pPr>
        <w:jc w:val="both"/>
      </w:pPr>
      <w:r w:rsidRPr="00224087">
        <w:t xml:space="preserve">V súvislosti so zmenami </w:t>
      </w:r>
      <w:r w:rsidR="009F047D" w:rsidRPr="00224087">
        <w:t xml:space="preserve">ustanovení </w:t>
      </w:r>
      <w:r w:rsidRPr="00224087">
        <w:t xml:space="preserve">zákona </w:t>
      </w:r>
      <w:r w:rsidR="009F047D" w:rsidRPr="00224087">
        <w:t xml:space="preserve">č. 483/2001 Z. z. </w:t>
      </w:r>
      <w:r w:rsidRPr="00224087">
        <w:t>o</w:t>
      </w:r>
      <w:r w:rsidR="009F047D" w:rsidRPr="00224087">
        <w:t> </w:t>
      </w:r>
      <w:r w:rsidRPr="00224087">
        <w:t>bankách</w:t>
      </w:r>
      <w:r w:rsidR="009F047D" w:rsidRPr="00224087">
        <w:t>, ktoré súvisia</w:t>
      </w:r>
      <w:r w:rsidRPr="00224087">
        <w:t xml:space="preserve"> s vydávaním krytých dlhopisov</w:t>
      </w:r>
      <w:r w:rsidR="009F047D" w:rsidRPr="00224087">
        <w:t>,</w:t>
      </w:r>
      <w:r w:rsidRPr="00224087">
        <w:t xml:space="preserve"> je </w:t>
      </w:r>
      <w:r w:rsidR="009F047D" w:rsidRPr="00224087">
        <w:t>potrebné</w:t>
      </w:r>
      <w:r w:rsidRPr="00224087">
        <w:t xml:space="preserve"> aktualizovať poznámk</w:t>
      </w:r>
      <w:r w:rsidR="009F047D" w:rsidRPr="00224087">
        <w:t>y</w:t>
      </w:r>
      <w:r w:rsidRPr="00224087">
        <w:t xml:space="preserve"> pod čiarou k odkaz</w:t>
      </w:r>
      <w:r w:rsidR="009F047D" w:rsidRPr="00224087">
        <w:t>om</w:t>
      </w:r>
      <w:r w:rsidRPr="00224087">
        <w:t xml:space="preserve"> 33</w:t>
      </w:r>
      <w:r w:rsidR="009F047D" w:rsidRPr="00224087">
        <w:t xml:space="preserve"> a 33d</w:t>
      </w:r>
      <w:r w:rsidRPr="00224087">
        <w:t>.</w:t>
      </w:r>
    </w:p>
    <w:p w14:paraId="7A3C62EC" w14:textId="77777777" w:rsidR="00962D94" w:rsidRPr="00224087" w:rsidRDefault="00962D94" w:rsidP="009017D3">
      <w:pPr>
        <w:jc w:val="both"/>
      </w:pPr>
    </w:p>
    <w:p w14:paraId="700AC4BC" w14:textId="4C8C2852" w:rsidR="00962D94" w:rsidRPr="00224087" w:rsidRDefault="00962D94" w:rsidP="00962D94">
      <w:pPr>
        <w:jc w:val="both"/>
        <w:rPr>
          <w:b/>
        </w:rPr>
      </w:pPr>
      <w:r w:rsidRPr="00224087">
        <w:rPr>
          <w:b/>
        </w:rPr>
        <w:t>K bod</w:t>
      </w:r>
      <w:r w:rsidR="009F047D" w:rsidRPr="00224087">
        <w:rPr>
          <w:b/>
        </w:rPr>
        <w:t>om</w:t>
      </w:r>
      <w:r w:rsidRPr="00224087">
        <w:rPr>
          <w:b/>
        </w:rPr>
        <w:t xml:space="preserve"> 2</w:t>
      </w:r>
      <w:r w:rsidR="009F047D" w:rsidRPr="00224087">
        <w:rPr>
          <w:b/>
        </w:rPr>
        <w:t xml:space="preserve">, 4 až </w:t>
      </w:r>
      <w:r w:rsidR="008C5103" w:rsidRPr="00224087">
        <w:rPr>
          <w:b/>
        </w:rPr>
        <w:t>6</w:t>
      </w:r>
      <w:r w:rsidRPr="00224087">
        <w:rPr>
          <w:b/>
        </w:rPr>
        <w:t xml:space="preserve"> [§ 195a ods. </w:t>
      </w:r>
      <w:r w:rsidR="009F047D" w:rsidRPr="00224087">
        <w:rPr>
          <w:b/>
        </w:rPr>
        <w:t>1, 7</w:t>
      </w:r>
      <w:r w:rsidR="004F4C0C" w:rsidRPr="00224087">
        <w:rPr>
          <w:b/>
        </w:rPr>
        <w:t>, 9</w:t>
      </w:r>
      <w:r w:rsidR="009F047D" w:rsidRPr="00224087">
        <w:rPr>
          <w:b/>
        </w:rPr>
        <w:t xml:space="preserve"> a 10</w:t>
      </w:r>
      <w:r w:rsidRPr="00224087">
        <w:rPr>
          <w:b/>
        </w:rPr>
        <w:t>]</w:t>
      </w:r>
    </w:p>
    <w:p w14:paraId="03F2945E" w14:textId="63D4F5C0" w:rsidR="00667197" w:rsidRPr="00224087" w:rsidRDefault="009F047D" w:rsidP="009017D3">
      <w:pPr>
        <w:jc w:val="both"/>
      </w:pPr>
      <w:r w:rsidRPr="00224087">
        <w:t>Z dôvodu plnej transpozície CBD je potrebné novelizovať príslušné ustanovenia v § 195a, ktoré</w:t>
      </w:r>
      <w:r w:rsidR="00AF0B70" w:rsidRPr="00224087">
        <w:t xml:space="preserve"> upravujú postup zaobchádzania s oddelenou podstatou zabezpečených veriteľov, ktorými sú majitelia krytých dlhopisov</w:t>
      </w:r>
      <w:r w:rsidR="00FA7484" w:rsidRPr="00224087">
        <w:t>,</w:t>
      </w:r>
      <w:r w:rsidR="00AF0B70" w:rsidRPr="00224087">
        <w:t xml:space="preserve"> v rámci konkurzu banky, ktorá je emitentom krytých dlhopisov. </w:t>
      </w:r>
      <w:r w:rsidR="00667197" w:rsidRPr="00224087">
        <w:t>Prvou zmenou je, že v</w:t>
      </w:r>
      <w:r w:rsidR="00AF0B70" w:rsidRPr="00224087">
        <w:t xml:space="preserve"> súlade s čl. 4 CBD sa medzi zabezpečených veriteľov zaradia aj protistrany zo zabezpečovacích derivátov, </w:t>
      </w:r>
      <w:r w:rsidR="00667197" w:rsidRPr="00224087">
        <w:rPr>
          <w:bCs/>
        </w:rPr>
        <w:t xml:space="preserve">ktorých účelom je riadenie a zmiernenie menového rizika alebo úrokového rizika spojeného s vydanými krytými dlhopismi a ktoré sú súčasťou krycieho súboru. Ďalšie úpravy súvisia s rozšírením okruhu základných aktív krycieho súboru, </w:t>
      </w:r>
      <w:r w:rsidR="00FA7484" w:rsidRPr="00224087">
        <w:rPr>
          <w:bCs/>
        </w:rPr>
        <w:t xml:space="preserve">ktoré </w:t>
      </w:r>
      <w:r w:rsidR="00667197" w:rsidRPr="00224087">
        <w:rPr>
          <w:bCs/>
        </w:rPr>
        <w:t xml:space="preserve">v prípade konkurzu banky, ktorá je emitentom krytých dlhopisov, budú tvoriť oddelenú podstatu zabezpečených veriteľov. </w:t>
      </w:r>
      <w:r w:rsidR="004F4C0C" w:rsidRPr="00224087">
        <w:rPr>
          <w:bCs/>
        </w:rPr>
        <w:t>Oddelená podstata zabezpečených veriteľov sa tvorí samostatne za každý príslušný program krytých dlhopisov tak</w:t>
      </w:r>
      <w:r w:rsidR="00FA7484" w:rsidRPr="00224087">
        <w:rPr>
          <w:bCs/>
        </w:rPr>
        <w:t>,</w:t>
      </w:r>
      <w:r w:rsidR="004F4C0C" w:rsidRPr="00224087">
        <w:rPr>
          <w:bCs/>
        </w:rPr>
        <w:t xml:space="preserve"> aby nedošlo k miešaniu zabezpečených veriteľov z jednotlivých programov krytých dlhopisov.</w:t>
      </w:r>
    </w:p>
    <w:p w14:paraId="0C328B88" w14:textId="77777777" w:rsidR="00667197" w:rsidRPr="00224087" w:rsidRDefault="00667197" w:rsidP="009017D3">
      <w:pPr>
        <w:jc w:val="both"/>
      </w:pPr>
    </w:p>
    <w:p w14:paraId="3C91B022" w14:textId="7BE4C094" w:rsidR="00696A37" w:rsidRPr="00224087" w:rsidRDefault="00696A37" w:rsidP="00696A37">
      <w:pPr>
        <w:jc w:val="both"/>
        <w:rPr>
          <w:b/>
        </w:rPr>
      </w:pPr>
      <w:r w:rsidRPr="00224087">
        <w:rPr>
          <w:b/>
        </w:rPr>
        <w:t xml:space="preserve">K bodu </w:t>
      </w:r>
      <w:r w:rsidR="008C5103" w:rsidRPr="00224087">
        <w:rPr>
          <w:b/>
        </w:rPr>
        <w:t xml:space="preserve">7 </w:t>
      </w:r>
      <w:r w:rsidRPr="00224087">
        <w:rPr>
          <w:b/>
        </w:rPr>
        <w:t>[ôsmy bod prílohy]</w:t>
      </w:r>
    </w:p>
    <w:p w14:paraId="3C1EEBC8" w14:textId="2042FD2E" w:rsidR="00696A37" w:rsidRPr="00224087" w:rsidRDefault="00696A37" w:rsidP="00696A37">
      <w:pPr>
        <w:jc w:val="both"/>
      </w:pPr>
      <w:r w:rsidRPr="00224087">
        <w:t xml:space="preserve">Dopĺňa sa transpozičná príloha o smernicu </w:t>
      </w:r>
      <w:r w:rsidR="008E34F3" w:rsidRPr="00224087">
        <w:t>CBD</w:t>
      </w:r>
      <w:r w:rsidRPr="00224087">
        <w:t>.</w:t>
      </w:r>
    </w:p>
    <w:p w14:paraId="18251CCF" w14:textId="77777777" w:rsidR="00696A37" w:rsidRDefault="00696A37" w:rsidP="009017D3">
      <w:pPr>
        <w:jc w:val="both"/>
      </w:pPr>
    </w:p>
    <w:p w14:paraId="0B7DFCF5" w14:textId="77777777" w:rsidR="002A3D8E" w:rsidRDefault="002A3D8E" w:rsidP="009017D3">
      <w:pPr>
        <w:jc w:val="both"/>
      </w:pPr>
    </w:p>
    <w:p w14:paraId="12B92A6F" w14:textId="4C6D73CD" w:rsidR="00DE33D4" w:rsidRDefault="00DE33D4" w:rsidP="009017D3">
      <w:pPr>
        <w:jc w:val="both"/>
      </w:pPr>
    </w:p>
    <w:p w14:paraId="72E1685C" w14:textId="77777777" w:rsidR="00DE33D4" w:rsidRPr="00224087" w:rsidRDefault="00DE33D4" w:rsidP="009017D3">
      <w:pPr>
        <w:jc w:val="both"/>
      </w:pPr>
    </w:p>
    <w:p w14:paraId="0DBF3932" w14:textId="52006A5E" w:rsidR="00C04B9C" w:rsidRDefault="00293371" w:rsidP="00DE33D4">
      <w:pPr>
        <w:keepNext/>
        <w:jc w:val="both"/>
        <w:rPr>
          <w:b/>
        </w:rPr>
      </w:pPr>
      <w:r w:rsidRPr="00224087">
        <w:rPr>
          <w:b/>
        </w:rPr>
        <w:lastRenderedPageBreak/>
        <w:t>K čl. VI</w:t>
      </w:r>
      <w:r w:rsidR="00181DFF">
        <w:rPr>
          <w:b/>
        </w:rPr>
        <w:t>I</w:t>
      </w:r>
      <w:r w:rsidRPr="00224087">
        <w:rPr>
          <w:b/>
        </w:rPr>
        <w:t xml:space="preserve"> – novela zákona č. </w:t>
      </w:r>
      <w:r w:rsidRPr="00293371">
        <w:rPr>
          <w:b/>
        </w:rPr>
        <w:t>492/2009 o platobných službách a o zmene a doplnení niektorých zákonov</w:t>
      </w:r>
    </w:p>
    <w:p w14:paraId="6DC4AE8F" w14:textId="77777777" w:rsidR="00293371" w:rsidRDefault="00293371" w:rsidP="00293371">
      <w:pPr>
        <w:rPr>
          <w:b/>
        </w:rPr>
      </w:pPr>
    </w:p>
    <w:p w14:paraId="655EA88A" w14:textId="27BBCD8B" w:rsidR="00293371" w:rsidRPr="00224087" w:rsidRDefault="00293371" w:rsidP="00DE33D4">
      <w:pPr>
        <w:keepNext/>
        <w:rPr>
          <w:b/>
        </w:rPr>
      </w:pPr>
      <w:r w:rsidRPr="00224087">
        <w:rPr>
          <w:b/>
        </w:rPr>
        <w:t xml:space="preserve">K bodu </w:t>
      </w:r>
      <w:r>
        <w:rPr>
          <w:b/>
        </w:rPr>
        <w:t>1</w:t>
      </w:r>
      <w:r w:rsidRPr="00224087">
        <w:rPr>
          <w:b/>
        </w:rPr>
        <w:t xml:space="preserve"> </w:t>
      </w:r>
      <w:r w:rsidR="005D31ED" w:rsidRPr="00224087">
        <w:rPr>
          <w:b/>
        </w:rPr>
        <w:t>[</w:t>
      </w:r>
      <w:r w:rsidRPr="00224087">
        <w:rPr>
          <w:b/>
        </w:rPr>
        <w:t xml:space="preserve">§ </w:t>
      </w:r>
      <w:r>
        <w:rPr>
          <w:b/>
        </w:rPr>
        <w:t>2</w:t>
      </w:r>
      <w:r w:rsidRPr="00224087">
        <w:rPr>
          <w:b/>
        </w:rPr>
        <w:t xml:space="preserve"> ods. </w:t>
      </w:r>
      <w:r>
        <w:rPr>
          <w:b/>
        </w:rPr>
        <w:t>4</w:t>
      </w:r>
      <w:r w:rsidR="005D31ED" w:rsidRPr="00224087">
        <w:rPr>
          <w:b/>
        </w:rPr>
        <w:t>]</w:t>
      </w:r>
    </w:p>
    <w:p w14:paraId="7A48A013" w14:textId="1CBDA51E" w:rsidR="00293371" w:rsidRDefault="00293371" w:rsidP="009017D3">
      <w:pPr>
        <w:jc w:val="both"/>
      </w:pPr>
      <w:r w:rsidRPr="00293371">
        <w:t xml:space="preserve">Navrhovanou zmenou sa spresňuje ustanovenie § 2 ods. 4 s čl. 4 bodom 8 smernice Európskeho parlamentu a Rady (EÚ) 2015/2366 z 25. novembra 2015 o platobných službách na vnútornom trhu, ktorou sa menia smernice 2002/65/ES, 2009/110/ES a </w:t>
      </w:r>
      <w:r>
        <w:t>2013/36/EÚ a nariadenie (EÚ) č. </w:t>
      </w:r>
      <w:r w:rsidRPr="00293371">
        <w:t>1093/2010 a ktorou sa zrušuje smernica 2007/64/ES a zároveň sa odstraňuje duplicita nakoľko poskytovateľ platobnej iniciačnej služby je súčasne aj poskytovateľom platobných služieb.</w:t>
      </w:r>
    </w:p>
    <w:p w14:paraId="31ED90F9" w14:textId="77777777" w:rsidR="00293371" w:rsidRPr="00224087" w:rsidRDefault="00293371" w:rsidP="009017D3">
      <w:pPr>
        <w:jc w:val="both"/>
      </w:pPr>
    </w:p>
    <w:p w14:paraId="3A32928C" w14:textId="3F05C1CC" w:rsidR="00293371" w:rsidRPr="00224087" w:rsidRDefault="00293371" w:rsidP="00293371">
      <w:pPr>
        <w:rPr>
          <w:b/>
        </w:rPr>
      </w:pPr>
      <w:r w:rsidRPr="00224087">
        <w:rPr>
          <w:b/>
        </w:rPr>
        <w:t xml:space="preserve">K bodu </w:t>
      </w:r>
      <w:r>
        <w:rPr>
          <w:b/>
        </w:rPr>
        <w:t>2</w:t>
      </w:r>
      <w:r w:rsidRPr="00224087">
        <w:rPr>
          <w:b/>
        </w:rPr>
        <w:t xml:space="preserve"> </w:t>
      </w:r>
      <w:r w:rsidR="005D31ED" w:rsidRPr="00224087">
        <w:rPr>
          <w:b/>
        </w:rPr>
        <w:t>[</w:t>
      </w:r>
      <w:r w:rsidRPr="00224087">
        <w:rPr>
          <w:b/>
        </w:rPr>
        <w:t xml:space="preserve">§ </w:t>
      </w:r>
      <w:r>
        <w:rPr>
          <w:b/>
        </w:rPr>
        <w:t>2</w:t>
      </w:r>
      <w:r w:rsidRPr="00224087">
        <w:rPr>
          <w:b/>
        </w:rPr>
        <w:t xml:space="preserve"> ods. </w:t>
      </w:r>
      <w:r>
        <w:rPr>
          <w:b/>
        </w:rPr>
        <w:t>8</w:t>
      </w:r>
      <w:r w:rsidR="005D31ED" w:rsidRPr="00224087">
        <w:rPr>
          <w:b/>
        </w:rPr>
        <w:t>]</w:t>
      </w:r>
    </w:p>
    <w:p w14:paraId="01FAEC9D" w14:textId="0610454C" w:rsidR="00293371" w:rsidRDefault="00293371" w:rsidP="00293371">
      <w:pPr>
        <w:jc w:val="both"/>
      </w:pPr>
      <w:r w:rsidRPr="00293371">
        <w:t xml:space="preserve">Súčasné znenie platobnej služby poukazovania peňazí umožňuje vykonanie tejto platobnej služby výlučne hotovostným spôsobom (vloženie a vyplatenie finančných prostriedkov v hotovosti). Z aplikačnej praxe vyplynulo, že takýto spôsob vykonávania poukazovania peňazí nezohľadňuje aktuálny inovatívny vývoj v oblasti poskytovania platobných služieb, ktorý túto platobnú službu umožňuje vykonávať aj bezhotovostným spôsobom. Navrhovanou zmenou sa ustanovenie § 2 ods. 4 detailnejším spôsobom zosúlaďuje s čl. 4 bod 22 smernice Európskeho parlamentu a Rady (EÚ) 2015/2366 z 25. novembra 2015 o platobných službách na vnútornom trhu, ktorou sa menia smernice 2002/65/ES, 2009/110/ES a </w:t>
      </w:r>
      <w:r>
        <w:t>2013/36/EÚ a nariadenie (EÚ) č. </w:t>
      </w:r>
      <w:r w:rsidRPr="00293371">
        <w:t xml:space="preserve">1093/2010 a ktorou sa </w:t>
      </w:r>
      <w:r>
        <w:t>zrušuje sme</w:t>
      </w:r>
      <w:r w:rsidR="00E7263C">
        <w:t>rnica 2007/64/ES.</w:t>
      </w:r>
    </w:p>
    <w:p w14:paraId="62076023" w14:textId="77777777" w:rsidR="00293371" w:rsidRDefault="00293371" w:rsidP="00293371">
      <w:pPr>
        <w:jc w:val="both"/>
      </w:pPr>
    </w:p>
    <w:p w14:paraId="3F672913" w14:textId="269E1B28" w:rsidR="00293371" w:rsidRPr="00224087" w:rsidRDefault="00293371" w:rsidP="00293371">
      <w:pPr>
        <w:rPr>
          <w:b/>
        </w:rPr>
      </w:pPr>
      <w:r w:rsidRPr="00224087">
        <w:rPr>
          <w:b/>
        </w:rPr>
        <w:t xml:space="preserve">K bodu </w:t>
      </w:r>
      <w:r>
        <w:rPr>
          <w:b/>
        </w:rPr>
        <w:t>3</w:t>
      </w:r>
      <w:r w:rsidRPr="00224087">
        <w:rPr>
          <w:b/>
        </w:rPr>
        <w:t xml:space="preserve"> </w:t>
      </w:r>
      <w:r w:rsidR="005D31ED" w:rsidRPr="00224087">
        <w:rPr>
          <w:b/>
        </w:rPr>
        <w:t>[</w:t>
      </w:r>
      <w:r w:rsidRPr="00224087">
        <w:rPr>
          <w:b/>
        </w:rPr>
        <w:t xml:space="preserve">§ </w:t>
      </w:r>
      <w:r>
        <w:rPr>
          <w:b/>
        </w:rPr>
        <w:t>64</w:t>
      </w:r>
      <w:r w:rsidRPr="00224087">
        <w:rPr>
          <w:b/>
        </w:rPr>
        <w:t xml:space="preserve"> ods. </w:t>
      </w:r>
      <w:r>
        <w:rPr>
          <w:b/>
        </w:rPr>
        <w:t>4 písm. x)</w:t>
      </w:r>
      <w:r w:rsidR="005D31ED" w:rsidRPr="00224087">
        <w:rPr>
          <w:b/>
        </w:rPr>
        <w:t>]</w:t>
      </w:r>
    </w:p>
    <w:p w14:paraId="4049824A" w14:textId="525C4EFE" w:rsidR="00293371" w:rsidRDefault="00293371" w:rsidP="00293371">
      <w:pPr>
        <w:jc w:val="both"/>
        <w:rPr>
          <w:b/>
        </w:rPr>
      </w:pPr>
      <w:r w:rsidRPr="00293371">
        <w:t>Uvedená zmena vyplýva z aplikačnej praxe, pojem audit nie je vnímaný ako audit, ako ho poznáme z bežnej praxe napríklad vo význame vnútornej ko</w:t>
      </w:r>
      <w:r>
        <w:t>ntroly alebo v zmysle zákona č. </w:t>
      </w:r>
      <w:r w:rsidRPr="00293371">
        <w:t>423/2015 Z. z. o štatutárnom audite a o zmene a doplnení zákona č. 431/2002 Z. z. o účtovníctve v znení neskorších predpisov, ale ide o pojem, ktorý je vo význame revízie nastaveného kontrolného mechanizmu na účely zabezpečenia nastavených opatrení podľa § 64 ods. 4 písm. g), k), m) a q) zákona. 4. V § 85 ods. 6 sa slová „písm. a), d) a f)“ nahrádzajú slovami „písm. a), c) až f)“. 5. V § 85 ods. 8 sa slová „písm. a), d) a e)“ nahrádzajú slovami „písm. a), c) až e)“. Odôvodnenie: V úprave § 85 ods. 6 a 8 ide o legislatívno-technickú zmenu, ktorou sa zosúlaďuje udeľovanie predchádzajúcich súhlasov pre inštitúciu elektronických peňazí podľa § 85 s udeľovaním predchádzajúceho súladu pre platobnú inštitúciu podľa § 66 zákona. Doterajšie čl. VI až VIII návrhu zákona je potrebné prečíslovať na čl. VII až IX návrhu zákona.</w:t>
      </w:r>
    </w:p>
    <w:p w14:paraId="01281BB0" w14:textId="77777777" w:rsidR="00FA02CB" w:rsidRPr="00224087" w:rsidRDefault="00FA02CB" w:rsidP="009017D3">
      <w:pPr>
        <w:jc w:val="both"/>
      </w:pPr>
    </w:p>
    <w:p w14:paraId="05A51312" w14:textId="10B1DF2B" w:rsidR="00213F3D" w:rsidRPr="00224087" w:rsidRDefault="00213F3D" w:rsidP="009C364F">
      <w:pPr>
        <w:keepNext/>
        <w:jc w:val="center"/>
        <w:rPr>
          <w:b/>
        </w:rPr>
      </w:pPr>
      <w:r w:rsidRPr="00224087">
        <w:rPr>
          <w:b/>
        </w:rPr>
        <w:t>K čl. V</w:t>
      </w:r>
      <w:r w:rsidR="007B629B" w:rsidRPr="00224087">
        <w:rPr>
          <w:b/>
        </w:rPr>
        <w:t>I</w:t>
      </w:r>
      <w:r w:rsidR="00181DFF">
        <w:rPr>
          <w:b/>
        </w:rPr>
        <w:t>I</w:t>
      </w:r>
      <w:r w:rsidR="00293371">
        <w:rPr>
          <w:b/>
        </w:rPr>
        <w:t>I</w:t>
      </w:r>
      <w:r w:rsidRPr="00224087">
        <w:rPr>
          <w:b/>
        </w:rPr>
        <w:t xml:space="preserve"> – novela zákona č. 203/2011 Z. z. o kolektívnom investovaní v znení neskorších predpisov</w:t>
      </w:r>
    </w:p>
    <w:p w14:paraId="515E64E0" w14:textId="77777777" w:rsidR="00213F3D" w:rsidRPr="00224087" w:rsidRDefault="00213F3D" w:rsidP="009C364F">
      <w:pPr>
        <w:keepNext/>
        <w:jc w:val="both"/>
      </w:pPr>
    </w:p>
    <w:p w14:paraId="199B29F1" w14:textId="044B7943" w:rsidR="00DF4E88" w:rsidRPr="00224087" w:rsidRDefault="00DF4E88" w:rsidP="00DF4E88">
      <w:pPr>
        <w:rPr>
          <w:b/>
        </w:rPr>
      </w:pPr>
      <w:r w:rsidRPr="00224087">
        <w:rPr>
          <w:b/>
        </w:rPr>
        <w:t>K bod</w:t>
      </w:r>
      <w:r>
        <w:rPr>
          <w:b/>
        </w:rPr>
        <w:t>u</w:t>
      </w:r>
      <w:r w:rsidRPr="00224087">
        <w:rPr>
          <w:b/>
        </w:rPr>
        <w:t xml:space="preserve"> 1 [§ 2 ods. 1 až 4</w:t>
      </w:r>
      <w:r>
        <w:rPr>
          <w:b/>
        </w:rPr>
        <w:t xml:space="preserve">, </w:t>
      </w:r>
      <w:r w:rsidRPr="00224087">
        <w:rPr>
          <w:b/>
        </w:rPr>
        <w:t>§ 3 písm. a), c) a d), § 4 ods. 2 písm. b), § 4 ods. 6, § 26c ods. 2 a § 209 ods. 1]</w:t>
      </w:r>
    </w:p>
    <w:p w14:paraId="70A4D38C" w14:textId="77777777" w:rsidR="00DF4E88" w:rsidRPr="00224087" w:rsidRDefault="00DF4E88" w:rsidP="00DF4E88">
      <w:pPr>
        <w:jc w:val="both"/>
      </w:pPr>
      <w:r w:rsidRPr="00224087">
        <w:t xml:space="preserve">Upresňuje sa definícia kolektívneho investovania, ktorá má zahŕňať všetky formy kapitálu, nielen peňažné prostriedky. Navrhnutá definícia reflektuje na spôsob tvorby kapitálu aj prostredníctvom nepeňažných hodnôt, ktoré sú však peniazmi oceniteľné.        </w:t>
      </w:r>
    </w:p>
    <w:p w14:paraId="7E548942" w14:textId="77777777" w:rsidR="00DF4E88" w:rsidRPr="00224087" w:rsidRDefault="00DF4E88" w:rsidP="00DF4E88">
      <w:pPr>
        <w:rPr>
          <w:b/>
        </w:rPr>
      </w:pPr>
    </w:p>
    <w:p w14:paraId="0C229C4B" w14:textId="33867CE7" w:rsidR="00DF4E88" w:rsidRPr="00224087" w:rsidRDefault="00DF4E88" w:rsidP="00DF4E88">
      <w:pPr>
        <w:rPr>
          <w:b/>
        </w:rPr>
      </w:pPr>
      <w:r w:rsidRPr="00224087">
        <w:rPr>
          <w:b/>
        </w:rPr>
        <w:t xml:space="preserve">K bodu </w:t>
      </w:r>
      <w:r>
        <w:rPr>
          <w:b/>
        </w:rPr>
        <w:t>2</w:t>
      </w:r>
      <w:r w:rsidRPr="00224087">
        <w:rPr>
          <w:b/>
        </w:rPr>
        <w:t xml:space="preserve"> [§ 13 ods. 12]</w:t>
      </w:r>
    </w:p>
    <w:p w14:paraId="26D2B1B4" w14:textId="77777777" w:rsidR="00DF4E88" w:rsidRPr="00224087" w:rsidRDefault="00DF4E88" w:rsidP="00DF4E88">
      <w:pPr>
        <w:jc w:val="both"/>
      </w:pPr>
      <w:r w:rsidRPr="00224087">
        <w:t>Umožňuje sa správcovským spoločnostiam v čase zvýšených žiadostí o redemácie cenných papierov spravovaných fondov alebo v čase mimoriadnej situácie na trhu účtovať poplatok za likviditu. Tento poplatok je príjmom daného fondu a slúži ako nástroj pre riadenie rizík spojených s likviditou fondu.</w:t>
      </w:r>
    </w:p>
    <w:p w14:paraId="7BF812AA" w14:textId="77777777" w:rsidR="00DF4E88" w:rsidRPr="00224087" w:rsidRDefault="00DF4E88" w:rsidP="00DF4E88">
      <w:pPr>
        <w:rPr>
          <w:b/>
        </w:rPr>
      </w:pPr>
    </w:p>
    <w:p w14:paraId="76F10083" w14:textId="47CB4B71" w:rsidR="00DF4E88" w:rsidRPr="00224087" w:rsidRDefault="00DF4E88" w:rsidP="00DF4E88">
      <w:pPr>
        <w:rPr>
          <w:b/>
        </w:rPr>
      </w:pPr>
      <w:r w:rsidRPr="00224087">
        <w:rPr>
          <w:b/>
        </w:rPr>
        <w:t xml:space="preserve">K bodu </w:t>
      </w:r>
      <w:r>
        <w:rPr>
          <w:b/>
        </w:rPr>
        <w:t>3</w:t>
      </w:r>
      <w:r w:rsidRPr="00224087">
        <w:rPr>
          <w:b/>
        </w:rPr>
        <w:t xml:space="preserve"> [§ 15a ods. 3]</w:t>
      </w:r>
    </w:p>
    <w:p w14:paraId="16AD8C11" w14:textId="77777777" w:rsidR="00DF4E88" w:rsidRPr="00224087" w:rsidRDefault="00DF4E88" w:rsidP="00DF4E88">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1AE32000" w14:textId="77777777" w:rsidR="00DF4E88" w:rsidRPr="00224087" w:rsidRDefault="00DF4E88" w:rsidP="00DF4E88">
      <w:pPr>
        <w:rPr>
          <w:b/>
        </w:rPr>
      </w:pPr>
    </w:p>
    <w:p w14:paraId="164F5FD7" w14:textId="4DAFE4D7" w:rsidR="00DF4E88" w:rsidRPr="00224087" w:rsidRDefault="00DF4E88" w:rsidP="00DF4E88">
      <w:pPr>
        <w:rPr>
          <w:b/>
        </w:rPr>
      </w:pPr>
      <w:r w:rsidRPr="00224087">
        <w:rPr>
          <w:b/>
        </w:rPr>
        <w:t xml:space="preserve">K bodu </w:t>
      </w:r>
      <w:r>
        <w:rPr>
          <w:b/>
        </w:rPr>
        <w:t>4</w:t>
      </w:r>
      <w:r w:rsidRPr="00224087">
        <w:rPr>
          <w:b/>
        </w:rPr>
        <w:t xml:space="preserve"> [§ 26c ods. 5</w:t>
      </w:r>
      <w:r>
        <w:rPr>
          <w:b/>
        </w:rPr>
        <w:t xml:space="preserve"> a § 47 ods. 1</w:t>
      </w:r>
      <w:r w:rsidRPr="00224087">
        <w:rPr>
          <w:b/>
        </w:rPr>
        <w:t>]</w:t>
      </w:r>
    </w:p>
    <w:p w14:paraId="7E1C8BA6" w14:textId="77777777" w:rsidR="00DF4E88" w:rsidRPr="00224087" w:rsidRDefault="00DF4E88" w:rsidP="00DF4E88">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282669A0" w14:textId="77777777" w:rsidR="00DF4E88" w:rsidRPr="00224087" w:rsidRDefault="00DF4E88" w:rsidP="00DF4E88">
      <w:pPr>
        <w:rPr>
          <w:b/>
        </w:rPr>
      </w:pPr>
    </w:p>
    <w:p w14:paraId="64AEDE96" w14:textId="22A97966" w:rsidR="00DF4E88" w:rsidRPr="00224087" w:rsidRDefault="00DF4E88" w:rsidP="00DF4E88">
      <w:pPr>
        <w:rPr>
          <w:b/>
        </w:rPr>
      </w:pPr>
      <w:r w:rsidRPr="00224087">
        <w:rPr>
          <w:b/>
        </w:rPr>
        <w:t xml:space="preserve">K bodu </w:t>
      </w:r>
      <w:r>
        <w:rPr>
          <w:b/>
        </w:rPr>
        <w:t>5</w:t>
      </w:r>
      <w:r w:rsidRPr="00224087">
        <w:rPr>
          <w:b/>
        </w:rPr>
        <w:t xml:space="preserve"> [§ 28 ods. 2 písm. a</w:t>
      </w:r>
      <w:r>
        <w:rPr>
          <w:b/>
        </w:rPr>
        <w:t>, a § 28a ods. 2 písm. a)</w:t>
      </w:r>
      <w:r w:rsidRPr="00224087">
        <w:rPr>
          <w:b/>
        </w:rPr>
        <w:t>]</w:t>
      </w:r>
    </w:p>
    <w:p w14:paraId="239E1AED" w14:textId="77777777" w:rsidR="00DF4E88" w:rsidRPr="00224087" w:rsidRDefault="00DF4E88" w:rsidP="00DF4E88">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037BC84C" w14:textId="77777777" w:rsidR="00DF4E88" w:rsidRPr="00224087" w:rsidRDefault="00DF4E88" w:rsidP="00DF4E88">
      <w:pPr>
        <w:rPr>
          <w:b/>
        </w:rPr>
      </w:pPr>
    </w:p>
    <w:p w14:paraId="3EBFC90D" w14:textId="3846BE02" w:rsidR="00DF4E88" w:rsidRPr="00224087" w:rsidRDefault="00DF4E88" w:rsidP="00DF4E88">
      <w:pPr>
        <w:rPr>
          <w:b/>
        </w:rPr>
      </w:pPr>
      <w:r w:rsidRPr="00224087">
        <w:rPr>
          <w:b/>
        </w:rPr>
        <w:t xml:space="preserve">K bodu </w:t>
      </w:r>
      <w:r>
        <w:rPr>
          <w:b/>
        </w:rPr>
        <w:t>6</w:t>
      </w:r>
      <w:r w:rsidRPr="00224087">
        <w:rPr>
          <w:b/>
        </w:rPr>
        <w:t xml:space="preserve"> [§ 28 ods. 2 písm. b</w:t>
      </w:r>
      <w:r>
        <w:rPr>
          <w:b/>
        </w:rPr>
        <w:t>, a § 28a ods. 2 písm. b)</w:t>
      </w:r>
      <w:r w:rsidRPr="00224087">
        <w:rPr>
          <w:b/>
        </w:rPr>
        <w:t>]</w:t>
      </w:r>
    </w:p>
    <w:p w14:paraId="5E90CF76" w14:textId="77777777" w:rsidR="00DF4E88" w:rsidRPr="00224087" w:rsidRDefault="00DF4E88" w:rsidP="00DF4E88">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7473D69A" w14:textId="77777777" w:rsidR="00DF4E88" w:rsidRPr="00224087" w:rsidRDefault="00DF4E88" w:rsidP="00DF4E88">
      <w:pPr>
        <w:rPr>
          <w:b/>
        </w:rPr>
      </w:pPr>
    </w:p>
    <w:p w14:paraId="1AFCD200" w14:textId="0FEB3681" w:rsidR="00DF4E88" w:rsidRPr="00224087" w:rsidRDefault="00DF4E88" w:rsidP="00DF4E88">
      <w:pPr>
        <w:rPr>
          <w:b/>
        </w:rPr>
      </w:pPr>
      <w:r w:rsidRPr="00224087">
        <w:rPr>
          <w:b/>
        </w:rPr>
        <w:t xml:space="preserve">K bodu </w:t>
      </w:r>
      <w:r>
        <w:rPr>
          <w:b/>
        </w:rPr>
        <w:t>7</w:t>
      </w:r>
      <w:r w:rsidRPr="00224087">
        <w:rPr>
          <w:b/>
        </w:rPr>
        <w:t xml:space="preserve"> [§ 28 ods. 3 písm. c)]</w:t>
      </w:r>
    </w:p>
    <w:p w14:paraId="70110DCF" w14:textId="77777777" w:rsidR="00DF4E88" w:rsidRPr="00224087" w:rsidRDefault="00DF4E88" w:rsidP="00DF4E88">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594BA6CC" w14:textId="77777777" w:rsidR="00DF4E88" w:rsidRPr="00224087" w:rsidRDefault="00DF4E88" w:rsidP="00DF4E88">
      <w:pPr>
        <w:rPr>
          <w:b/>
        </w:rPr>
      </w:pPr>
    </w:p>
    <w:p w14:paraId="464ACFD4" w14:textId="28699E6A" w:rsidR="00DF4E88" w:rsidRPr="00224087" w:rsidRDefault="00DF4E88" w:rsidP="00DF4E88">
      <w:pPr>
        <w:rPr>
          <w:b/>
        </w:rPr>
      </w:pPr>
      <w:r w:rsidRPr="00224087">
        <w:rPr>
          <w:b/>
        </w:rPr>
        <w:t xml:space="preserve">K bodu </w:t>
      </w:r>
      <w:r>
        <w:rPr>
          <w:b/>
        </w:rPr>
        <w:t>8</w:t>
      </w:r>
      <w:r w:rsidRPr="00224087">
        <w:rPr>
          <w:b/>
        </w:rPr>
        <w:t xml:space="preserve"> [§ 28 ods. 4 písm. h</w:t>
      </w:r>
      <w:r>
        <w:rPr>
          <w:b/>
        </w:rPr>
        <w:t>, a § 28a ods. 4 písm. i)</w:t>
      </w:r>
      <w:r w:rsidRPr="00224087">
        <w:rPr>
          <w:b/>
        </w:rPr>
        <w:t>]</w:t>
      </w:r>
    </w:p>
    <w:p w14:paraId="3F13CB30" w14:textId="77777777" w:rsidR="00DF4E88" w:rsidRPr="00224087" w:rsidRDefault="00DF4E88" w:rsidP="00DF4E88">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7566BBBD" w14:textId="77777777" w:rsidR="00DF4E88" w:rsidRPr="00224087" w:rsidRDefault="00DF4E88" w:rsidP="00DF4E88">
      <w:pPr>
        <w:rPr>
          <w:b/>
        </w:rPr>
      </w:pPr>
    </w:p>
    <w:p w14:paraId="013D308F" w14:textId="4ED1C455" w:rsidR="00DF4E88" w:rsidRPr="00224087" w:rsidRDefault="00DF4E88" w:rsidP="00DF4E88">
      <w:pPr>
        <w:rPr>
          <w:b/>
        </w:rPr>
      </w:pPr>
      <w:r w:rsidRPr="00224087">
        <w:rPr>
          <w:b/>
        </w:rPr>
        <w:t xml:space="preserve">K bodu </w:t>
      </w:r>
      <w:r>
        <w:rPr>
          <w:b/>
        </w:rPr>
        <w:t>9</w:t>
      </w:r>
      <w:r w:rsidRPr="00224087">
        <w:rPr>
          <w:b/>
        </w:rPr>
        <w:t xml:space="preserve"> [§ 28a ods. 3 písm. c)]</w:t>
      </w:r>
    </w:p>
    <w:p w14:paraId="237C8AD5" w14:textId="77777777" w:rsidR="00DF4E88" w:rsidRPr="00224087" w:rsidRDefault="00DF4E88" w:rsidP="00DF4E88">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7BE6DFA6" w14:textId="77777777" w:rsidR="00DF4E88" w:rsidRPr="00224087" w:rsidRDefault="00DF4E88" w:rsidP="00DF4E88">
      <w:pPr>
        <w:rPr>
          <w:b/>
        </w:rPr>
      </w:pPr>
    </w:p>
    <w:p w14:paraId="631ED994" w14:textId="3BABCBB0" w:rsidR="00DF4E88" w:rsidRPr="00224087" w:rsidRDefault="00DF4E88" w:rsidP="00DF4E88">
      <w:pPr>
        <w:jc w:val="both"/>
        <w:rPr>
          <w:b/>
        </w:rPr>
      </w:pPr>
      <w:r>
        <w:rPr>
          <w:b/>
        </w:rPr>
        <w:t>K</w:t>
      </w:r>
      <w:r w:rsidRPr="00224087">
        <w:rPr>
          <w:b/>
        </w:rPr>
        <w:t xml:space="preserve"> bodu </w:t>
      </w:r>
      <w:r>
        <w:rPr>
          <w:b/>
        </w:rPr>
        <w:t>10</w:t>
      </w:r>
      <w:r w:rsidRPr="00224087">
        <w:rPr>
          <w:b/>
        </w:rPr>
        <w:t xml:space="preserve"> [poznámka pod čiarou 34]   </w:t>
      </w:r>
    </w:p>
    <w:p w14:paraId="318DE526" w14:textId="77777777" w:rsidR="00DF4E88" w:rsidRPr="006C6978" w:rsidRDefault="00DF4E88" w:rsidP="00DF4E88">
      <w:pPr>
        <w:jc w:val="both"/>
      </w:pPr>
      <w:r w:rsidRPr="00224087">
        <w:t>Upresňuje sa znenie poznámky pod čiarou 34 z dôvodu novely § 74 zákona č. 566/2001 Z. z..</w:t>
      </w:r>
    </w:p>
    <w:p w14:paraId="2B9CA93D" w14:textId="77777777" w:rsidR="00DF4E88" w:rsidRDefault="00DF4E88" w:rsidP="00DF4E88">
      <w:pPr>
        <w:rPr>
          <w:b/>
        </w:rPr>
      </w:pPr>
    </w:p>
    <w:p w14:paraId="3415591C" w14:textId="70456915" w:rsidR="00DF4E88" w:rsidRPr="00224087" w:rsidRDefault="00DF4E88" w:rsidP="00DF4E88">
      <w:pPr>
        <w:rPr>
          <w:b/>
        </w:rPr>
      </w:pPr>
      <w:r w:rsidRPr="00224087">
        <w:rPr>
          <w:b/>
        </w:rPr>
        <w:t xml:space="preserve">K bodu </w:t>
      </w:r>
      <w:r>
        <w:rPr>
          <w:b/>
        </w:rPr>
        <w:t>11</w:t>
      </w:r>
      <w:r w:rsidRPr="00224087">
        <w:rPr>
          <w:b/>
        </w:rPr>
        <w:t xml:space="preserve"> [§ 89 ods. 7]</w:t>
      </w:r>
    </w:p>
    <w:p w14:paraId="320859BE" w14:textId="77777777" w:rsidR="00DF4E88" w:rsidRPr="00224087" w:rsidRDefault="00DF4E88" w:rsidP="00DF4E88">
      <w:pPr>
        <w:keepNext/>
        <w:jc w:val="both"/>
      </w:pPr>
      <w:r w:rsidRPr="00224087">
        <w:t xml:space="preserve">V dôsledku prijatia jednotného rámca pre kryté dlhopisy sa v čl. 28 CBD mení čl. 52 ods. 4 smernice 2009/65/ES, čo si vyžaduje zmeny v príslušných ustanoveniach zákona o kolektívnom investovaní, najmä aby sa predišlo ovplyvneniu krytých dlhopisov emitovaných podľa právnych predpisov platných pred 8. júlom 2022, pričom tieto kryté dlhopisy by sa mali naďalej uvádzať ako kryté dlhopisy až do ich splatnosti. </w:t>
      </w:r>
    </w:p>
    <w:p w14:paraId="0567AE4F" w14:textId="77777777" w:rsidR="00DF4E88" w:rsidRPr="00224087" w:rsidRDefault="00DF4E88" w:rsidP="00DF4E88">
      <w:pPr>
        <w:rPr>
          <w:b/>
        </w:rPr>
      </w:pPr>
    </w:p>
    <w:p w14:paraId="7596CFD5" w14:textId="00D62DE9" w:rsidR="00DF4E88" w:rsidRPr="00224087" w:rsidRDefault="00DF4E88" w:rsidP="00DF4E88">
      <w:pPr>
        <w:rPr>
          <w:b/>
        </w:rPr>
      </w:pPr>
      <w:r w:rsidRPr="00224087">
        <w:rPr>
          <w:b/>
        </w:rPr>
        <w:t xml:space="preserve">K bodu </w:t>
      </w:r>
      <w:r>
        <w:rPr>
          <w:b/>
        </w:rPr>
        <w:t xml:space="preserve">12 </w:t>
      </w:r>
      <w:r w:rsidRPr="00224087">
        <w:rPr>
          <w:b/>
        </w:rPr>
        <w:t>[§ 125 ods. 6 písm. b)]</w:t>
      </w:r>
    </w:p>
    <w:p w14:paraId="35B014FE" w14:textId="77777777" w:rsidR="00DF4E88" w:rsidRPr="00224087" w:rsidRDefault="00DF4E88" w:rsidP="00DF4E88">
      <w:pPr>
        <w:jc w:val="both"/>
      </w:pPr>
      <w:r w:rsidRPr="00224087">
        <w:t xml:space="preserve">Upresňujú sa prípustné aktíva tvoriace minimálnu likvidnú zložku vo verejnom špeciálnom fonde nehnuteľností.  Vzhľadom na charakter špeciálnych fondov kvalifikovaných investorov, </w:t>
      </w:r>
      <w:r w:rsidRPr="00224087">
        <w:lastRenderedPageBreak/>
        <w:t xml:space="preserve">nie je možné tieto fondy považovať vo všeobecnosti za likvidné, nakoľko nemajú vymedzené prípustné aktíva pre investovanie do ich majetku. </w:t>
      </w:r>
    </w:p>
    <w:p w14:paraId="3F221C6E" w14:textId="77777777" w:rsidR="00DF4E88" w:rsidRPr="00224087" w:rsidRDefault="00DF4E88" w:rsidP="00DF4E88">
      <w:pPr>
        <w:jc w:val="both"/>
        <w:rPr>
          <w:b/>
        </w:rPr>
      </w:pPr>
    </w:p>
    <w:p w14:paraId="1AA97EBB" w14:textId="67DAEA6F" w:rsidR="00DF4E88" w:rsidRPr="00224087" w:rsidRDefault="00DF4E88" w:rsidP="00DF4E88">
      <w:pPr>
        <w:jc w:val="both"/>
        <w:rPr>
          <w:b/>
        </w:rPr>
      </w:pPr>
      <w:r w:rsidRPr="00224087">
        <w:rPr>
          <w:b/>
        </w:rPr>
        <w:t xml:space="preserve">K bodu </w:t>
      </w:r>
      <w:r>
        <w:rPr>
          <w:b/>
        </w:rPr>
        <w:t>13</w:t>
      </w:r>
      <w:r w:rsidRPr="00224087">
        <w:rPr>
          <w:b/>
        </w:rPr>
        <w:t xml:space="preserve"> [§ </w:t>
      </w:r>
      <w:r>
        <w:rPr>
          <w:b/>
        </w:rPr>
        <w:t xml:space="preserve">152 </w:t>
      </w:r>
      <w:r w:rsidRPr="00224087">
        <w:rPr>
          <w:b/>
        </w:rPr>
        <w:t>ods.</w:t>
      </w:r>
      <w:r>
        <w:rPr>
          <w:b/>
        </w:rPr>
        <w:t xml:space="preserve"> 4</w:t>
      </w:r>
      <w:r w:rsidRPr="00224087">
        <w:rPr>
          <w:b/>
        </w:rPr>
        <w:t>]</w:t>
      </w:r>
    </w:p>
    <w:p w14:paraId="736F8C72" w14:textId="77777777" w:rsidR="00DF4E88" w:rsidRDefault="00DF4E88" w:rsidP="00DF4E88">
      <w:pPr>
        <w:jc w:val="both"/>
        <w:rPr>
          <w:b/>
        </w:rPr>
      </w:pPr>
      <w:r>
        <w:t xml:space="preserve">Ide o aktualizáciu poznámky pod čiarou. </w:t>
      </w:r>
    </w:p>
    <w:p w14:paraId="196BDA51" w14:textId="77777777" w:rsidR="00DF4E88" w:rsidRDefault="00DF4E88" w:rsidP="00DF4E88">
      <w:pPr>
        <w:jc w:val="both"/>
        <w:rPr>
          <w:b/>
        </w:rPr>
      </w:pPr>
    </w:p>
    <w:p w14:paraId="59A3144A" w14:textId="1529AF28" w:rsidR="00DF4E88" w:rsidRPr="00224087" w:rsidRDefault="00DF4E88" w:rsidP="00DF4E88">
      <w:pPr>
        <w:jc w:val="both"/>
        <w:rPr>
          <w:b/>
        </w:rPr>
      </w:pPr>
      <w:r w:rsidRPr="00224087">
        <w:rPr>
          <w:b/>
        </w:rPr>
        <w:t xml:space="preserve">K bodu </w:t>
      </w:r>
      <w:r>
        <w:rPr>
          <w:b/>
        </w:rPr>
        <w:t>14</w:t>
      </w:r>
      <w:r w:rsidRPr="00224087">
        <w:rPr>
          <w:b/>
        </w:rPr>
        <w:t xml:space="preserve"> [§ 207 ods. 1</w:t>
      </w:r>
      <w:r w:rsidRPr="006C6978">
        <w:rPr>
          <w:b/>
        </w:rPr>
        <w:t xml:space="preserve"> písm. a)</w:t>
      </w:r>
      <w:r w:rsidRPr="00224087">
        <w:rPr>
          <w:b/>
        </w:rPr>
        <w:t>]</w:t>
      </w:r>
    </w:p>
    <w:p w14:paraId="604E43EE" w14:textId="77777777" w:rsidR="00DF4E88" w:rsidRPr="00224087" w:rsidRDefault="00DF4E88" w:rsidP="00DF4E88">
      <w:pPr>
        <w:jc w:val="both"/>
      </w:pPr>
      <w:r w:rsidRPr="00224087">
        <w:t xml:space="preserve">Upresňuje sa minimálna úroveň počiatočného kapitálu, pri prekročení ktorej Národná banka Slovenska odoberie udelené povolenie.    </w:t>
      </w:r>
    </w:p>
    <w:p w14:paraId="3590F4A0" w14:textId="77777777" w:rsidR="00DF4E88" w:rsidRPr="00224087" w:rsidRDefault="00DF4E88" w:rsidP="00DF4E88">
      <w:pPr>
        <w:jc w:val="both"/>
        <w:rPr>
          <w:b/>
        </w:rPr>
      </w:pPr>
    </w:p>
    <w:p w14:paraId="15057EEF" w14:textId="2BACF559" w:rsidR="00DF4E88" w:rsidRPr="00224087" w:rsidRDefault="00DF4E88" w:rsidP="00DF4E88">
      <w:pPr>
        <w:jc w:val="both"/>
        <w:rPr>
          <w:b/>
        </w:rPr>
      </w:pPr>
      <w:r w:rsidRPr="00224087">
        <w:rPr>
          <w:b/>
        </w:rPr>
        <w:t xml:space="preserve">K bodu </w:t>
      </w:r>
      <w:r>
        <w:rPr>
          <w:b/>
        </w:rPr>
        <w:t>15</w:t>
      </w:r>
      <w:r w:rsidRPr="00224087">
        <w:rPr>
          <w:b/>
        </w:rPr>
        <w:t xml:space="preserve"> [§ 207 ods. 3 písm. d)]</w:t>
      </w:r>
    </w:p>
    <w:p w14:paraId="0EE36461" w14:textId="77777777" w:rsidR="00DF4E88" w:rsidRPr="00224087" w:rsidRDefault="00DF4E88" w:rsidP="00DF4E88">
      <w:pPr>
        <w:jc w:val="both"/>
      </w:pPr>
      <w:r w:rsidRPr="00224087">
        <w:t xml:space="preserve">Upresňuje sa minimálna úroveň počiatočného kapitálu, pri prekročení ktorej Národná banka Slovenska odoberie udelené povolenie.    </w:t>
      </w:r>
    </w:p>
    <w:p w14:paraId="448E90A4" w14:textId="77777777" w:rsidR="00DF4E88" w:rsidRPr="00224087" w:rsidRDefault="00DF4E88" w:rsidP="00DF4E88">
      <w:pPr>
        <w:jc w:val="both"/>
        <w:rPr>
          <w:b/>
        </w:rPr>
      </w:pPr>
    </w:p>
    <w:p w14:paraId="2C4FAE48" w14:textId="1CFCBB50" w:rsidR="00DF4E88" w:rsidRPr="00224087" w:rsidRDefault="00DF4E88" w:rsidP="00DF4E88">
      <w:pPr>
        <w:jc w:val="both"/>
        <w:rPr>
          <w:b/>
        </w:rPr>
      </w:pPr>
      <w:r w:rsidRPr="00224087">
        <w:rPr>
          <w:b/>
        </w:rPr>
        <w:t>K</w:t>
      </w:r>
      <w:r>
        <w:rPr>
          <w:b/>
        </w:rPr>
        <w:t> </w:t>
      </w:r>
      <w:r w:rsidRPr="00224087">
        <w:rPr>
          <w:b/>
        </w:rPr>
        <w:t>bodu</w:t>
      </w:r>
      <w:r>
        <w:rPr>
          <w:b/>
        </w:rPr>
        <w:t xml:space="preserve"> 16</w:t>
      </w:r>
      <w:r w:rsidRPr="00224087">
        <w:rPr>
          <w:b/>
        </w:rPr>
        <w:t xml:space="preserve"> [§ 210 ods. 2)]</w:t>
      </w:r>
    </w:p>
    <w:p w14:paraId="07DDDDAC" w14:textId="77777777" w:rsidR="00DF4E88" w:rsidRPr="00224087" w:rsidRDefault="00DF4E88" w:rsidP="00DF4E88">
      <w:pPr>
        <w:jc w:val="both"/>
      </w:pPr>
      <w:r w:rsidRPr="00224087">
        <w:t>V súlade s čl. 28 bod 2 CBD sa vypúšťa § 210 ods. 2.</w:t>
      </w:r>
    </w:p>
    <w:p w14:paraId="658DB6F8" w14:textId="77777777" w:rsidR="00DF4E88" w:rsidRPr="00224087" w:rsidRDefault="00DF4E88" w:rsidP="00DF4E88">
      <w:pPr>
        <w:pStyle w:val="Bezriadkovania"/>
      </w:pPr>
    </w:p>
    <w:p w14:paraId="08B13DBC" w14:textId="7FA24A28" w:rsidR="00DF4E88" w:rsidRPr="00224087" w:rsidRDefault="00DF4E88" w:rsidP="00DF4E88">
      <w:pPr>
        <w:jc w:val="both"/>
        <w:rPr>
          <w:b/>
        </w:rPr>
      </w:pPr>
      <w:r w:rsidRPr="00224087">
        <w:rPr>
          <w:b/>
        </w:rPr>
        <w:t xml:space="preserve">K bodu </w:t>
      </w:r>
      <w:r>
        <w:rPr>
          <w:b/>
        </w:rPr>
        <w:t>17</w:t>
      </w:r>
      <w:r w:rsidRPr="00224087">
        <w:rPr>
          <w:b/>
        </w:rPr>
        <w:t xml:space="preserve"> [§ 220a ods. 8)]</w:t>
      </w:r>
    </w:p>
    <w:p w14:paraId="129A0F85" w14:textId="77777777" w:rsidR="00DF4E88" w:rsidRPr="00224087" w:rsidRDefault="00DF4E88" w:rsidP="00DF4E88">
      <w:pPr>
        <w:jc w:val="both"/>
      </w:pPr>
      <w:r w:rsidRPr="00224087">
        <w:t xml:space="preserve">Legislatívno-technická úprava – prečíslovanie vnútorných odkazov.  </w:t>
      </w:r>
    </w:p>
    <w:p w14:paraId="3B5219F6" w14:textId="77777777" w:rsidR="00DF4E88" w:rsidRPr="00224087" w:rsidRDefault="00DF4E88" w:rsidP="00DF4E88">
      <w:pPr>
        <w:jc w:val="both"/>
        <w:rPr>
          <w:b/>
        </w:rPr>
      </w:pPr>
    </w:p>
    <w:p w14:paraId="57BAD87E" w14:textId="7F75622E" w:rsidR="00DF4E88" w:rsidRPr="00224087" w:rsidRDefault="00DF4E88" w:rsidP="00DF4E88">
      <w:pPr>
        <w:jc w:val="both"/>
        <w:rPr>
          <w:b/>
        </w:rPr>
      </w:pPr>
      <w:r w:rsidRPr="00224087">
        <w:rPr>
          <w:b/>
        </w:rPr>
        <w:t xml:space="preserve">K bodu </w:t>
      </w:r>
      <w:r>
        <w:rPr>
          <w:b/>
        </w:rPr>
        <w:t xml:space="preserve">18 </w:t>
      </w:r>
      <w:r w:rsidRPr="00224087">
        <w:rPr>
          <w:b/>
        </w:rPr>
        <w:t>[</w:t>
      </w:r>
      <w:r>
        <w:rPr>
          <w:b/>
        </w:rPr>
        <w:t>trinásty bod prílohy</w:t>
      </w:r>
      <w:r w:rsidRPr="00224087">
        <w:rPr>
          <w:b/>
        </w:rPr>
        <w:t>]</w:t>
      </w:r>
    </w:p>
    <w:p w14:paraId="6FDE1782" w14:textId="20A1BA53" w:rsidR="007B629B" w:rsidRPr="00224087" w:rsidRDefault="00DF4E88" w:rsidP="000F55D6">
      <w:pPr>
        <w:jc w:val="both"/>
      </w:pPr>
      <w:r w:rsidRPr="00224087">
        <w:t>Dopĺňa sa transpozičná príloha o smernicu CBD.</w:t>
      </w:r>
    </w:p>
    <w:p w14:paraId="1C692E4A" w14:textId="77777777" w:rsidR="009A1CDB" w:rsidRPr="00224087" w:rsidRDefault="009A1CDB" w:rsidP="009017D3">
      <w:pPr>
        <w:jc w:val="both"/>
      </w:pPr>
    </w:p>
    <w:p w14:paraId="6BAA67EC" w14:textId="77777777" w:rsidR="0006103C" w:rsidRPr="00224087" w:rsidRDefault="0006103C" w:rsidP="009017D3">
      <w:pPr>
        <w:jc w:val="both"/>
      </w:pPr>
    </w:p>
    <w:p w14:paraId="440BD59A" w14:textId="53E70EC0" w:rsidR="00213F3D" w:rsidRPr="00224087" w:rsidRDefault="00213F3D" w:rsidP="00213F3D">
      <w:pPr>
        <w:jc w:val="center"/>
        <w:rPr>
          <w:b/>
        </w:rPr>
      </w:pPr>
      <w:r w:rsidRPr="00224087">
        <w:rPr>
          <w:b/>
        </w:rPr>
        <w:t xml:space="preserve">K čl. </w:t>
      </w:r>
      <w:r w:rsidR="00181DFF">
        <w:rPr>
          <w:b/>
        </w:rPr>
        <w:t>IX</w:t>
      </w:r>
      <w:r w:rsidR="00181DFF" w:rsidRPr="00224087">
        <w:rPr>
          <w:b/>
        </w:rPr>
        <w:t xml:space="preserve"> </w:t>
      </w:r>
      <w:r w:rsidRPr="00224087">
        <w:rPr>
          <w:b/>
        </w:rPr>
        <w:t>– novela zákona č. 371/2014 Z. z. o riešení krízových situácií na finančnom trhu a o zmene a doplnení niektorých zákonov v znení neskorších predpisov</w:t>
      </w:r>
    </w:p>
    <w:p w14:paraId="1A0EA111" w14:textId="77777777" w:rsidR="00F27766" w:rsidRPr="00224087" w:rsidRDefault="00F27766" w:rsidP="009017D3">
      <w:pPr>
        <w:jc w:val="both"/>
      </w:pPr>
    </w:p>
    <w:p w14:paraId="6D3FB078" w14:textId="12512EE0" w:rsidR="00341DA4" w:rsidRPr="00224087" w:rsidRDefault="00341DA4" w:rsidP="00341DA4">
      <w:pPr>
        <w:jc w:val="both"/>
        <w:rPr>
          <w:b/>
        </w:rPr>
      </w:pPr>
      <w:r w:rsidRPr="00224087">
        <w:rPr>
          <w:b/>
        </w:rPr>
        <w:t>K bodu 1 [§ 52 ods. 7]</w:t>
      </w:r>
    </w:p>
    <w:p w14:paraId="2445A17D" w14:textId="183C473C" w:rsidR="00341DA4" w:rsidRPr="00224087" w:rsidRDefault="00341DA4" w:rsidP="00341DA4">
      <w:pPr>
        <w:jc w:val="both"/>
        <w:rPr>
          <w:lang w:eastAsia="en-US"/>
        </w:rPr>
      </w:pPr>
      <w:r w:rsidRPr="00224087">
        <w:t xml:space="preserve">Zmenou ustanovenia § 52 ods. 7 sa zabezpečuje z dôvodu zrušenia zákona č. 384/2011 Z. z. o osobitnom odvode vybraných finančných inštitúcií a o doplnení niektorých zákonov kontinuita úhrad tých oprávnených výdavkov Rady pre riešenie krízových situácií, ktoré riadne vynaložila v súvislosti s uložením opatrení na riešenie krízových situácií, výkonom právomocí rady riešiť krízovú situáciu vrátane nákladov spojených s výkonom osobitnej správy, ocenením aktív, práv a záväzkov vybranej inštitúcie alebo osoby podľa § 1 ods. 3 písm. b) až d) zákona alebo vládnymi stabilizačnými opatreniami, ktoré sú splatné skôr, ako </w:t>
      </w:r>
      <w:r w:rsidR="00FB02A5" w:rsidRPr="00224087">
        <w:t>Rada pre riešenie krízových situácií</w:t>
      </w:r>
      <w:r w:rsidRPr="00224087">
        <w:t xml:space="preserve"> môže použiť spôsob ich vymáhania podľa odseku 6 písm. a) alebo písm. c) zákona.</w:t>
      </w:r>
    </w:p>
    <w:p w14:paraId="3F61CFFF" w14:textId="52806F96" w:rsidR="00341DA4" w:rsidRPr="00224087" w:rsidRDefault="00341DA4" w:rsidP="00341DA4">
      <w:pPr>
        <w:jc w:val="both"/>
      </w:pPr>
    </w:p>
    <w:p w14:paraId="13D7024E" w14:textId="509F3BB1" w:rsidR="00341DA4" w:rsidRPr="00224087" w:rsidRDefault="00341DA4" w:rsidP="00FB02A5">
      <w:pPr>
        <w:keepNext/>
        <w:jc w:val="both"/>
        <w:rPr>
          <w:b/>
        </w:rPr>
      </w:pPr>
      <w:r w:rsidRPr="00224087">
        <w:rPr>
          <w:b/>
        </w:rPr>
        <w:t xml:space="preserve">K bodu </w:t>
      </w:r>
      <w:r w:rsidR="00C04B9C" w:rsidRPr="00224087">
        <w:rPr>
          <w:b/>
        </w:rPr>
        <w:t>2</w:t>
      </w:r>
      <w:r w:rsidRPr="00224087">
        <w:rPr>
          <w:b/>
        </w:rPr>
        <w:t xml:space="preserve"> [Poznámka pod čiarou k odkazu 95]</w:t>
      </w:r>
    </w:p>
    <w:p w14:paraId="046FC582" w14:textId="2A7334DD" w:rsidR="00073A47" w:rsidRPr="00224087" w:rsidRDefault="00341DA4" w:rsidP="00FB02A5">
      <w:pPr>
        <w:keepNext/>
        <w:jc w:val="both"/>
      </w:pPr>
      <w:r w:rsidRPr="00224087">
        <w:t>V súvislosti s transpozíciou čl. 29 smernice CBD je potrebné upraviť poznámku pod čiarou k odkazu 95.</w:t>
      </w:r>
    </w:p>
    <w:p w14:paraId="62DD6E3F" w14:textId="77777777" w:rsidR="00073A47" w:rsidRPr="00224087" w:rsidRDefault="00073A47" w:rsidP="009017D3">
      <w:pPr>
        <w:jc w:val="both"/>
      </w:pPr>
    </w:p>
    <w:p w14:paraId="242DEC69" w14:textId="5FFB7CFC" w:rsidR="00293371" w:rsidRPr="008C57AB" w:rsidRDefault="00181DFF" w:rsidP="00293371">
      <w:pPr>
        <w:spacing w:line="276" w:lineRule="auto"/>
        <w:jc w:val="both"/>
        <w:rPr>
          <w:b/>
          <w:bCs/>
          <w:u w:val="single"/>
        </w:rPr>
      </w:pPr>
      <w:r>
        <w:rPr>
          <w:b/>
          <w:bCs/>
          <w:u w:val="single"/>
        </w:rPr>
        <w:t>K</w:t>
      </w:r>
      <w:r w:rsidR="00293371">
        <w:rPr>
          <w:b/>
          <w:bCs/>
          <w:u w:val="single"/>
        </w:rPr>
        <w:t> </w:t>
      </w:r>
      <w:r>
        <w:rPr>
          <w:b/>
          <w:bCs/>
          <w:u w:val="single"/>
        </w:rPr>
        <w:t>č</w:t>
      </w:r>
      <w:r w:rsidR="00293371">
        <w:rPr>
          <w:b/>
          <w:bCs/>
          <w:u w:val="single"/>
        </w:rPr>
        <w:t xml:space="preserve">l. </w:t>
      </w:r>
      <w:r>
        <w:rPr>
          <w:b/>
          <w:bCs/>
          <w:u w:val="single"/>
        </w:rPr>
        <w:t xml:space="preserve">X – novela zákona </w:t>
      </w:r>
      <w:r w:rsidR="00293371" w:rsidRPr="008C57AB">
        <w:rPr>
          <w:b/>
          <w:bCs/>
          <w:u w:val="single"/>
        </w:rPr>
        <w:t>č. 39/2015 Z. z.</w:t>
      </w:r>
      <w:r w:rsidR="00293371">
        <w:rPr>
          <w:b/>
          <w:bCs/>
          <w:u w:val="single"/>
        </w:rPr>
        <w:t xml:space="preserve"> o</w:t>
      </w:r>
      <w:r>
        <w:rPr>
          <w:b/>
          <w:bCs/>
          <w:u w:val="single"/>
        </w:rPr>
        <w:t> </w:t>
      </w:r>
      <w:r w:rsidR="00293371">
        <w:rPr>
          <w:b/>
          <w:bCs/>
          <w:u w:val="single"/>
        </w:rPr>
        <w:t>poisťovníctve</w:t>
      </w:r>
      <w:r>
        <w:rPr>
          <w:b/>
          <w:bCs/>
          <w:u w:val="single"/>
        </w:rPr>
        <w:t xml:space="preserve"> a o zmene a doplnení niektorých zákonov v znení neskorších predpisov</w:t>
      </w:r>
    </w:p>
    <w:p w14:paraId="10D34014" w14:textId="77777777" w:rsidR="00293371" w:rsidRPr="008C57AB" w:rsidRDefault="00293371" w:rsidP="00293371">
      <w:pPr>
        <w:spacing w:line="276" w:lineRule="auto"/>
        <w:jc w:val="both"/>
      </w:pPr>
    </w:p>
    <w:p w14:paraId="029A7A7B" w14:textId="77777777" w:rsidR="000F55D6" w:rsidRPr="008C57AB" w:rsidRDefault="000F55D6" w:rsidP="000F55D6">
      <w:pPr>
        <w:spacing w:line="276" w:lineRule="auto"/>
        <w:jc w:val="both"/>
        <w:rPr>
          <w:b/>
          <w:bCs/>
        </w:rPr>
      </w:pPr>
      <w:r w:rsidRPr="008C57AB">
        <w:rPr>
          <w:b/>
          <w:bCs/>
        </w:rPr>
        <w:t>K bodu 1 [§ 10 ods. 2 písm. d)]</w:t>
      </w:r>
    </w:p>
    <w:p w14:paraId="7B59695E" w14:textId="77777777" w:rsidR="000F55D6" w:rsidRPr="008C57AB" w:rsidRDefault="000F55D6" w:rsidP="000F55D6">
      <w:pPr>
        <w:spacing w:line="276" w:lineRule="auto"/>
        <w:jc w:val="both"/>
      </w:pPr>
      <w:r w:rsidRPr="008C57AB">
        <w:t xml:space="preserve">Navrhované doplnenie bližšie špecifikuje požadovanú kvalitu zábezpeky tým, že sa eliminuje možnosť jej zníženia v dôsledku súčasných alebo budúcich právnych vzťahov medzi zahraničnou poisťovňou a úverovou inštitúciou, u ktorej má predmetnú zábezpeku uloženú. </w:t>
      </w:r>
      <w:r w:rsidRPr="008C57AB">
        <w:lastRenderedPageBreak/>
        <w:t xml:space="preserve">Navrhovaná zmena zákona č. 39/2015 Z. z. o poisťovníctve a o zmene a doplnení niektorých zákonov v znení neskorších predpisov (ďalej len „zákon o poisťovníctve“)  vychádza zo znenia Usmernenia č. 19 z Usmernení o dohľade nad pobočkami poisťovní z tretích krajín č. EIOPA-BoS-15/110 SK (ďalej len „Usmernenia EIOPA“). Preukazovanie splnenia predmetnej povinnosti upraví Národná banka Slovenska vo svojom opatrení prijatom na základe § 10 ods. 8 zákona o poisťovníctve. </w:t>
      </w:r>
    </w:p>
    <w:p w14:paraId="302C2D31" w14:textId="77777777" w:rsidR="000F55D6" w:rsidRPr="008C57AB" w:rsidRDefault="000F55D6" w:rsidP="000F55D6">
      <w:pPr>
        <w:spacing w:line="276" w:lineRule="auto"/>
        <w:jc w:val="both"/>
      </w:pPr>
    </w:p>
    <w:p w14:paraId="29CE8CE4" w14:textId="77777777" w:rsidR="000F55D6" w:rsidRPr="008C57AB" w:rsidRDefault="000F55D6" w:rsidP="000F55D6">
      <w:pPr>
        <w:spacing w:line="276" w:lineRule="auto"/>
        <w:jc w:val="both"/>
        <w:rPr>
          <w:b/>
          <w:bCs/>
        </w:rPr>
      </w:pPr>
      <w:r w:rsidRPr="008C57AB">
        <w:rPr>
          <w:b/>
          <w:bCs/>
        </w:rPr>
        <w:t>K bodu 2 [§ 10 ods. 2 písm. k)]</w:t>
      </w:r>
    </w:p>
    <w:p w14:paraId="73FFC35E" w14:textId="77777777" w:rsidR="000F55D6" w:rsidRPr="008C57AB" w:rsidRDefault="000F55D6" w:rsidP="000F55D6">
      <w:pPr>
        <w:spacing w:line="276" w:lineRule="auto"/>
        <w:jc w:val="both"/>
      </w:pPr>
      <w:r w:rsidRPr="008C57AB">
        <w:t>V zmysle § 79 ods. 1 zákona o poisťovníctve vykonáva dohľad nad činnosťou pobočky zahraničnej poisťovne v plnej miere Národná banka Slovenska, a preto by malo byť zabezpečené, že právny poriadok domovského štátu zahraničnej poisťovne (ktorej je pobočka organizačnou súčasťou) nebude výkonu dohľadu žiadnym spôsobom brániť. Preukazovanie splnenia predmetnej povinnosti upraví Národná banka Slovenska vo svojom opatrení prijatom na základe § 10 ods. 8 zákona o poisťovníctve.</w:t>
      </w:r>
    </w:p>
    <w:p w14:paraId="35F6E45C" w14:textId="77777777" w:rsidR="000F55D6" w:rsidRPr="008C57AB" w:rsidRDefault="000F55D6" w:rsidP="000F55D6">
      <w:pPr>
        <w:spacing w:line="276" w:lineRule="auto"/>
        <w:jc w:val="both"/>
      </w:pPr>
    </w:p>
    <w:p w14:paraId="5BA376F6" w14:textId="77777777" w:rsidR="000F55D6" w:rsidRPr="008C57AB" w:rsidRDefault="000F55D6" w:rsidP="000F55D6">
      <w:pPr>
        <w:spacing w:line="276" w:lineRule="auto"/>
        <w:jc w:val="both"/>
        <w:rPr>
          <w:b/>
          <w:bCs/>
        </w:rPr>
      </w:pPr>
      <w:r w:rsidRPr="008C57AB">
        <w:rPr>
          <w:b/>
          <w:bCs/>
        </w:rPr>
        <w:t xml:space="preserve">K bodu 3 [§ 10 ods. 2 písm. m)] </w:t>
      </w:r>
    </w:p>
    <w:p w14:paraId="29179788" w14:textId="77777777" w:rsidR="000F55D6" w:rsidRPr="008C57AB" w:rsidRDefault="000F55D6" w:rsidP="000F55D6">
      <w:pPr>
        <w:spacing w:line="276" w:lineRule="auto"/>
        <w:jc w:val="both"/>
      </w:pPr>
      <w:r w:rsidRPr="008C57AB">
        <w:t xml:space="preserve">Súčasné znenie § 10 ods. 2 zákona o poisťovníctve neumožňuje Národnej banke Slovenska pri udeľovaní povolenia pobočke zahraničnej poisťovne skúmať, resp. posudzovať solventnosť samotnej zahraničnej poisťovne. Na predmetné posúdenie sa nebudú uplatňovať v rámci EÚ harmonizované pravidlá ohľadom solventnosti, ale pravidlá domovského štátu zahraničnej poisťovne. Uvedená požiadavka má za cieľ zabrániť rozširovaniu pôsobenia zahraničnej poisťovne, ktorá nespĺňa ani domáce pravidlá ohľadom solventnosti a ochrániť tak záujmy spotrebiteľov na slovenskom poistnom trhu. Navrhovaná zmena zákona o poisťovníctve vychádza zo znenia Usmernenia č. 1 z Usmernení EIOPA. Preukazovanie splnenia predmetnej povinnosti upraví Národná banka Slovenska vo svojom opatrení prijatom na základe § 10 ods. 8 zákona o poisťovníctve. </w:t>
      </w:r>
    </w:p>
    <w:p w14:paraId="091CFFEC" w14:textId="77777777" w:rsidR="000F55D6" w:rsidRPr="008C57AB" w:rsidRDefault="000F55D6" w:rsidP="000F55D6">
      <w:pPr>
        <w:spacing w:line="276" w:lineRule="auto"/>
        <w:jc w:val="both"/>
      </w:pPr>
    </w:p>
    <w:p w14:paraId="3892A719" w14:textId="77777777" w:rsidR="000F55D6" w:rsidRPr="008C57AB" w:rsidRDefault="000F55D6" w:rsidP="000F55D6">
      <w:pPr>
        <w:spacing w:line="276" w:lineRule="auto"/>
        <w:jc w:val="both"/>
        <w:rPr>
          <w:b/>
          <w:bCs/>
        </w:rPr>
      </w:pPr>
      <w:r w:rsidRPr="008C57AB">
        <w:rPr>
          <w:b/>
          <w:bCs/>
        </w:rPr>
        <w:t xml:space="preserve">K bodu 4 [§ 10 ods. 16] </w:t>
      </w:r>
    </w:p>
    <w:p w14:paraId="6D2143EB" w14:textId="77777777" w:rsidR="000F55D6" w:rsidRPr="008C57AB" w:rsidRDefault="000F55D6" w:rsidP="000F55D6">
      <w:pPr>
        <w:spacing w:line="276" w:lineRule="auto"/>
        <w:jc w:val="both"/>
      </w:pPr>
      <w:r w:rsidRPr="008C57AB">
        <w:t>Navrhovaný nový odsek upravuje povinnosť Národnej banky Slovenska upovedomiť EIOPA o rozhodnutí o priznaní, resp. odobraní výhod podľa § 10 ods. 10 zákona o poisťovníctve. Navrhovaná zmena zákona o poisťovníctve vychádza zo znenia Usmernenia č. 10 Usmernení EIOPA.</w:t>
      </w:r>
    </w:p>
    <w:p w14:paraId="30378668" w14:textId="77777777" w:rsidR="000F55D6" w:rsidRPr="008C57AB" w:rsidRDefault="000F55D6" w:rsidP="000F55D6">
      <w:pPr>
        <w:spacing w:line="276" w:lineRule="auto"/>
        <w:jc w:val="both"/>
      </w:pPr>
    </w:p>
    <w:p w14:paraId="5D2C1D52" w14:textId="77777777" w:rsidR="000F55D6" w:rsidRPr="008C57AB" w:rsidRDefault="000F55D6" w:rsidP="000F55D6">
      <w:pPr>
        <w:spacing w:line="276" w:lineRule="auto"/>
        <w:jc w:val="both"/>
        <w:rPr>
          <w:b/>
          <w:bCs/>
        </w:rPr>
      </w:pPr>
      <w:r w:rsidRPr="008C57AB">
        <w:rPr>
          <w:b/>
          <w:bCs/>
        </w:rPr>
        <w:t>K bodu 5 [§ 10 ods. 18]</w:t>
      </w:r>
    </w:p>
    <w:p w14:paraId="006DAEF4" w14:textId="77777777" w:rsidR="000F55D6" w:rsidRPr="008C57AB" w:rsidRDefault="000F55D6" w:rsidP="000F55D6">
      <w:pPr>
        <w:spacing w:line="276" w:lineRule="auto"/>
        <w:jc w:val="both"/>
      </w:pPr>
      <w:r w:rsidRPr="008C57AB">
        <w:t>Navrhované ustanovenie upravuje povinnosť pobočky zahraničnej poisťovne, ktorej boli priznané výhody podľa § 10 ods. 10 zákona o poisťovníctve, predkladať Národnej banke Slovenska konsolidovanú účtovnú závierku, pokrývajúcu všetky operácie zahraničnej poisťovne na území členských štátov. Uvedené sa však aplikuje len v prípade, ak bola Národná banka Slovenska určená ako príslušný orgán dohľadu, ktorý bude vykonávať dohľad nad dodržiavaním solventnosti pobočiek zahraničnej poisťovne vykonávajúcich poisťovaciu činnosť na území členských štátov. Predmetná povinnosť tak Národnej banke Slovenska poskytne pravidelný prehľad o solventnosti všetkých pobočiek zahraničnej poisťovne v členských štátoch. Navrhovaná zmena zákona o poisťovníctve vychádza zo znenia Usmernenia č. 12 Usmernení EIOPA.</w:t>
      </w:r>
    </w:p>
    <w:p w14:paraId="0ADD8A28" w14:textId="77777777" w:rsidR="000F55D6" w:rsidRPr="008C57AB" w:rsidRDefault="000F55D6" w:rsidP="000F55D6">
      <w:pPr>
        <w:spacing w:line="276" w:lineRule="auto"/>
        <w:jc w:val="both"/>
      </w:pPr>
    </w:p>
    <w:p w14:paraId="7009C6E5" w14:textId="77777777" w:rsidR="000F55D6" w:rsidRPr="008C57AB" w:rsidRDefault="000F55D6" w:rsidP="000F55D6">
      <w:pPr>
        <w:spacing w:line="276" w:lineRule="auto"/>
        <w:jc w:val="both"/>
        <w:rPr>
          <w:b/>
          <w:bCs/>
        </w:rPr>
      </w:pPr>
      <w:r w:rsidRPr="008C57AB">
        <w:rPr>
          <w:b/>
          <w:bCs/>
        </w:rPr>
        <w:t>K bodom 6 a 7 [§ 11 ods. 2 a 5]</w:t>
      </w:r>
    </w:p>
    <w:p w14:paraId="42202488" w14:textId="77777777" w:rsidR="000F55D6" w:rsidRPr="008C57AB" w:rsidRDefault="000F55D6" w:rsidP="000F55D6">
      <w:pPr>
        <w:spacing w:line="276" w:lineRule="auto"/>
        <w:jc w:val="both"/>
      </w:pPr>
      <w:r w:rsidRPr="008C57AB">
        <w:t>Ustanovenia zohľadňujú úpravy navrhované v rámci bodov 3 a 4.</w:t>
      </w:r>
    </w:p>
    <w:p w14:paraId="662655D6" w14:textId="77777777" w:rsidR="000F55D6" w:rsidRPr="008C57AB" w:rsidRDefault="000F55D6" w:rsidP="000F55D6">
      <w:pPr>
        <w:spacing w:line="276" w:lineRule="auto"/>
        <w:jc w:val="both"/>
      </w:pPr>
    </w:p>
    <w:p w14:paraId="67B7EA2D" w14:textId="77777777" w:rsidR="000F55D6" w:rsidRPr="008C57AB" w:rsidRDefault="000F55D6" w:rsidP="000F55D6">
      <w:pPr>
        <w:spacing w:line="276" w:lineRule="auto"/>
        <w:jc w:val="both"/>
        <w:rPr>
          <w:b/>
          <w:bCs/>
        </w:rPr>
      </w:pPr>
      <w:r w:rsidRPr="008C57AB">
        <w:rPr>
          <w:b/>
          <w:bCs/>
        </w:rPr>
        <w:t xml:space="preserve">K bodu 8 [§ 26 ods. 3 a 4] </w:t>
      </w:r>
    </w:p>
    <w:p w14:paraId="159FAEB8" w14:textId="77777777" w:rsidR="000F55D6" w:rsidRPr="008C57AB" w:rsidRDefault="000F55D6" w:rsidP="000F55D6">
      <w:pPr>
        <w:spacing w:line="276" w:lineRule="auto"/>
        <w:jc w:val="both"/>
      </w:pPr>
      <w:r w:rsidRPr="008C57AB">
        <w:t xml:space="preserve">V zmysle § 26 ods. 1 zákona o poisťovníctve je pobočka zahraničnej poisťovne, resp. zahraničnej zaisťovne aj v súčasnosti povinná vykonávať vlastné posúdenia rizika a solventnosti, nemá však zákonnú povinnosť zohľadniť špecifické riziká vyplývajúce z charakteru svojho pôsobenia na území členských štátov EÚ a EHS a pôsobenia samotnej zahraničnej poisťovne, resp. zahraničnej zaisťovne. Zavádza sa taktiež povinnosť pobočky zahraničnej poisťovne, resp. zahraničnej zaisťovne zohľadniť pri vlastnom posúdení rizika a solventnosti riziká spojené so svojimi disponibilnými aktívami, ktoré sú definované v bode 9. Navrhovaná zmena zákona o poisťovníctve vychádza zo znenia Usmernení č. 34, 35 a 38 Usmernení EIOPA. </w:t>
      </w:r>
    </w:p>
    <w:p w14:paraId="29FE91AD" w14:textId="77777777" w:rsidR="000F55D6" w:rsidRPr="008C57AB" w:rsidRDefault="000F55D6" w:rsidP="000F55D6">
      <w:pPr>
        <w:spacing w:line="276" w:lineRule="auto"/>
        <w:jc w:val="both"/>
      </w:pPr>
    </w:p>
    <w:p w14:paraId="2627629B" w14:textId="77777777" w:rsidR="000F55D6" w:rsidRPr="008C57AB" w:rsidRDefault="000F55D6" w:rsidP="000F55D6">
      <w:pPr>
        <w:keepNext/>
        <w:spacing w:line="276" w:lineRule="auto"/>
        <w:jc w:val="both"/>
        <w:rPr>
          <w:b/>
          <w:bCs/>
        </w:rPr>
      </w:pPr>
      <w:r w:rsidRPr="008C57AB">
        <w:rPr>
          <w:b/>
          <w:bCs/>
        </w:rPr>
        <w:t xml:space="preserve">K bodu 9 [§ 65 ods. 2 až 7] </w:t>
      </w:r>
    </w:p>
    <w:p w14:paraId="4FFE9618" w14:textId="77777777" w:rsidR="000F55D6" w:rsidRPr="008C57AB" w:rsidRDefault="000F55D6" w:rsidP="000F55D6">
      <w:pPr>
        <w:spacing w:line="276" w:lineRule="auto"/>
        <w:jc w:val="both"/>
      </w:pPr>
      <w:r w:rsidRPr="008C57AB">
        <w:t xml:space="preserve">Navrhované ustanovenia v odsekoch 2 a 3 upravuje povinnosť pobočky zahraničnej poisťovne alebo zahraničnej zaisťovne držať aktíva kryjúce stanovené hodnoty solventnosti na území Slovenskej republiky, resp. členských štátov EÚ a EHS. </w:t>
      </w:r>
    </w:p>
    <w:p w14:paraId="74D102FD" w14:textId="77777777" w:rsidR="000F55D6" w:rsidRPr="008C57AB" w:rsidRDefault="000F55D6" w:rsidP="000F55D6">
      <w:pPr>
        <w:spacing w:line="276" w:lineRule="auto"/>
        <w:jc w:val="both"/>
      </w:pPr>
      <w:r w:rsidRPr="008C57AB">
        <w:t xml:space="preserve">Navrhovaný odsek 4 upravuje povinnosť pobočky zahraničnej poisťovne alebo zahraničnej zaisťovne informovať Národnú banku Slovenska o tom, že prestali spĺňať vyššie spomenuté povinnosti, pričom vychádza zo znenia Usmernenia č. 18 Usmernení EIOPA. </w:t>
      </w:r>
    </w:p>
    <w:p w14:paraId="116C8FCF" w14:textId="77777777" w:rsidR="000F55D6" w:rsidRPr="008C57AB" w:rsidRDefault="000F55D6" w:rsidP="000F55D6">
      <w:pPr>
        <w:spacing w:line="276" w:lineRule="auto"/>
        <w:jc w:val="both"/>
      </w:pPr>
      <w:r w:rsidRPr="008C57AB">
        <w:t>Navrhovaný odsek 5 upravuje kvalitatívnu požiadavku na aktíva, ktoré pobočka zahraničnej poisťovne alebo zahraničnej zaisťovne použije pri výpočte hodnôt solventnosti. V súlade s uvedeným je definovaný nový pojem „disponibilné aktíva“, pričom nastavenie spôsobu určenia ich hodnoty je ponechaný na opatrenie vydané Národnou bankou Slovenska. Navrhovaná zmena zákona o poisťovníctve vychádza zo znenia Usmernení č. 6, 25 a 26 Usmernení EIOPA.</w:t>
      </w:r>
    </w:p>
    <w:p w14:paraId="0CD5C142" w14:textId="77777777" w:rsidR="000F55D6" w:rsidRDefault="000F55D6" w:rsidP="000F55D6">
      <w:pPr>
        <w:spacing w:line="276" w:lineRule="auto"/>
        <w:jc w:val="both"/>
      </w:pPr>
      <w:r w:rsidRPr="008C57AB">
        <w:t>Navrhovaný odsek 6 ustanovuje povinnosť zahraničnej poisťovne alebo zahraničnej zaisťovne, ktoré pôsobia na území Slovenskej republiky prostredníctvom pobočky, informovať Národnú banku Slovenska o všetkých ďalších pobočkách v rámci členských štátov EÚ a EHS, resp. o zámere ich zriadiť, a to najmä s poukazom na ustanovenia o výhodách podľa § 10 ods. 10 zákona o poisťovníctve a vzhľadom na efektívny výkon dohľadu nad pobočkou zahraničnej poisťovne alebo zahraničnej zaisťovne podľa § 79 ods. 1 zákona o poisťovníctve. Navrhovaná zmena predmetného zákona vychádza zo znenia Usmernenia č. 11 Usmernení EIOPA.</w:t>
      </w:r>
    </w:p>
    <w:p w14:paraId="7F63B845" w14:textId="77777777" w:rsidR="000F55D6" w:rsidRPr="008C57AB" w:rsidRDefault="000F55D6" w:rsidP="000F55D6">
      <w:pPr>
        <w:spacing w:line="276" w:lineRule="auto"/>
        <w:jc w:val="both"/>
      </w:pPr>
      <w:r w:rsidRPr="008C57AB">
        <w:t>Navrhovaný odsek 7 upravuje povinnosť pobočky zahraničnej poisťovne alebo zahraničnej zaisťovne zverejniť rovnaké informácie aké má zahraničná poisťovňa alebo zahraničná zaisťovňa povinnosť zverejniť na základe právneho poriadku domovského štátu. Predmetné ustanovenie zabezpečuje spotrebiteľom na slovenskom poistnom trhu prístup k rovnakým údajom ako klientom zahraničnej poisťovne alebo zahraničnej zaisťovne v domovskej krajine. Navrhovaná zmena zákona o poisťovníctve vychádza zo znenia Usmernenia č. 36 Usmernení EIOPA.</w:t>
      </w:r>
    </w:p>
    <w:p w14:paraId="2FA13138" w14:textId="77777777" w:rsidR="000F55D6" w:rsidRPr="008C57AB" w:rsidRDefault="000F55D6" w:rsidP="000F55D6">
      <w:pPr>
        <w:spacing w:line="276" w:lineRule="auto"/>
        <w:jc w:val="both"/>
      </w:pPr>
    </w:p>
    <w:p w14:paraId="55E9F873" w14:textId="77777777" w:rsidR="000F55D6" w:rsidRPr="008C57AB" w:rsidRDefault="000F55D6" w:rsidP="00DE33D4">
      <w:pPr>
        <w:keepNext/>
        <w:spacing w:line="276" w:lineRule="auto"/>
        <w:jc w:val="both"/>
        <w:rPr>
          <w:b/>
          <w:bCs/>
        </w:rPr>
      </w:pPr>
      <w:r w:rsidRPr="008C57AB">
        <w:rPr>
          <w:b/>
          <w:bCs/>
        </w:rPr>
        <w:lastRenderedPageBreak/>
        <w:t>K bodu 10 [§ 79 ods. 26 písm. a) a b)]</w:t>
      </w:r>
    </w:p>
    <w:p w14:paraId="0BED3C15" w14:textId="77777777" w:rsidR="000F55D6" w:rsidRPr="008C57AB" w:rsidRDefault="000F55D6" w:rsidP="000F55D6">
      <w:pPr>
        <w:spacing w:line="276" w:lineRule="auto"/>
        <w:jc w:val="both"/>
      </w:pPr>
      <w:r w:rsidRPr="008C57AB">
        <w:t>Úprava znenia § 79 ods. 26 písm. a) zákona o poisťovníctve sa navrhuje s cieľom reflektovať prípady, v ktorých je Národná banka Slovenska povinná poskytnúť informácie získané pri výkone dohľadu okrem Európskych orgánov dohľadu aj iným orgánom Európskej únie. V praxi bežná je napríklad potreba poskytnutia súčinnosti na žiadosť Európskej komisie - napr. pri posudzovaní dodržiavania pravidiel hospodárskej súťaže pri cezhraničnom zlučovaní.</w:t>
      </w:r>
    </w:p>
    <w:p w14:paraId="27269F1D" w14:textId="77777777" w:rsidR="000F55D6" w:rsidRPr="008C57AB" w:rsidRDefault="000F55D6" w:rsidP="000F55D6">
      <w:pPr>
        <w:spacing w:line="276" w:lineRule="auto"/>
        <w:jc w:val="both"/>
      </w:pPr>
      <w:r w:rsidRPr="008C57AB">
        <w:t>Navrhovaná úprava znenia § 79 ods. 26 písm. b) zákona o poisťovníctve má zahŕňať aj prípady štátov, v ktorých nie sú všetky dohľadové právomoci sústredené u jedného orgánu a na niektorých činnostiach v oblasti dohľadu čiastočne participuje aj iný orgán verejnej správy, ktorý nie je označený za orgán dohľadu (napr. na Islande, kde sa delia právomoci medzi centrálnu banku Islandu a príslušné ministerstvo).</w:t>
      </w:r>
    </w:p>
    <w:p w14:paraId="0FB2D8D4" w14:textId="77777777" w:rsidR="000F55D6" w:rsidRPr="008C57AB" w:rsidRDefault="000F55D6" w:rsidP="000F55D6">
      <w:pPr>
        <w:spacing w:line="276" w:lineRule="auto"/>
        <w:jc w:val="both"/>
      </w:pPr>
    </w:p>
    <w:p w14:paraId="5B3506D2" w14:textId="77777777" w:rsidR="000F55D6" w:rsidRPr="008C57AB" w:rsidRDefault="000F55D6" w:rsidP="000F55D6">
      <w:pPr>
        <w:spacing w:line="276" w:lineRule="auto"/>
        <w:jc w:val="both"/>
        <w:rPr>
          <w:b/>
          <w:bCs/>
        </w:rPr>
      </w:pPr>
      <w:r w:rsidRPr="008C57AB">
        <w:rPr>
          <w:b/>
          <w:bCs/>
        </w:rPr>
        <w:t>K bodu 11 [§ 79 ods. 26 písm. j) až m)]</w:t>
      </w:r>
    </w:p>
    <w:p w14:paraId="1C537CE9" w14:textId="77777777" w:rsidR="000F55D6" w:rsidRPr="008C57AB" w:rsidRDefault="000F55D6" w:rsidP="000F55D6">
      <w:pPr>
        <w:spacing w:line="276" w:lineRule="auto"/>
        <w:jc w:val="both"/>
      </w:pPr>
      <w:r w:rsidRPr="008C57AB">
        <w:t>V § 79 ods. 26 zákona o poisťovníctve sa navrhuje doplniť nové písmeno j) s cieľom explicitne upraviť aj prípady, v ktorých má Národná banka Slovenska v súlade s osobitným predpisom povinnosť poskytovať informácie aj iným orgánom, okrem tých, ktoré už v spomínanom zákone sú vymenované.</w:t>
      </w:r>
    </w:p>
    <w:p w14:paraId="49EBA939" w14:textId="77777777" w:rsidR="000F55D6" w:rsidRPr="008C57AB" w:rsidRDefault="000F55D6" w:rsidP="000F55D6">
      <w:pPr>
        <w:spacing w:line="276" w:lineRule="auto"/>
        <w:jc w:val="both"/>
      </w:pPr>
      <w:r w:rsidRPr="008C57AB">
        <w:t xml:space="preserve">Doplnenie písmena k) do predmetného ustanovenia zákona sa navrhuje s cieľom explicitného ustanovenia výnimky z povinnosti mlčanlivosti zamestnancov Národnej banky Slovenska vo vzťahu k osobám, akými sú napr. likvidátor, nútený správca a konkurzný správca, nakoľko je zrejmé, že Národná banka Slovenska je povinná týmto osobám príslušné informácie poskytovať. Tieto osoby majú zo zákona o poisťovníctve povinnosť mlčanlivosti o všetkých skutočnostiach, o ktorých sa dozvedia pri výkone svojej funkcie (§ 72 ods. 1, § 150 ods. 3 a § 161 ods. 7). </w:t>
      </w:r>
    </w:p>
    <w:p w14:paraId="70C7BA7C" w14:textId="77777777" w:rsidR="000F55D6" w:rsidRPr="008C57AB" w:rsidRDefault="000F55D6" w:rsidP="000F55D6">
      <w:pPr>
        <w:spacing w:line="276" w:lineRule="auto"/>
        <w:jc w:val="both"/>
      </w:pPr>
      <w:r w:rsidRPr="008C57AB">
        <w:t>Doplnenie písmena l) do ustanovenia § 79 ods. 26 zákona o poisťovníctve sa navrhuje s cieľom  explicitného ustanovenia výnimky z povinnosti mlčanlivosti zamestnancov Národnej banky Slovenska vo vzťahu k advokátom, pričom poskytnutie informácií je nevyhnutné v prípade, ak sú Národná banka Slovenska alebo jej zamestnanci zastúpení advokátom v konaniach vedených v súvislosti s výkonom dohľadu.</w:t>
      </w:r>
    </w:p>
    <w:p w14:paraId="394A0B87" w14:textId="77777777" w:rsidR="000F55D6" w:rsidRPr="008C57AB" w:rsidRDefault="000F55D6" w:rsidP="000F55D6">
      <w:pPr>
        <w:spacing w:line="276" w:lineRule="auto"/>
        <w:jc w:val="both"/>
      </w:pPr>
      <w:r w:rsidRPr="008C57AB">
        <w:t xml:space="preserve">Doplnenie písmena m) do ustanovenia § 79 ods. 26 zákona o poisťovníctve sa navrhuje s cieľom  explicitného ustanovenia výnimky z povinnosti mlčanlivosti zamestnancov Národnej banky Slovenska pre účely zabezpečenia dôkazných prostriedkov pri výkone dohľadu alebo v konaniach o uložení sankcie, s ktorými procesný predpis - zákon č. 747/2004 Z. z. o dohľade nad finančným trhom a o zmene a doplnení niektorých zákonov v znení neskorších predpisov (ďalej len „zákon o dohľade“) - počíta. </w:t>
      </w:r>
    </w:p>
    <w:p w14:paraId="68A903D8" w14:textId="77777777" w:rsidR="000F55D6" w:rsidRPr="008C57AB" w:rsidRDefault="000F55D6" w:rsidP="000F55D6">
      <w:pPr>
        <w:spacing w:line="276" w:lineRule="auto"/>
        <w:jc w:val="both"/>
      </w:pPr>
    </w:p>
    <w:p w14:paraId="37057273" w14:textId="77777777" w:rsidR="000F55D6" w:rsidRPr="008C57AB" w:rsidRDefault="000F55D6" w:rsidP="000F55D6">
      <w:pPr>
        <w:spacing w:line="276" w:lineRule="auto"/>
        <w:jc w:val="both"/>
        <w:rPr>
          <w:b/>
          <w:bCs/>
        </w:rPr>
      </w:pPr>
      <w:r w:rsidRPr="008C57AB">
        <w:rPr>
          <w:b/>
          <w:bCs/>
        </w:rPr>
        <w:t>K bodu 12 [§ 79 ods. 29]</w:t>
      </w:r>
    </w:p>
    <w:p w14:paraId="67047EB7" w14:textId="77777777" w:rsidR="000F55D6" w:rsidRPr="008C57AB" w:rsidRDefault="000F55D6" w:rsidP="000F55D6">
      <w:pPr>
        <w:spacing w:line="276" w:lineRule="auto"/>
        <w:jc w:val="both"/>
      </w:pPr>
      <w:r w:rsidRPr="008C57AB">
        <w:t xml:space="preserve">Navrhovaná úprava reaguje na skutočnosť, že pred uzatvorením zmluvy s osobami, na ktoré sa v ustanovení odkazuje, je Národná banka Slovenska povinná posúdiť príslušné skutočnosti -  napr. prípadný konflikt záujmov týchto osôb s dohliadaným subjektom a poskytnúť určitý rozsah informácií, aby sa druhá strana mala možnosť rozhodnúť vo veci uzatvorenia zmluvy, resp. o prevzatí funkcie a pod. V naznačenej súvislosti sa zároveň navrhuje ustanoviť podmienku, že informácie získané pri výkone dohľadu je Národná banka Slovenska oprávnená </w:t>
      </w:r>
      <w:r w:rsidRPr="008C57AB">
        <w:lastRenderedPageBreak/>
        <w:t xml:space="preserve">poskytnúť osobe podľa § 79 ods. 26 písm. k) až m) až po uzatvorení zmluvy o mlčanlivosti medzi Národnou bankou Slovenska a touto osobou. </w:t>
      </w:r>
    </w:p>
    <w:p w14:paraId="327E23A0" w14:textId="77777777" w:rsidR="000F55D6" w:rsidRPr="008C57AB" w:rsidRDefault="000F55D6" w:rsidP="000F55D6">
      <w:pPr>
        <w:spacing w:line="276" w:lineRule="auto"/>
        <w:jc w:val="both"/>
      </w:pPr>
    </w:p>
    <w:p w14:paraId="2C296F3E" w14:textId="77777777" w:rsidR="000F55D6" w:rsidRPr="008C57AB" w:rsidRDefault="000F55D6" w:rsidP="000F55D6">
      <w:pPr>
        <w:spacing w:line="276" w:lineRule="auto"/>
        <w:jc w:val="both"/>
        <w:rPr>
          <w:b/>
          <w:bCs/>
        </w:rPr>
      </w:pPr>
      <w:r w:rsidRPr="008C57AB">
        <w:rPr>
          <w:b/>
          <w:bCs/>
        </w:rPr>
        <w:t>K bodu 13 [§ 148 ods. 5 prvá veta]</w:t>
      </w:r>
    </w:p>
    <w:p w14:paraId="4C9D6741" w14:textId="77777777" w:rsidR="000F55D6" w:rsidRPr="008C57AB" w:rsidRDefault="000F55D6" w:rsidP="000F55D6">
      <w:pPr>
        <w:spacing w:line="276" w:lineRule="auto"/>
        <w:jc w:val="both"/>
      </w:pPr>
      <w:r w:rsidRPr="008C57AB">
        <w:t>Účelom ustanovenia § 148 ods. 5 je zabránenie konfliktu záujmov osôb núteného správcu a dohliadaného subjektu, nad ktorým sa zavádza nútená správa. Daný účel však spoľahlivo zabezpečuje podmienka uvedená v poslednej vete tohto ustanovenia v spojení s odsekom 4. Časť ustanovenia, ktorého vypustenie sa navrhuje, tvorí do určitej miery duplicitu a čiastočne výkladové problémy, nakoľko z neho nie je zrejmé, či by sa nemali preverovať všetci zamestnanci advokátskych spoločností a audítorských spoločností, a to vrátane tých, ktorí pri výkone nútenej správy nebudú nijako participovať (napr. koncipienti, brigádnici či dokonca vrátnici). V dôsledku požiadavky takéhoto rozsiahleho preverovania by mohlo dôjsť k materiálne neodôvodnenej diskvalifikácii okruhu osôb, ktoré by mohli byť potenciálne vymenované za núteného správcu a eventuálne, v niektorých prípadoch, dokonca až k zmareniu zavedenia nútenej správy.</w:t>
      </w:r>
    </w:p>
    <w:p w14:paraId="4D8EF843" w14:textId="77777777" w:rsidR="000F55D6" w:rsidRPr="008C57AB" w:rsidRDefault="000F55D6" w:rsidP="000F55D6">
      <w:pPr>
        <w:spacing w:line="276" w:lineRule="auto"/>
        <w:jc w:val="both"/>
      </w:pPr>
      <w:r>
        <w:t>V poznámke pod čiarou k odkazu 71 sa u</w:t>
      </w:r>
      <w:r w:rsidRPr="008C57AB">
        <w:t>vedenie skrátenej citácie zákona č. 586/2003 Z. z. o advokácii a o zmene a doplnení zákona č. 455/1991 Zb. o živnostenskom podnikaní (živnostenský zákon) v znení neskorších predpisov, v znení neskorších predpisov navrhuje s ohľadom na skutočnosť, že uvedenie úplného názvu predmetného zákona sa navrhuje už v poznámke pod čiarou k odkazu 60b (v rámci ustanovenia § 79 ods. 26 písm. l)).</w:t>
      </w:r>
    </w:p>
    <w:p w14:paraId="00D6FF68" w14:textId="77777777" w:rsidR="000F55D6" w:rsidRPr="008C57AB" w:rsidRDefault="000F55D6" w:rsidP="000F55D6">
      <w:pPr>
        <w:spacing w:line="276" w:lineRule="auto"/>
        <w:jc w:val="both"/>
      </w:pPr>
    </w:p>
    <w:p w14:paraId="5310DCD2" w14:textId="77777777" w:rsidR="000F55D6" w:rsidRPr="008C57AB" w:rsidRDefault="000F55D6" w:rsidP="000F55D6">
      <w:pPr>
        <w:spacing w:line="276" w:lineRule="auto"/>
        <w:jc w:val="both"/>
        <w:rPr>
          <w:b/>
          <w:bCs/>
        </w:rPr>
      </w:pPr>
      <w:r w:rsidRPr="008C57AB">
        <w:rPr>
          <w:b/>
          <w:bCs/>
        </w:rPr>
        <w:t>K bodu 1</w:t>
      </w:r>
      <w:r>
        <w:rPr>
          <w:b/>
          <w:bCs/>
        </w:rPr>
        <w:t>4</w:t>
      </w:r>
      <w:r w:rsidRPr="008C57AB">
        <w:rPr>
          <w:b/>
          <w:bCs/>
        </w:rPr>
        <w:t xml:space="preserve"> [§ 148 ods. 10]</w:t>
      </w:r>
    </w:p>
    <w:p w14:paraId="48F44C4A" w14:textId="77777777" w:rsidR="000F55D6" w:rsidRPr="008C57AB" w:rsidRDefault="000F55D6" w:rsidP="000F55D6">
      <w:pPr>
        <w:spacing w:line="276" w:lineRule="auto"/>
        <w:jc w:val="both"/>
      </w:pPr>
      <w:r w:rsidRPr="008C57AB">
        <w:t>V súvislosti s výkonom nútenej správy v poisťovni môže vzniknúť potreba využitia odborného poradenstva vo veľmi špecifických oblastiach (napríklad oblasť poistnej matematiky, resp. aktuárstva), v prípade ktorých môže byť problematické nájsť osobu, ktorá takéto kvalifikované poradenstvo poskytuje ako fyzická osoba, a teda sa navrhuje v zákone explicitne ustanoviť skutočnosť, že odborným poradcom môže byť aj právnická osoba, pričom táto môže vykonávať činnosť len prostredníctvom osôb spĺňajúcich požiadavky ako fyzická osoba odborný poradca.</w:t>
      </w:r>
    </w:p>
    <w:p w14:paraId="5F1F9CAE" w14:textId="77777777" w:rsidR="000F55D6" w:rsidRPr="008C57AB" w:rsidRDefault="000F55D6" w:rsidP="000F55D6">
      <w:pPr>
        <w:spacing w:line="276" w:lineRule="auto"/>
        <w:jc w:val="both"/>
      </w:pPr>
    </w:p>
    <w:p w14:paraId="5ACAAB55" w14:textId="77777777" w:rsidR="000F55D6" w:rsidRPr="008C57AB" w:rsidRDefault="000F55D6" w:rsidP="000F55D6">
      <w:pPr>
        <w:spacing w:line="276" w:lineRule="auto"/>
        <w:jc w:val="both"/>
        <w:rPr>
          <w:b/>
          <w:bCs/>
        </w:rPr>
      </w:pPr>
      <w:r w:rsidRPr="008C57AB">
        <w:rPr>
          <w:b/>
          <w:bCs/>
        </w:rPr>
        <w:t>K bodu 1</w:t>
      </w:r>
      <w:r>
        <w:rPr>
          <w:b/>
          <w:bCs/>
        </w:rPr>
        <w:t>5</w:t>
      </w:r>
      <w:r w:rsidRPr="008C57AB">
        <w:rPr>
          <w:b/>
          <w:bCs/>
        </w:rPr>
        <w:t xml:space="preserve"> [§ 154 ods. 1]</w:t>
      </w:r>
    </w:p>
    <w:p w14:paraId="2A3526CA" w14:textId="2C1BB9D7" w:rsidR="00293371" w:rsidRPr="00C910F9" w:rsidRDefault="000F55D6" w:rsidP="000F55D6">
      <w:pPr>
        <w:spacing w:line="276" w:lineRule="auto"/>
        <w:jc w:val="both"/>
      </w:pPr>
      <w:r w:rsidRPr="008C57AB">
        <w:t>V § 154 ods. 1 zákona o poisťovníctve sa navrhuje precizovať údaje, ktoré sa majú do obchodného registra zapisovať o nútenom správcovi, ktorý je fyzickou osobou a jeho zástupcovi. V uvedenom ustanovení sa zároveň navrhuje doplniť údaje, ktoré sa majú zapisovať do obchodného registra, v prípade, ak je núteným správcom právnická osoba, nakoľko aktuálne takáto úprava úplne absentuje.</w:t>
      </w:r>
    </w:p>
    <w:p w14:paraId="62BF9D17" w14:textId="37B49F46" w:rsidR="00213F3D" w:rsidRPr="00224087" w:rsidRDefault="00213F3D" w:rsidP="009017D3">
      <w:pPr>
        <w:jc w:val="both"/>
      </w:pPr>
    </w:p>
    <w:p w14:paraId="7B577431" w14:textId="53D245AE" w:rsidR="00FE3081" w:rsidRPr="00224087" w:rsidRDefault="00FE3081" w:rsidP="00FE3081">
      <w:pPr>
        <w:tabs>
          <w:tab w:val="left" w:pos="0"/>
        </w:tabs>
        <w:ind w:left="425" w:hanging="425"/>
        <w:jc w:val="center"/>
        <w:rPr>
          <w:b/>
        </w:rPr>
      </w:pPr>
      <w:r w:rsidRPr="00224087">
        <w:rPr>
          <w:b/>
        </w:rPr>
        <w:t xml:space="preserve">K čl. </w:t>
      </w:r>
      <w:r w:rsidR="00181DFF">
        <w:rPr>
          <w:b/>
        </w:rPr>
        <w:t>XI</w:t>
      </w:r>
    </w:p>
    <w:p w14:paraId="3EFD20C2" w14:textId="77777777" w:rsidR="00C04B9C" w:rsidRPr="00224087" w:rsidRDefault="00C04B9C" w:rsidP="009017D3">
      <w:pPr>
        <w:jc w:val="both"/>
      </w:pPr>
    </w:p>
    <w:p w14:paraId="2D83E352" w14:textId="6B0F320B" w:rsidR="00213F3D" w:rsidRDefault="00FE3081" w:rsidP="009017D3">
      <w:pPr>
        <w:jc w:val="both"/>
      </w:pPr>
      <w:r w:rsidRPr="00224087">
        <w:t>V súlade s čl. 32 CBD sa navrhuje účinnosť zákona na 8. júla 2022</w:t>
      </w:r>
      <w:r w:rsidR="00FA7484" w:rsidRPr="00224087">
        <w:t>, pričom pri ustanoveniach, ktorých podstatou sú požiadavky na zmenu vyplývajúce z potrieb aplikačnej praxe, sa navrhuje skoršia účinnosť</w:t>
      </w:r>
      <w:r w:rsidR="003D0A40">
        <w:t>,</w:t>
      </w:r>
      <w:r w:rsidR="00FA7484" w:rsidRPr="00224087">
        <w:t xml:space="preserve"> a to od </w:t>
      </w:r>
      <w:r w:rsidR="0074144C" w:rsidRPr="00224087">
        <w:t>10. novembra 2021</w:t>
      </w:r>
      <w:r w:rsidR="00181DFF">
        <w:t>,</w:t>
      </w:r>
      <w:r w:rsidR="00EB7941">
        <w:t xml:space="preserve"> resp. pre </w:t>
      </w:r>
      <w:r w:rsidR="00EB7941" w:rsidRPr="00EB7941">
        <w:t>čl. IV bod 1</w:t>
      </w:r>
      <w:r w:rsidR="00EB7941">
        <w:t xml:space="preserve"> od </w:t>
      </w:r>
      <w:r w:rsidR="00EB7941" w:rsidRPr="00EB7941">
        <w:t>1. januára 2022</w:t>
      </w:r>
      <w:r w:rsidRPr="00224087">
        <w:t>.</w:t>
      </w:r>
    </w:p>
    <w:p w14:paraId="0F650150" w14:textId="35FD9DC8" w:rsidR="00FE3081" w:rsidRDefault="00FE3081" w:rsidP="009017D3">
      <w:pPr>
        <w:jc w:val="both"/>
      </w:pPr>
    </w:p>
    <w:sectPr w:rsidR="00FE30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C33DA" w14:textId="77777777" w:rsidR="001D762D" w:rsidRDefault="001D762D" w:rsidP="00717C32">
      <w:r>
        <w:separator/>
      </w:r>
    </w:p>
  </w:endnote>
  <w:endnote w:type="continuationSeparator" w:id="0">
    <w:p w14:paraId="58304079" w14:textId="77777777" w:rsidR="001D762D" w:rsidRDefault="001D762D" w:rsidP="00717C32">
      <w:r>
        <w:continuationSeparator/>
      </w:r>
    </w:p>
  </w:endnote>
  <w:endnote w:type="continuationNotice" w:id="1">
    <w:p w14:paraId="2F5D29EA" w14:textId="77777777" w:rsidR="001D762D" w:rsidRDefault="001D7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242694"/>
      <w:docPartObj>
        <w:docPartGallery w:val="Page Numbers (Bottom of Page)"/>
        <w:docPartUnique/>
      </w:docPartObj>
    </w:sdtPr>
    <w:sdtEndPr/>
    <w:sdtContent>
      <w:p w14:paraId="0B4741C0" w14:textId="140BD7C4" w:rsidR="001D762D" w:rsidRDefault="001D762D">
        <w:pPr>
          <w:pStyle w:val="Pta"/>
          <w:jc w:val="right"/>
        </w:pPr>
        <w:r>
          <w:fldChar w:fldCharType="begin"/>
        </w:r>
        <w:r>
          <w:instrText>PAGE   \* MERGEFORMAT</w:instrText>
        </w:r>
        <w:r>
          <w:fldChar w:fldCharType="separate"/>
        </w:r>
        <w:r w:rsidR="00857D2E">
          <w:rPr>
            <w:noProof/>
          </w:rPr>
          <w:t>1</w:t>
        </w:r>
        <w:r>
          <w:fldChar w:fldCharType="end"/>
        </w:r>
      </w:p>
    </w:sdtContent>
  </w:sdt>
  <w:p w14:paraId="2EFFB99F" w14:textId="77777777" w:rsidR="001D762D" w:rsidRDefault="001D76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802F3" w14:textId="77777777" w:rsidR="001D762D" w:rsidRDefault="001D762D" w:rsidP="00717C32">
      <w:r>
        <w:separator/>
      </w:r>
    </w:p>
  </w:footnote>
  <w:footnote w:type="continuationSeparator" w:id="0">
    <w:p w14:paraId="2FB0393B" w14:textId="77777777" w:rsidR="001D762D" w:rsidRDefault="001D762D" w:rsidP="00717C32">
      <w:r>
        <w:continuationSeparator/>
      </w:r>
    </w:p>
  </w:footnote>
  <w:footnote w:type="continuationNotice" w:id="1">
    <w:p w14:paraId="3B68ABD8" w14:textId="77777777" w:rsidR="001D762D" w:rsidRDefault="001D76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533C4"/>
    <w:multiLevelType w:val="hybridMultilevel"/>
    <w:tmpl w:val="942608A2"/>
    <w:lvl w:ilvl="0" w:tplc="18C6E556">
      <w:start w:val="1"/>
      <w:numFmt w:val="bullet"/>
      <w:lvlText w:val="-"/>
      <w:lvlJc w:val="left"/>
      <w:pPr>
        <w:ind w:left="1080" w:hanging="360"/>
      </w:pPr>
      <w:rPr>
        <w:rFonts w:ascii="Cambria" w:eastAsiaTheme="minorHAnsi" w:hAnsi="Cambria"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4ABF42FC"/>
    <w:multiLevelType w:val="hybridMultilevel"/>
    <w:tmpl w:val="AE0692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06"/>
    <w:rsid w:val="0000362F"/>
    <w:rsid w:val="00012C54"/>
    <w:rsid w:val="00013A13"/>
    <w:rsid w:val="00027E6A"/>
    <w:rsid w:val="00034BF0"/>
    <w:rsid w:val="00040D53"/>
    <w:rsid w:val="0004365C"/>
    <w:rsid w:val="0004458C"/>
    <w:rsid w:val="00060DB5"/>
    <w:rsid w:val="0006103C"/>
    <w:rsid w:val="00073A47"/>
    <w:rsid w:val="00073E5F"/>
    <w:rsid w:val="000773F7"/>
    <w:rsid w:val="00081292"/>
    <w:rsid w:val="000855FE"/>
    <w:rsid w:val="0009047B"/>
    <w:rsid w:val="00092402"/>
    <w:rsid w:val="000A3EC8"/>
    <w:rsid w:val="000C3870"/>
    <w:rsid w:val="000C50C3"/>
    <w:rsid w:val="000C5196"/>
    <w:rsid w:val="000E6D2F"/>
    <w:rsid w:val="000F3D42"/>
    <w:rsid w:val="000F55D6"/>
    <w:rsid w:val="001026DC"/>
    <w:rsid w:val="00105715"/>
    <w:rsid w:val="0011023A"/>
    <w:rsid w:val="0011364A"/>
    <w:rsid w:val="00117C45"/>
    <w:rsid w:val="001309F3"/>
    <w:rsid w:val="0014189A"/>
    <w:rsid w:val="00143AC3"/>
    <w:rsid w:val="00152239"/>
    <w:rsid w:val="00174203"/>
    <w:rsid w:val="001761E8"/>
    <w:rsid w:val="001769DF"/>
    <w:rsid w:val="00181DFF"/>
    <w:rsid w:val="0019037A"/>
    <w:rsid w:val="00195A72"/>
    <w:rsid w:val="001A1280"/>
    <w:rsid w:val="001A6020"/>
    <w:rsid w:val="001B13EA"/>
    <w:rsid w:val="001B526E"/>
    <w:rsid w:val="001B5334"/>
    <w:rsid w:val="001B5A53"/>
    <w:rsid w:val="001B7E66"/>
    <w:rsid w:val="001C43FE"/>
    <w:rsid w:val="001C4CFD"/>
    <w:rsid w:val="001C4D4E"/>
    <w:rsid w:val="001D26FA"/>
    <w:rsid w:val="001D762D"/>
    <w:rsid w:val="001E1B39"/>
    <w:rsid w:val="001E7F09"/>
    <w:rsid w:val="001F277F"/>
    <w:rsid w:val="00200784"/>
    <w:rsid w:val="0020441C"/>
    <w:rsid w:val="00211B88"/>
    <w:rsid w:val="00211CAC"/>
    <w:rsid w:val="00213F3D"/>
    <w:rsid w:val="00224087"/>
    <w:rsid w:val="002254D4"/>
    <w:rsid w:val="002338B2"/>
    <w:rsid w:val="00243936"/>
    <w:rsid w:val="00250602"/>
    <w:rsid w:val="002530CB"/>
    <w:rsid w:val="00257228"/>
    <w:rsid w:val="00262635"/>
    <w:rsid w:val="00270BD4"/>
    <w:rsid w:val="002739B5"/>
    <w:rsid w:val="002850F5"/>
    <w:rsid w:val="00293371"/>
    <w:rsid w:val="00293848"/>
    <w:rsid w:val="00295AF6"/>
    <w:rsid w:val="002A3D8E"/>
    <w:rsid w:val="002B25D6"/>
    <w:rsid w:val="002C15FF"/>
    <w:rsid w:val="002D7897"/>
    <w:rsid w:val="002D7FEF"/>
    <w:rsid w:val="002F2368"/>
    <w:rsid w:val="002F2737"/>
    <w:rsid w:val="002F3BAE"/>
    <w:rsid w:val="003027A2"/>
    <w:rsid w:val="00325807"/>
    <w:rsid w:val="00330458"/>
    <w:rsid w:val="003315AA"/>
    <w:rsid w:val="00341DA4"/>
    <w:rsid w:val="00343147"/>
    <w:rsid w:val="003557B2"/>
    <w:rsid w:val="00366724"/>
    <w:rsid w:val="00367DCD"/>
    <w:rsid w:val="00380346"/>
    <w:rsid w:val="003C0B85"/>
    <w:rsid w:val="003C0ED6"/>
    <w:rsid w:val="003D0A40"/>
    <w:rsid w:val="003E5DA9"/>
    <w:rsid w:val="003F2EF2"/>
    <w:rsid w:val="003F3C92"/>
    <w:rsid w:val="003F4535"/>
    <w:rsid w:val="00400516"/>
    <w:rsid w:val="00401440"/>
    <w:rsid w:val="004055AA"/>
    <w:rsid w:val="00420304"/>
    <w:rsid w:val="00434233"/>
    <w:rsid w:val="004352BC"/>
    <w:rsid w:val="00441C36"/>
    <w:rsid w:val="00454DCC"/>
    <w:rsid w:val="00457CE5"/>
    <w:rsid w:val="00461856"/>
    <w:rsid w:val="00473F31"/>
    <w:rsid w:val="00486AA7"/>
    <w:rsid w:val="004870D0"/>
    <w:rsid w:val="004A590E"/>
    <w:rsid w:val="004C5BB1"/>
    <w:rsid w:val="004D5187"/>
    <w:rsid w:val="004D7491"/>
    <w:rsid w:val="004F36B3"/>
    <w:rsid w:val="004F4A1E"/>
    <w:rsid w:val="004F4C0C"/>
    <w:rsid w:val="0050175C"/>
    <w:rsid w:val="005202E4"/>
    <w:rsid w:val="005222BA"/>
    <w:rsid w:val="00526A91"/>
    <w:rsid w:val="005276F0"/>
    <w:rsid w:val="00533A33"/>
    <w:rsid w:val="0055085F"/>
    <w:rsid w:val="00554B5A"/>
    <w:rsid w:val="00556469"/>
    <w:rsid w:val="00563E58"/>
    <w:rsid w:val="00577841"/>
    <w:rsid w:val="005922C9"/>
    <w:rsid w:val="005A6CE8"/>
    <w:rsid w:val="005B36DE"/>
    <w:rsid w:val="005D31ED"/>
    <w:rsid w:val="005D66E2"/>
    <w:rsid w:val="005E7ABA"/>
    <w:rsid w:val="00603619"/>
    <w:rsid w:val="00616C62"/>
    <w:rsid w:val="00617628"/>
    <w:rsid w:val="00617A69"/>
    <w:rsid w:val="0062298D"/>
    <w:rsid w:val="00622BBE"/>
    <w:rsid w:val="006274DB"/>
    <w:rsid w:val="00631B29"/>
    <w:rsid w:val="006442EC"/>
    <w:rsid w:val="0064459B"/>
    <w:rsid w:val="00663106"/>
    <w:rsid w:val="00667197"/>
    <w:rsid w:val="00667F3E"/>
    <w:rsid w:val="00670DDA"/>
    <w:rsid w:val="006778E3"/>
    <w:rsid w:val="00685065"/>
    <w:rsid w:val="00691C3B"/>
    <w:rsid w:val="00693F99"/>
    <w:rsid w:val="006945C6"/>
    <w:rsid w:val="00696A37"/>
    <w:rsid w:val="006A3001"/>
    <w:rsid w:val="006B562D"/>
    <w:rsid w:val="006B6CD0"/>
    <w:rsid w:val="006B71DC"/>
    <w:rsid w:val="006C59C0"/>
    <w:rsid w:val="006C5FCA"/>
    <w:rsid w:val="006C6978"/>
    <w:rsid w:val="006C7522"/>
    <w:rsid w:val="006C793F"/>
    <w:rsid w:val="006D1CF0"/>
    <w:rsid w:val="00717C32"/>
    <w:rsid w:val="00721373"/>
    <w:rsid w:val="00723CEE"/>
    <w:rsid w:val="00734CD8"/>
    <w:rsid w:val="0074144C"/>
    <w:rsid w:val="0075506F"/>
    <w:rsid w:val="0077187B"/>
    <w:rsid w:val="007758D2"/>
    <w:rsid w:val="00775BC1"/>
    <w:rsid w:val="00781C45"/>
    <w:rsid w:val="0078273F"/>
    <w:rsid w:val="00783F10"/>
    <w:rsid w:val="0079754F"/>
    <w:rsid w:val="007B629B"/>
    <w:rsid w:val="007B7D0A"/>
    <w:rsid w:val="007C3275"/>
    <w:rsid w:val="007C509C"/>
    <w:rsid w:val="007C6E0D"/>
    <w:rsid w:val="007D5A4F"/>
    <w:rsid w:val="007D6063"/>
    <w:rsid w:val="007E24E5"/>
    <w:rsid w:val="007E3BE1"/>
    <w:rsid w:val="007E61D2"/>
    <w:rsid w:val="0080233E"/>
    <w:rsid w:val="00802419"/>
    <w:rsid w:val="0084281E"/>
    <w:rsid w:val="00845577"/>
    <w:rsid w:val="0084752B"/>
    <w:rsid w:val="00855E74"/>
    <w:rsid w:val="00857D2E"/>
    <w:rsid w:val="008608E3"/>
    <w:rsid w:val="008611A5"/>
    <w:rsid w:val="0087200B"/>
    <w:rsid w:val="008A6379"/>
    <w:rsid w:val="008C1905"/>
    <w:rsid w:val="008C2D17"/>
    <w:rsid w:val="008C300C"/>
    <w:rsid w:val="008C5103"/>
    <w:rsid w:val="008C569B"/>
    <w:rsid w:val="008D5C23"/>
    <w:rsid w:val="008D6CBC"/>
    <w:rsid w:val="008E34F3"/>
    <w:rsid w:val="008F26E6"/>
    <w:rsid w:val="0090093A"/>
    <w:rsid w:val="00900E97"/>
    <w:rsid w:val="009017D3"/>
    <w:rsid w:val="00903685"/>
    <w:rsid w:val="00905B57"/>
    <w:rsid w:val="00905BC0"/>
    <w:rsid w:val="009221A0"/>
    <w:rsid w:val="00936BCF"/>
    <w:rsid w:val="00937DEE"/>
    <w:rsid w:val="00946CE1"/>
    <w:rsid w:val="00955BB8"/>
    <w:rsid w:val="00962D94"/>
    <w:rsid w:val="00966429"/>
    <w:rsid w:val="00971735"/>
    <w:rsid w:val="00977933"/>
    <w:rsid w:val="00995517"/>
    <w:rsid w:val="00997E77"/>
    <w:rsid w:val="009A1CDB"/>
    <w:rsid w:val="009A2200"/>
    <w:rsid w:val="009A5F96"/>
    <w:rsid w:val="009B4C17"/>
    <w:rsid w:val="009C364F"/>
    <w:rsid w:val="009D5890"/>
    <w:rsid w:val="009E6A2F"/>
    <w:rsid w:val="009F047D"/>
    <w:rsid w:val="009F69EB"/>
    <w:rsid w:val="00A009A5"/>
    <w:rsid w:val="00A1062C"/>
    <w:rsid w:val="00A134E5"/>
    <w:rsid w:val="00A14D52"/>
    <w:rsid w:val="00A16435"/>
    <w:rsid w:val="00A16CFA"/>
    <w:rsid w:val="00A35C73"/>
    <w:rsid w:val="00A415DB"/>
    <w:rsid w:val="00A42E02"/>
    <w:rsid w:val="00A47D9F"/>
    <w:rsid w:val="00A535B9"/>
    <w:rsid w:val="00A54CC7"/>
    <w:rsid w:val="00A62CC3"/>
    <w:rsid w:val="00A662F1"/>
    <w:rsid w:val="00A75CF0"/>
    <w:rsid w:val="00A770AB"/>
    <w:rsid w:val="00A80798"/>
    <w:rsid w:val="00A83C22"/>
    <w:rsid w:val="00A85980"/>
    <w:rsid w:val="00A9244B"/>
    <w:rsid w:val="00A94E99"/>
    <w:rsid w:val="00A9587D"/>
    <w:rsid w:val="00A958D1"/>
    <w:rsid w:val="00AA25BD"/>
    <w:rsid w:val="00AC0D25"/>
    <w:rsid w:val="00AC2D34"/>
    <w:rsid w:val="00AC57C4"/>
    <w:rsid w:val="00AE44E6"/>
    <w:rsid w:val="00AE6BCA"/>
    <w:rsid w:val="00AF0B20"/>
    <w:rsid w:val="00AF0B70"/>
    <w:rsid w:val="00B05DC5"/>
    <w:rsid w:val="00B139A7"/>
    <w:rsid w:val="00B14CD5"/>
    <w:rsid w:val="00B157A7"/>
    <w:rsid w:val="00B17F65"/>
    <w:rsid w:val="00B20678"/>
    <w:rsid w:val="00B322B6"/>
    <w:rsid w:val="00B37544"/>
    <w:rsid w:val="00B42879"/>
    <w:rsid w:val="00B439AD"/>
    <w:rsid w:val="00B568E4"/>
    <w:rsid w:val="00B6045D"/>
    <w:rsid w:val="00B70B74"/>
    <w:rsid w:val="00B762B1"/>
    <w:rsid w:val="00B82326"/>
    <w:rsid w:val="00B839E0"/>
    <w:rsid w:val="00B879A9"/>
    <w:rsid w:val="00BA1B50"/>
    <w:rsid w:val="00BB3254"/>
    <w:rsid w:val="00BB7819"/>
    <w:rsid w:val="00BD1956"/>
    <w:rsid w:val="00BD1EAB"/>
    <w:rsid w:val="00BD6065"/>
    <w:rsid w:val="00BD7CA6"/>
    <w:rsid w:val="00C022A7"/>
    <w:rsid w:val="00C027F9"/>
    <w:rsid w:val="00C03656"/>
    <w:rsid w:val="00C04B9C"/>
    <w:rsid w:val="00C1652F"/>
    <w:rsid w:val="00C269F9"/>
    <w:rsid w:val="00C40C73"/>
    <w:rsid w:val="00C50B15"/>
    <w:rsid w:val="00C6357B"/>
    <w:rsid w:val="00C657F2"/>
    <w:rsid w:val="00C67409"/>
    <w:rsid w:val="00C76D48"/>
    <w:rsid w:val="00C77831"/>
    <w:rsid w:val="00C90D38"/>
    <w:rsid w:val="00C90FE8"/>
    <w:rsid w:val="00C91421"/>
    <w:rsid w:val="00C9208D"/>
    <w:rsid w:val="00CA0DC2"/>
    <w:rsid w:val="00CA7EEB"/>
    <w:rsid w:val="00CB7264"/>
    <w:rsid w:val="00CB72B5"/>
    <w:rsid w:val="00CC367E"/>
    <w:rsid w:val="00CC52F5"/>
    <w:rsid w:val="00CC568C"/>
    <w:rsid w:val="00CC69D9"/>
    <w:rsid w:val="00CD2200"/>
    <w:rsid w:val="00CD2490"/>
    <w:rsid w:val="00CF05B5"/>
    <w:rsid w:val="00CF1488"/>
    <w:rsid w:val="00D1394D"/>
    <w:rsid w:val="00D14B50"/>
    <w:rsid w:val="00D227C1"/>
    <w:rsid w:val="00D611F6"/>
    <w:rsid w:val="00D66D60"/>
    <w:rsid w:val="00D779CE"/>
    <w:rsid w:val="00D80301"/>
    <w:rsid w:val="00D808EC"/>
    <w:rsid w:val="00D83596"/>
    <w:rsid w:val="00D93C1F"/>
    <w:rsid w:val="00D94FF0"/>
    <w:rsid w:val="00DA0D5A"/>
    <w:rsid w:val="00DA5D8C"/>
    <w:rsid w:val="00DB2702"/>
    <w:rsid w:val="00DB3A28"/>
    <w:rsid w:val="00DB7B3D"/>
    <w:rsid w:val="00DD01CC"/>
    <w:rsid w:val="00DD7F46"/>
    <w:rsid w:val="00DE33D4"/>
    <w:rsid w:val="00DE5B9F"/>
    <w:rsid w:val="00DF4E88"/>
    <w:rsid w:val="00E24EEA"/>
    <w:rsid w:val="00E2620B"/>
    <w:rsid w:val="00E272F7"/>
    <w:rsid w:val="00E34C57"/>
    <w:rsid w:val="00E359A6"/>
    <w:rsid w:val="00E35BE0"/>
    <w:rsid w:val="00E44317"/>
    <w:rsid w:val="00E55E55"/>
    <w:rsid w:val="00E568B5"/>
    <w:rsid w:val="00E66BDC"/>
    <w:rsid w:val="00E7136F"/>
    <w:rsid w:val="00E7263C"/>
    <w:rsid w:val="00E766A8"/>
    <w:rsid w:val="00E80E15"/>
    <w:rsid w:val="00EA7AB6"/>
    <w:rsid w:val="00EB58FF"/>
    <w:rsid w:val="00EB702F"/>
    <w:rsid w:val="00EB7941"/>
    <w:rsid w:val="00EC3572"/>
    <w:rsid w:val="00ED294F"/>
    <w:rsid w:val="00EE4D47"/>
    <w:rsid w:val="00EF03B3"/>
    <w:rsid w:val="00EF640D"/>
    <w:rsid w:val="00F05524"/>
    <w:rsid w:val="00F117F1"/>
    <w:rsid w:val="00F122D5"/>
    <w:rsid w:val="00F135FD"/>
    <w:rsid w:val="00F172C8"/>
    <w:rsid w:val="00F25BF5"/>
    <w:rsid w:val="00F27766"/>
    <w:rsid w:val="00F32B5F"/>
    <w:rsid w:val="00F35DB7"/>
    <w:rsid w:val="00F468F0"/>
    <w:rsid w:val="00F47CC8"/>
    <w:rsid w:val="00F71489"/>
    <w:rsid w:val="00F751B9"/>
    <w:rsid w:val="00F936DB"/>
    <w:rsid w:val="00FA02CB"/>
    <w:rsid w:val="00FA66AD"/>
    <w:rsid w:val="00FA7484"/>
    <w:rsid w:val="00FB02A5"/>
    <w:rsid w:val="00FC4333"/>
    <w:rsid w:val="00FC4821"/>
    <w:rsid w:val="00FD4450"/>
    <w:rsid w:val="00FD4643"/>
    <w:rsid w:val="00FD6F61"/>
    <w:rsid w:val="00FE3081"/>
    <w:rsid w:val="00FF172A"/>
    <w:rsid w:val="00FF369D"/>
    <w:rsid w:val="00FF513B"/>
    <w:rsid w:val="00FF65CF"/>
    <w:rsid w:val="00FF7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5542"/>
  <w15:chartTrackingRefBased/>
  <w15:docId w15:val="{7FC6F6F1-1D1D-4E43-9823-8B9488C0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3106"/>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50F5"/>
    <w:pPr>
      <w:spacing w:after="120" w:line="276" w:lineRule="auto"/>
      <w:ind w:left="720"/>
      <w:contextualSpacing/>
    </w:pPr>
    <w:rPr>
      <w:rFonts w:ascii="Cambria" w:eastAsiaTheme="minorHAnsi" w:hAnsi="Cambria" w:cstheme="minorBidi"/>
      <w:sz w:val="22"/>
      <w:szCs w:val="20"/>
      <w:lang w:eastAsia="en-US"/>
    </w:rPr>
  </w:style>
  <w:style w:type="character" w:styleId="Odkaznakomentr">
    <w:name w:val="annotation reference"/>
    <w:basedOn w:val="Predvolenpsmoodseku"/>
    <w:uiPriority w:val="99"/>
    <w:semiHidden/>
    <w:unhideWhenUsed/>
    <w:rsid w:val="007D6063"/>
    <w:rPr>
      <w:sz w:val="16"/>
      <w:szCs w:val="16"/>
    </w:rPr>
  </w:style>
  <w:style w:type="paragraph" w:styleId="Textkomentra">
    <w:name w:val="annotation text"/>
    <w:basedOn w:val="Normlny"/>
    <w:link w:val="TextkomentraChar"/>
    <w:uiPriority w:val="99"/>
    <w:semiHidden/>
    <w:unhideWhenUsed/>
    <w:rsid w:val="007D6063"/>
    <w:rPr>
      <w:sz w:val="20"/>
      <w:szCs w:val="20"/>
    </w:rPr>
  </w:style>
  <w:style w:type="character" w:customStyle="1" w:styleId="TextkomentraChar">
    <w:name w:val="Text komentára Char"/>
    <w:basedOn w:val="Predvolenpsmoodseku"/>
    <w:link w:val="Textkomentra"/>
    <w:uiPriority w:val="99"/>
    <w:semiHidden/>
    <w:rsid w:val="007D6063"/>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D6063"/>
    <w:rPr>
      <w:b/>
      <w:bCs/>
    </w:rPr>
  </w:style>
  <w:style w:type="character" w:customStyle="1" w:styleId="PredmetkomentraChar">
    <w:name w:val="Predmet komentára Char"/>
    <w:basedOn w:val="TextkomentraChar"/>
    <w:link w:val="Predmetkomentra"/>
    <w:uiPriority w:val="99"/>
    <w:semiHidden/>
    <w:rsid w:val="007D6063"/>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7D60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6063"/>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17C32"/>
    <w:pPr>
      <w:tabs>
        <w:tab w:val="center" w:pos="4536"/>
        <w:tab w:val="right" w:pos="9072"/>
      </w:tabs>
    </w:pPr>
  </w:style>
  <w:style w:type="character" w:customStyle="1" w:styleId="HlavikaChar">
    <w:name w:val="Hlavička Char"/>
    <w:basedOn w:val="Predvolenpsmoodseku"/>
    <w:link w:val="Hlavika"/>
    <w:uiPriority w:val="99"/>
    <w:rsid w:val="00717C3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17C32"/>
    <w:pPr>
      <w:tabs>
        <w:tab w:val="center" w:pos="4536"/>
        <w:tab w:val="right" w:pos="9072"/>
      </w:tabs>
    </w:pPr>
  </w:style>
  <w:style w:type="character" w:customStyle="1" w:styleId="PtaChar">
    <w:name w:val="Päta Char"/>
    <w:basedOn w:val="Predvolenpsmoodseku"/>
    <w:link w:val="Pta"/>
    <w:uiPriority w:val="99"/>
    <w:rsid w:val="00717C32"/>
    <w:rPr>
      <w:rFonts w:ascii="Times New Roman" w:eastAsia="Times New Roman" w:hAnsi="Times New Roman" w:cs="Times New Roman"/>
      <w:sz w:val="24"/>
      <w:szCs w:val="24"/>
      <w:lang w:eastAsia="cs-CZ"/>
    </w:rPr>
  </w:style>
  <w:style w:type="paragraph" w:customStyle="1" w:styleId="doc-ti1">
    <w:name w:val="doc-ti1"/>
    <w:basedOn w:val="Normlny"/>
    <w:rsid w:val="00D779CE"/>
    <w:pPr>
      <w:spacing w:before="240" w:after="120" w:line="312" w:lineRule="atLeast"/>
      <w:jc w:val="center"/>
    </w:pPr>
    <w:rPr>
      <w:b/>
      <w:bCs/>
      <w:lang w:eastAsia="sk-SK"/>
    </w:rPr>
  </w:style>
  <w:style w:type="character" w:customStyle="1" w:styleId="awspan">
    <w:name w:val="awspan"/>
    <w:basedOn w:val="Predvolenpsmoodseku"/>
    <w:rsid w:val="00C67409"/>
  </w:style>
  <w:style w:type="paragraph" w:customStyle="1" w:styleId="Default">
    <w:name w:val="Default"/>
    <w:rsid w:val="004C5BB1"/>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7B6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7868">
      <w:bodyDiv w:val="1"/>
      <w:marLeft w:val="0"/>
      <w:marRight w:val="0"/>
      <w:marTop w:val="0"/>
      <w:marBottom w:val="0"/>
      <w:divBdr>
        <w:top w:val="none" w:sz="0" w:space="0" w:color="auto"/>
        <w:left w:val="none" w:sz="0" w:space="0" w:color="auto"/>
        <w:bottom w:val="none" w:sz="0" w:space="0" w:color="auto"/>
        <w:right w:val="none" w:sz="0" w:space="0" w:color="auto"/>
      </w:divBdr>
    </w:div>
    <w:div w:id="630205846">
      <w:bodyDiv w:val="1"/>
      <w:marLeft w:val="0"/>
      <w:marRight w:val="0"/>
      <w:marTop w:val="0"/>
      <w:marBottom w:val="0"/>
      <w:divBdr>
        <w:top w:val="none" w:sz="0" w:space="0" w:color="auto"/>
        <w:left w:val="none" w:sz="0" w:space="0" w:color="auto"/>
        <w:bottom w:val="none" w:sz="0" w:space="0" w:color="auto"/>
        <w:right w:val="none" w:sz="0" w:space="0" w:color="auto"/>
      </w:divBdr>
      <w:divsChild>
        <w:div w:id="1032146704">
          <w:marLeft w:val="0"/>
          <w:marRight w:val="0"/>
          <w:marTop w:val="0"/>
          <w:marBottom w:val="0"/>
          <w:divBdr>
            <w:top w:val="none" w:sz="0" w:space="0" w:color="auto"/>
            <w:left w:val="none" w:sz="0" w:space="0" w:color="auto"/>
            <w:bottom w:val="none" w:sz="0" w:space="0" w:color="auto"/>
            <w:right w:val="none" w:sz="0" w:space="0" w:color="auto"/>
          </w:divBdr>
          <w:divsChild>
            <w:div w:id="1504004102">
              <w:marLeft w:val="0"/>
              <w:marRight w:val="0"/>
              <w:marTop w:val="0"/>
              <w:marBottom w:val="0"/>
              <w:divBdr>
                <w:top w:val="none" w:sz="0" w:space="0" w:color="auto"/>
                <w:left w:val="none" w:sz="0" w:space="0" w:color="auto"/>
                <w:bottom w:val="none" w:sz="0" w:space="0" w:color="auto"/>
                <w:right w:val="none" w:sz="0" w:space="0" w:color="auto"/>
              </w:divBdr>
              <w:divsChild>
                <w:div w:id="1561331725">
                  <w:marLeft w:val="0"/>
                  <w:marRight w:val="0"/>
                  <w:marTop w:val="0"/>
                  <w:marBottom w:val="0"/>
                  <w:divBdr>
                    <w:top w:val="none" w:sz="0" w:space="0" w:color="auto"/>
                    <w:left w:val="none" w:sz="0" w:space="0" w:color="auto"/>
                    <w:bottom w:val="none" w:sz="0" w:space="0" w:color="auto"/>
                    <w:right w:val="none" w:sz="0" w:space="0" w:color="auto"/>
                  </w:divBdr>
                  <w:divsChild>
                    <w:div w:id="966739548">
                      <w:marLeft w:val="-150"/>
                      <w:marRight w:val="-150"/>
                      <w:marTop w:val="0"/>
                      <w:marBottom w:val="0"/>
                      <w:divBdr>
                        <w:top w:val="none" w:sz="0" w:space="0" w:color="auto"/>
                        <w:left w:val="none" w:sz="0" w:space="0" w:color="auto"/>
                        <w:bottom w:val="none" w:sz="0" w:space="0" w:color="auto"/>
                        <w:right w:val="none" w:sz="0" w:space="0" w:color="auto"/>
                      </w:divBdr>
                      <w:divsChild>
                        <w:div w:id="9839693">
                          <w:marLeft w:val="0"/>
                          <w:marRight w:val="0"/>
                          <w:marTop w:val="0"/>
                          <w:marBottom w:val="0"/>
                          <w:divBdr>
                            <w:top w:val="none" w:sz="0" w:space="0" w:color="auto"/>
                            <w:left w:val="none" w:sz="0" w:space="0" w:color="auto"/>
                            <w:bottom w:val="none" w:sz="0" w:space="0" w:color="auto"/>
                            <w:right w:val="none" w:sz="0" w:space="0" w:color="auto"/>
                          </w:divBdr>
                          <w:divsChild>
                            <w:div w:id="1868565201">
                              <w:marLeft w:val="0"/>
                              <w:marRight w:val="0"/>
                              <w:marTop w:val="0"/>
                              <w:marBottom w:val="0"/>
                              <w:divBdr>
                                <w:top w:val="none" w:sz="0" w:space="0" w:color="auto"/>
                                <w:left w:val="none" w:sz="0" w:space="0" w:color="auto"/>
                                <w:bottom w:val="none" w:sz="0" w:space="0" w:color="auto"/>
                                <w:right w:val="none" w:sz="0" w:space="0" w:color="auto"/>
                              </w:divBdr>
                              <w:divsChild>
                                <w:div w:id="897519813">
                                  <w:marLeft w:val="0"/>
                                  <w:marRight w:val="0"/>
                                  <w:marTop w:val="0"/>
                                  <w:marBottom w:val="300"/>
                                  <w:divBdr>
                                    <w:top w:val="none" w:sz="0" w:space="0" w:color="auto"/>
                                    <w:left w:val="none" w:sz="0" w:space="0" w:color="auto"/>
                                    <w:bottom w:val="none" w:sz="0" w:space="0" w:color="auto"/>
                                    <w:right w:val="none" w:sz="0" w:space="0" w:color="auto"/>
                                  </w:divBdr>
                                  <w:divsChild>
                                    <w:div w:id="1891646283">
                                      <w:marLeft w:val="0"/>
                                      <w:marRight w:val="0"/>
                                      <w:marTop w:val="0"/>
                                      <w:marBottom w:val="0"/>
                                      <w:divBdr>
                                        <w:top w:val="none" w:sz="0" w:space="0" w:color="auto"/>
                                        <w:left w:val="none" w:sz="0" w:space="0" w:color="auto"/>
                                        <w:bottom w:val="none" w:sz="0" w:space="0" w:color="auto"/>
                                        <w:right w:val="none" w:sz="0" w:space="0" w:color="auto"/>
                                      </w:divBdr>
                                      <w:divsChild>
                                        <w:div w:id="2124615000">
                                          <w:marLeft w:val="0"/>
                                          <w:marRight w:val="0"/>
                                          <w:marTop w:val="0"/>
                                          <w:marBottom w:val="0"/>
                                          <w:divBdr>
                                            <w:top w:val="none" w:sz="0" w:space="0" w:color="auto"/>
                                            <w:left w:val="none" w:sz="0" w:space="0" w:color="auto"/>
                                            <w:bottom w:val="none" w:sz="0" w:space="0" w:color="auto"/>
                                            <w:right w:val="none" w:sz="0" w:space="0" w:color="auto"/>
                                          </w:divBdr>
                                          <w:divsChild>
                                            <w:div w:id="1183280713">
                                              <w:marLeft w:val="0"/>
                                              <w:marRight w:val="0"/>
                                              <w:marTop w:val="0"/>
                                              <w:marBottom w:val="0"/>
                                              <w:divBdr>
                                                <w:top w:val="none" w:sz="0" w:space="0" w:color="auto"/>
                                                <w:left w:val="none" w:sz="0" w:space="0" w:color="auto"/>
                                                <w:bottom w:val="none" w:sz="0" w:space="0" w:color="auto"/>
                                                <w:right w:val="none" w:sz="0" w:space="0" w:color="auto"/>
                                              </w:divBdr>
                                              <w:divsChild>
                                                <w:div w:id="313409012">
                                                  <w:marLeft w:val="0"/>
                                                  <w:marRight w:val="0"/>
                                                  <w:marTop w:val="0"/>
                                                  <w:marBottom w:val="0"/>
                                                  <w:divBdr>
                                                    <w:top w:val="none" w:sz="0" w:space="0" w:color="auto"/>
                                                    <w:left w:val="none" w:sz="0" w:space="0" w:color="auto"/>
                                                    <w:bottom w:val="none" w:sz="0" w:space="0" w:color="auto"/>
                                                    <w:right w:val="none" w:sz="0" w:space="0" w:color="auto"/>
                                                  </w:divBdr>
                                                  <w:divsChild>
                                                    <w:div w:id="68356974">
                                                      <w:marLeft w:val="0"/>
                                                      <w:marRight w:val="0"/>
                                                      <w:marTop w:val="0"/>
                                                      <w:marBottom w:val="0"/>
                                                      <w:divBdr>
                                                        <w:top w:val="none" w:sz="0" w:space="0" w:color="auto"/>
                                                        <w:left w:val="none" w:sz="0" w:space="0" w:color="auto"/>
                                                        <w:bottom w:val="none" w:sz="0" w:space="0" w:color="auto"/>
                                                        <w:right w:val="none" w:sz="0" w:space="0" w:color="auto"/>
                                                      </w:divBdr>
                                                      <w:divsChild>
                                                        <w:div w:id="849877985">
                                                          <w:marLeft w:val="0"/>
                                                          <w:marRight w:val="0"/>
                                                          <w:marTop w:val="0"/>
                                                          <w:marBottom w:val="0"/>
                                                          <w:divBdr>
                                                            <w:top w:val="none" w:sz="0" w:space="0" w:color="auto"/>
                                                            <w:left w:val="none" w:sz="0" w:space="0" w:color="auto"/>
                                                            <w:bottom w:val="none" w:sz="0" w:space="0" w:color="auto"/>
                                                            <w:right w:val="none" w:sz="0" w:space="0" w:color="auto"/>
                                                          </w:divBdr>
                                                          <w:divsChild>
                                                            <w:div w:id="976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4_dovodova_osobitna_CBD"/>
    <f:field ref="objsubject" par="" edit="true" text=""/>
    <f:field ref="objcreatedby" par="" text="Poloma, Tomáš, Ing."/>
    <f:field ref="objcreatedat" par="" text="20.4.2021 15:27:04"/>
    <f:field ref="objchangedby" par="" text="Administrator, System"/>
    <f:field ref="objmodifiedat" par="" text="20.4.2021 15:27: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9051</Words>
  <Characters>51597</Characters>
  <Application>Microsoft Office Word</Application>
  <DocSecurity>0</DocSecurity>
  <Lines>429</Lines>
  <Paragraphs>121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Poloma Tomas</dc:creator>
  <cp:keywords/>
  <dc:description/>
  <cp:lastModifiedBy>Poloma Tomas</cp:lastModifiedBy>
  <cp:revision>2</cp:revision>
  <cp:lastPrinted>2021-04-14T09:46:00Z</cp:lastPrinted>
  <dcterms:created xsi:type="dcterms:W3CDTF">2021-06-01T11:24:00Z</dcterms:created>
  <dcterms:modified xsi:type="dcterms:W3CDTF">2021-06-01T11:24:00Z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COO.2145.1000.3.4330779</vt:lpwstr>
  </property>
  <property fmtid="{D5CDD505-2E9C-101B-9397-08002B2CF9AE}" pid="152" name="FSC#FSCFOLIO@1.1001:docpropproject">
    <vt:lpwstr/>
  </property>
</Properties>
</file>