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416DF" w14:textId="77777777" w:rsidR="001A45EA" w:rsidRPr="00882087" w:rsidRDefault="001A45EA" w:rsidP="001A45EA">
      <w:pPr>
        <w:spacing w:after="0" w:line="240" w:lineRule="auto"/>
        <w:jc w:val="center"/>
        <w:rPr>
          <w:rFonts w:ascii="Times New Roman" w:eastAsia="Times New Roman" w:hAnsi="Times New Roman" w:cs="Times New Roman"/>
          <w:b/>
          <w:bCs/>
          <w:sz w:val="24"/>
          <w:szCs w:val="24"/>
          <w:lang w:eastAsia="sk-SK"/>
        </w:rPr>
      </w:pPr>
      <w:bookmarkStart w:id="0" w:name="_GoBack"/>
      <w:bookmarkEnd w:id="0"/>
      <w:r w:rsidRPr="00882087">
        <w:rPr>
          <w:rFonts w:ascii="Times New Roman" w:eastAsia="Times New Roman" w:hAnsi="Times New Roman" w:cs="Times New Roman"/>
          <w:b/>
          <w:bCs/>
          <w:sz w:val="24"/>
          <w:szCs w:val="24"/>
          <w:lang w:eastAsia="sk-SK"/>
        </w:rPr>
        <w:t>DOLOŽKA ZLUČITEĽNOSTI</w:t>
      </w:r>
    </w:p>
    <w:p w14:paraId="0FDE3BBC" w14:textId="77777777" w:rsidR="003A68BE" w:rsidRPr="00882087" w:rsidRDefault="003A68BE" w:rsidP="001A45EA">
      <w:pPr>
        <w:spacing w:after="0" w:line="240" w:lineRule="auto"/>
        <w:jc w:val="center"/>
        <w:rPr>
          <w:rFonts w:ascii="Times New Roman" w:eastAsia="Times New Roman" w:hAnsi="Times New Roman" w:cs="Times New Roman"/>
          <w:sz w:val="24"/>
          <w:szCs w:val="24"/>
          <w:lang w:eastAsia="sk-SK"/>
        </w:rPr>
      </w:pPr>
    </w:p>
    <w:p w14:paraId="5BA66327" w14:textId="1E4D5249" w:rsidR="001A45EA" w:rsidRPr="00882087" w:rsidRDefault="001A45EA" w:rsidP="001A45EA">
      <w:pPr>
        <w:pBdr>
          <w:bottom w:val="single" w:sz="12" w:space="1" w:color="auto"/>
        </w:pBdr>
        <w:spacing w:after="0" w:line="240" w:lineRule="auto"/>
        <w:jc w:val="center"/>
        <w:rPr>
          <w:rFonts w:ascii="Times New Roman" w:eastAsia="Times New Roman" w:hAnsi="Times New Roman" w:cs="Times New Roman"/>
          <w:b/>
          <w:bCs/>
          <w:sz w:val="24"/>
          <w:szCs w:val="24"/>
          <w:lang w:eastAsia="sk-SK"/>
        </w:rPr>
      </w:pPr>
      <w:r w:rsidRPr="00882087">
        <w:rPr>
          <w:rFonts w:ascii="Times New Roman" w:eastAsia="Times New Roman" w:hAnsi="Times New Roman" w:cs="Times New Roman"/>
          <w:b/>
          <w:bCs/>
          <w:sz w:val="24"/>
          <w:szCs w:val="24"/>
          <w:lang w:eastAsia="sk-SK"/>
        </w:rPr>
        <w:t>návrhu zákona</w:t>
      </w:r>
      <w:r w:rsidR="00DE539C" w:rsidRPr="00882087">
        <w:rPr>
          <w:rFonts w:ascii="Times New Roman" w:eastAsia="Times New Roman" w:hAnsi="Times New Roman" w:cs="Times New Roman"/>
          <w:b/>
          <w:bCs/>
          <w:sz w:val="24"/>
          <w:szCs w:val="24"/>
          <w:lang w:eastAsia="sk-SK"/>
        </w:rPr>
        <w:t xml:space="preserve"> </w:t>
      </w:r>
      <w:r w:rsidRPr="00882087">
        <w:rPr>
          <w:rFonts w:ascii="Times New Roman" w:eastAsia="Times New Roman" w:hAnsi="Times New Roman" w:cs="Times New Roman"/>
          <w:b/>
          <w:bCs/>
          <w:sz w:val="24"/>
          <w:szCs w:val="24"/>
          <w:lang w:eastAsia="sk-SK"/>
        </w:rPr>
        <w:t>s právom Európskej únie</w:t>
      </w:r>
    </w:p>
    <w:p w14:paraId="621B1698" w14:textId="77777777" w:rsidR="00703A5A" w:rsidRPr="00882087" w:rsidRDefault="00703A5A" w:rsidP="001A45EA">
      <w:pPr>
        <w:spacing w:after="0" w:line="240" w:lineRule="auto"/>
        <w:rPr>
          <w:rFonts w:ascii="Times New Roman" w:eastAsia="Times New Roman" w:hAnsi="Times New Roman" w:cs="Times New Roman"/>
          <w:sz w:val="24"/>
          <w:szCs w:val="24"/>
          <w:lang w:eastAsia="sk-SK"/>
        </w:rPr>
      </w:pPr>
    </w:p>
    <w:p w14:paraId="7D0300CC" w14:textId="77777777" w:rsidR="00096AAA" w:rsidRPr="00882087" w:rsidRDefault="00096AAA" w:rsidP="001A45EA">
      <w:pPr>
        <w:spacing w:after="0" w:line="240" w:lineRule="auto"/>
        <w:rPr>
          <w:rFonts w:ascii="Times New Roman" w:eastAsia="Times New Roman" w:hAnsi="Times New Roman" w:cs="Times New Roman"/>
          <w:sz w:val="24"/>
          <w:szCs w:val="24"/>
          <w:lang w:eastAsia="sk-SK"/>
        </w:rPr>
      </w:pPr>
    </w:p>
    <w:p w14:paraId="443EAC9F" w14:textId="77777777" w:rsidR="001A45EA" w:rsidRPr="00882087"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882087">
        <w:rPr>
          <w:rFonts w:ascii="Times New Roman" w:eastAsia="Times New Roman" w:hAnsi="Times New Roman" w:cs="Times New Roman"/>
          <w:b/>
          <w:bCs/>
          <w:sz w:val="24"/>
          <w:szCs w:val="24"/>
          <w:lang w:eastAsia="sk-SK"/>
        </w:rPr>
        <w:t>Navrhovateľ zákona:</w:t>
      </w:r>
    </w:p>
    <w:p w14:paraId="33711CB7" w14:textId="3AD36671" w:rsidR="001A45EA" w:rsidRPr="00882087" w:rsidRDefault="002A6C7C" w:rsidP="000E0215">
      <w:pPr>
        <w:spacing w:after="0" w:line="240" w:lineRule="auto"/>
        <w:ind w:left="426"/>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Vláda</w:t>
      </w:r>
      <w:r w:rsidR="007D096C" w:rsidRPr="00882087">
        <w:rPr>
          <w:rFonts w:ascii="Times New Roman" w:eastAsia="Times New Roman" w:hAnsi="Times New Roman" w:cs="Times New Roman"/>
          <w:sz w:val="24"/>
          <w:szCs w:val="24"/>
          <w:lang w:eastAsia="sk-SK"/>
        </w:rPr>
        <w:t xml:space="preserve"> Slovenskej republiky</w:t>
      </w:r>
      <w:r w:rsidR="00BE7CAB" w:rsidRPr="00882087">
        <w:rPr>
          <w:rFonts w:ascii="Times New Roman" w:eastAsia="Times New Roman" w:hAnsi="Times New Roman" w:cs="Times New Roman"/>
          <w:sz w:val="24"/>
          <w:szCs w:val="24"/>
          <w:lang w:eastAsia="sk-SK"/>
        </w:rPr>
        <w:t>.</w:t>
      </w:r>
    </w:p>
    <w:p w14:paraId="156760DD" w14:textId="77777777" w:rsidR="00703A5A" w:rsidRPr="00882087" w:rsidRDefault="00703A5A" w:rsidP="001A45EA">
      <w:pPr>
        <w:spacing w:after="0" w:line="240" w:lineRule="auto"/>
        <w:rPr>
          <w:rFonts w:ascii="Times New Roman" w:eastAsia="Times New Roman" w:hAnsi="Times New Roman" w:cs="Times New Roman"/>
          <w:sz w:val="24"/>
          <w:szCs w:val="24"/>
          <w:lang w:eastAsia="sk-SK"/>
        </w:rPr>
      </w:pPr>
    </w:p>
    <w:p w14:paraId="39FBC398" w14:textId="77777777" w:rsidR="001A45EA" w:rsidRPr="00882087"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882087">
        <w:rPr>
          <w:rFonts w:ascii="Times New Roman" w:eastAsia="Times New Roman" w:hAnsi="Times New Roman" w:cs="Times New Roman"/>
          <w:b/>
          <w:bCs/>
          <w:sz w:val="24"/>
          <w:szCs w:val="24"/>
          <w:lang w:eastAsia="sk-SK"/>
        </w:rPr>
        <w:t>Názov návrhu zákona:</w:t>
      </w:r>
    </w:p>
    <w:p w14:paraId="0A8B78BC" w14:textId="77777777" w:rsidR="001A45EA" w:rsidRPr="00882087" w:rsidRDefault="001A45EA" w:rsidP="000E0215">
      <w:pPr>
        <w:spacing w:after="0" w:line="240" w:lineRule="auto"/>
        <w:ind w:left="426"/>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Návrh</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zákona,</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ktorým</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sa</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mení</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a</w:t>
      </w:r>
      <w:r w:rsidRPr="00882087">
        <w:rPr>
          <w:rFonts w:ascii="Times New Roman" w:eastAsia="Times New Roman" w:hAnsi="Times New Roman" w:cs="Times New Roman"/>
          <w:spacing w:val="51"/>
          <w:sz w:val="24"/>
          <w:szCs w:val="24"/>
          <w:lang w:eastAsia="sk-SK"/>
        </w:rPr>
        <w:t> </w:t>
      </w:r>
      <w:r w:rsidRPr="00882087">
        <w:rPr>
          <w:rFonts w:ascii="Times New Roman" w:eastAsia="Times New Roman" w:hAnsi="Times New Roman" w:cs="Times New Roman"/>
          <w:sz w:val="24"/>
          <w:szCs w:val="24"/>
          <w:lang w:eastAsia="sk-SK"/>
        </w:rPr>
        <w:t>dopĺňa zákon</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č. 483/2001 Z. z.</w:t>
      </w:r>
      <w:r w:rsidRPr="00882087">
        <w:rPr>
          <w:rFonts w:ascii="Times New Roman" w:eastAsia="Times New Roman" w:hAnsi="Times New Roman" w:cs="Times New Roman"/>
          <w:spacing w:val="51"/>
          <w:sz w:val="24"/>
          <w:szCs w:val="24"/>
          <w:lang w:eastAsia="sk-SK"/>
        </w:rPr>
        <w:t xml:space="preserve"> </w:t>
      </w:r>
      <w:r w:rsidRPr="00882087">
        <w:rPr>
          <w:rFonts w:ascii="Times New Roman" w:eastAsia="Times New Roman" w:hAnsi="Times New Roman" w:cs="Times New Roman"/>
          <w:sz w:val="24"/>
          <w:szCs w:val="24"/>
          <w:lang w:eastAsia="sk-SK"/>
        </w:rPr>
        <w:t>o</w:t>
      </w:r>
      <w:r w:rsidRPr="00882087">
        <w:rPr>
          <w:rFonts w:ascii="Times New Roman" w:eastAsia="Times New Roman" w:hAnsi="Times New Roman" w:cs="Times New Roman"/>
          <w:spacing w:val="51"/>
          <w:sz w:val="24"/>
          <w:szCs w:val="24"/>
          <w:lang w:eastAsia="sk-SK"/>
        </w:rPr>
        <w:t> </w:t>
      </w:r>
      <w:r w:rsidRPr="00882087">
        <w:rPr>
          <w:rFonts w:ascii="Times New Roman" w:eastAsia="Times New Roman" w:hAnsi="Times New Roman" w:cs="Times New Roman"/>
          <w:sz w:val="24"/>
          <w:szCs w:val="24"/>
          <w:lang w:eastAsia="sk-SK"/>
        </w:rPr>
        <w:t>bankách a</w:t>
      </w:r>
      <w:r w:rsidRPr="00882087">
        <w:rPr>
          <w:rFonts w:ascii="Times New Roman" w:eastAsia="Times New Roman" w:hAnsi="Times New Roman" w:cs="Times New Roman"/>
          <w:spacing w:val="51"/>
          <w:sz w:val="24"/>
          <w:szCs w:val="24"/>
          <w:lang w:eastAsia="sk-SK"/>
        </w:rPr>
        <w:t> </w:t>
      </w:r>
      <w:r w:rsidRPr="00882087">
        <w:rPr>
          <w:rFonts w:ascii="Times New Roman" w:eastAsia="Times New Roman" w:hAnsi="Times New Roman" w:cs="Times New Roman"/>
          <w:sz w:val="24"/>
          <w:szCs w:val="24"/>
          <w:lang w:eastAsia="sk-SK"/>
        </w:rPr>
        <w:t>o zmene a doplnení niektorých</w:t>
      </w:r>
      <w:r w:rsidRPr="00882087">
        <w:rPr>
          <w:rFonts w:ascii="Times New Roman" w:eastAsia="Times New Roman" w:hAnsi="Times New Roman" w:cs="Times New Roman"/>
          <w:spacing w:val="55"/>
          <w:sz w:val="24"/>
          <w:szCs w:val="24"/>
          <w:lang w:eastAsia="sk-SK"/>
        </w:rPr>
        <w:t xml:space="preserve"> </w:t>
      </w:r>
      <w:r w:rsidRPr="00882087">
        <w:rPr>
          <w:rFonts w:ascii="Times New Roman" w:eastAsia="Times New Roman" w:hAnsi="Times New Roman" w:cs="Times New Roman"/>
          <w:sz w:val="24"/>
          <w:szCs w:val="24"/>
          <w:lang w:eastAsia="sk-SK"/>
        </w:rPr>
        <w:t>zákonov</w:t>
      </w:r>
      <w:r w:rsidRPr="00882087">
        <w:rPr>
          <w:rFonts w:ascii="Times New Roman" w:eastAsia="Times New Roman" w:hAnsi="Times New Roman" w:cs="Times New Roman"/>
          <w:spacing w:val="55"/>
          <w:sz w:val="24"/>
          <w:szCs w:val="24"/>
          <w:lang w:eastAsia="sk-SK"/>
        </w:rPr>
        <w:t xml:space="preserve"> </w:t>
      </w:r>
      <w:r w:rsidRPr="00882087">
        <w:rPr>
          <w:rFonts w:ascii="Times New Roman" w:eastAsia="Times New Roman" w:hAnsi="Times New Roman" w:cs="Times New Roman"/>
          <w:sz w:val="24"/>
          <w:szCs w:val="24"/>
          <w:lang w:eastAsia="sk-SK"/>
        </w:rPr>
        <w:t>v</w:t>
      </w:r>
      <w:r w:rsidRPr="00882087">
        <w:rPr>
          <w:rFonts w:ascii="Times New Roman" w:eastAsia="Times New Roman" w:hAnsi="Times New Roman" w:cs="Times New Roman"/>
          <w:spacing w:val="55"/>
          <w:sz w:val="24"/>
          <w:szCs w:val="24"/>
          <w:lang w:eastAsia="sk-SK"/>
        </w:rPr>
        <w:t> </w:t>
      </w:r>
      <w:r w:rsidRPr="00882087">
        <w:rPr>
          <w:rFonts w:ascii="Times New Roman" w:eastAsia="Times New Roman" w:hAnsi="Times New Roman" w:cs="Times New Roman"/>
          <w:sz w:val="24"/>
          <w:szCs w:val="24"/>
          <w:lang w:eastAsia="sk-SK"/>
        </w:rPr>
        <w:t>znení neskorších</w:t>
      </w:r>
      <w:r w:rsidRPr="00882087">
        <w:rPr>
          <w:rFonts w:ascii="Times New Roman" w:eastAsia="Times New Roman" w:hAnsi="Times New Roman" w:cs="Times New Roman"/>
          <w:spacing w:val="55"/>
          <w:sz w:val="24"/>
          <w:szCs w:val="24"/>
          <w:lang w:eastAsia="sk-SK"/>
        </w:rPr>
        <w:t xml:space="preserve"> </w:t>
      </w:r>
      <w:r w:rsidRPr="00882087">
        <w:rPr>
          <w:rFonts w:ascii="Times New Roman" w:eastAsia="Times New Roman" w:hAnsi="Times New Roman" w:cs="Times New Roman"/>
          <w:sz w:val="24"/>
          <w:szCs w:val="24"/>
          <w:lang w:eastAsia="sk-SK"/>
        </w:rPr>
        <w:t>predpisov</w:t>
      </w:r>
      <w:r w:rsidRPr="00882087">
        <w:rPr>
          <w:rFonts w:ascii="Times New Roman" w:eastAsia="Times New Roman" w:hAnsi="Times New Roman" w:cs="Times New Roman"/>
          <w:spacing w:val="55"/>
          <w:sz w:val="24"/>
          <w:szCs w:val="24"/>
          <w:lang w:eastAsia="sk-SK"/>
        </w:rPr>
        <w:t xml:space="preserve"> </w:t>
      </w:r>
      <w:r w:rsidRPr="00882087">
        <w:rPr>
          <w:rFonts w:ascii="Times New Roman" w:eastAsia="Times New Roman" w:hAnsi="Times New Roman" w:cs="Times New Roman"/>
          <w:sz w:val="24"/>
          <w:szCs w:val="24"/>
          <w:lang w:eastAsia="sk-SK"/>
        </w:rPr>
        <w:t>a ktorým sa</w:t>
      </w:r>
      <w:r w:rsidRPr="00882087">
        <w:rPr>
          <w:rFonts w:ascii="Times New Roman" w:eastAsia="Times New Roman" w:hAnsi="Times New Roman" w:cs="Times New Roman"/>
          <w:spacing w:val="55"/>
          <w:sz w:val="24"/>
          <w:szCs w:val="24"/>
          <w:lang w:eastAsia="sk-SK"/>
        </w:rPr>
        <w:t xml:space="preserve"> </w:t>
      </w:r>
      <w:r w:rsidRPr="00882087">
        <w:rPr>
          <w:rFonts w:ascii="Times New Roman" w:eastAsia="Times New Roman" w:hAnsi="Times New Roman" w:cs="Times New Roman"/>
          <w:sz w:val="24"/>
          <w:szCs w:val="24"/>
          <w:lang w:eastAsia="sk-SK"/>
        </w:rPr>
        <w:t>menia</w:t>
      </w:r>
      <w:r w:rsidRPr="00882087">
        <w:rPr>
          <w:rFonts w:ascii="Times New Roman" w:eastAsia="Times New Roman" w:hAnsi="Times New Roman" w:cs="Times New Roman"/>
          <w:spacing w:val="55"/>
          <w:sz w:val="24"/>
          <w:szCs w:val="24"/>
          <w:lang w:eastAsia="sk-SK"/>
        </w:rPr>
        <w:t xml:space="preserve"> </w:t>
      </w:r>
      <w:r w:rsidRPr="00882087">
        <w:rPr>
          <w:rFonts w:ascii="Times New Roman" w:eastAsia="Times New Roman" w:hAnsi="Times New Roman" w:cs="Times New Roman"/>
          <w:sz w:val="24"/>
          <w:szCs w:val="24"/>
          <w:lang w:eastAsia="sk-SK"/>
        </w:rPr>
        <w:t>a dopĺňajú niektoré zákony.</w:t>
      </w:r>
    </w:p>
    <w:p w14:paraId="23A387F6" w14:textId="77777777" w:rsidR="00703A5A" w:rsidRPr="00882087" w:rsidRDefault="00703A5A" w:rsidP="001A45EA">
      <w:pPr>
        <w:spacing w:after="0" w:line="240" w:lineRule="auto"/>
        <w:rPr>
          <w:rFonts w:ascii="Times New Roman" w:eastAsia="Times New Roman" w:hAnsi="Times New Roman" w:cs="Times New Roman"/>
          <w:sz w:val="24"/>
          <w:szCs w:val="24"/>
          <w:lang w:eastAsia="sk-SK"/>
        </w:rPr>
      </w:pPr>
    </w:p>
    <w:p w14:paraId="53A39CAB" w14:textId="77777777" w:rsidR="001A45EA" w:rsidRPr="00882087"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882087">
        <w:rPr>
          <w:rFonts w:ascii="Times New Roman" w:eastAsia="Times New Roman" w:hAnsi="Times New Roman" w:cs="Times New Roman"/>
          <w:b/>
          <w:bCs/>
          <w:sz w:val="24"/>
          <w:szCs w:val="24"/>
          <w:lang w:eastAsia="sk-SK"/>
        </w:rPr>
        <w:t>Predmet návrhu zákona je upravený v práve Európskej únie:</w:t>
      </w:r>
    </w:p>
    <w:p w14:paraId="46BE1DB8" w14:textId="77777777" w:rsidR="001A45EA" w:rsidRPr="00882087" w:rsidRDefault="001A45EA" w:rsidP="001A45EA">
      <w:pPr>
        <w:pStyle w:val="Odsekzoznamu"/>
        <w:numPr>
          <w:ilvl w:val="0"/>
          <w:numId w:val="2"/>
        </w:numPr>
        <w:spacing w:after="0" w:line="240" w:lineRule="auto"/>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v primárnom práve</w:t>
      </w:r>
    </w:p>
    <w:p w14:paraId="0686EE45" w14:textId="7150DEAB" w:rsidR="001A45EA" w:rsidRPr="00882087" w:rsidRDefault="001A45EA" w:rsidP="00376132">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 xml:space="preserve">čl. 3 ods. 1 písm. </w:t>
      </w:r>
      <w:r w:rsidR="005D058B" w:rsidRPr="00882087">
        <w:rPr>
          <w:rFonts w:ascii="Times New Roman" w:eastAsia="Times New Roman" w:hAnsi="Times New Roman" w:cs="Times New Roman"/>
          <w:sz w:val="24"/>
          <w:szCs w:val="24"/>
          <w:lang w:eastAsia="sk-SK"/>
        </w:rPr>
        <w:t>b), čl. 4, čl. 26 ods. 2, čl. 49</w:t>
      </w:r>
      <w:r w:rsidRPr="00882087">
        <w:rPr>
          <w:rFonts w:ascii="Times New Roman" w:eastAsia="Times New Roman" w:hAnsi="Times New Roman" w:cs="Times New Roman"/>
          <w:sz w:val="24"/>
          <w:szCs w:val="24"/>
          <w:lang w:eastAsia="sk-SK"/>
        </w:rPr>
        <w:t xml:space="preserve"> až 66 Zm</w:t>
      </w:r>
      <w:r w:rsidR="00B11CB7" w:rsidRPr="00882087">
        <w:rPr>
          <w:rFonts w:ascii="Times New Roman" w:eastAsia="Times New Roman" w:hAnsi="Times New Roman" w:cs="Times New Roman"/>
          <w:sz w:val="24"/>
          <w:szCs w:val="24"/>
          <w:lang w:eastAsia="sk-SK"/>
        </w:rPr>
        <w:t>luvy o</w:t>
      </w:r>
      <w:r w:rsidR="00902C5A" w:rsidRPr="00882087">
        <w:rPr>
          <w:rFonts w:ascii="Times New Roman" w:eastAsia="Times New Roman" w:hAnsi="Times New Roman" w:cs="Times New Roman"/>
          <w:sz w:val="24"/>
          <w:szCs w:val="24"/>
          <w:lang w:eastAsia="sk-SK"/>
        </w:rPr>
        <w:t> </w:t>
      </w:r>
      <w:r w:rsidR="00B11CB7" w:rsidRPr="00882087">
        <w:rPr>
          <w:rFonts w:ascii="Times New Roman" w:eastAsia="Times New Roman" w:hAnsi="Times New Roman" w:cs="Times New Roman"/>
          <w:sz w:val="24"/>
          <w:szCs w:val="24"/>
          <w:lang w:eastAsia="sk-SK"/>
        </w:rPr>
        <w:t>fungovaní Európskej únie</w:t>
      </w:r>
      <w:r w:rsidR="00096AAA" w:rsidRPr="00882087">
        <w:rPr>
          <w:rFonts w:ascii="Times New Roman" w:eastAsia="Times New Roman" w:hAnsi="Times New Roman" w:cs="Times New Roman"/>
          <w:sz w:val="24"/>
          <w:szCs w:val="24"/>
          <w:lang w:eastAsia="sk-SK"/>
        </w:rPr>
        <w:t xml:space="preserve"> </w:t>
      </w:r>
      <w:r w:rsidR="00376132" w:rsidRPr="00882087">
        <w:rPr>
          <w:rFonts w:ascii="Times New Roman" w:eastAsia="Times New Roman" w:hAnsi="Times New Roman" w:cs="Times New Roman"/>
          <w:sz w:val="24"/>
          <w:szCs w:val="24"/>
          <w:lang w:eastAsia="sk-SK"/>
        </w:rPr>
        <w:t xml:space="preserve">(konsolidované znenie) </w:t>
      </w:r>
      <w:r w:rsidR="00B11CB7" w:rsidRPr="00882087">
        <w:rPr>
          <w:rFonts w:ascii="Times New Roman" w:hAnsi="Times New Roman" w:cs="Times New Roman"/>
          <w:sz w:val="24"/>
          <w:szCs w:val="24"/>
        </w:rPr>
        <w:t>(</w:t>
      </w:r>
      <w:r w:rsidR="00B11CB7" w:rsidRPr="00882087">
        <w:rPr>
          <w:rStyle w:val="awspan1"/>
          <w:rFonts w:ascii="Times New Roman" w:hAnsi="Times New Roman"/>
          <w:color w:val="auto"/>
        </w:rPr>
        <w:t>Ú. v. EÚ C 202, 7.6.2016) v platnom znení</w:t>
      </w:r>
      <w:r w:rsidR="00B11CB7" w:rsidRPr="00882087">
        <w:rPr>
          <w:rFonts w:ascii="Times New Roman" w:eastAsia="Times New Roman" w:hAnsi="Times New Roman" w:cs="Times New Roman"/>
          <w:sz w:val="24"/>
          <w:szCs w:val="24"/>
          <w:lang w:eastAsia="sk-SK"/>
        </w:rPr>
        <w:t>,</w:t>
      </w:r>
    </w:p>
    <w:p w14:paraId="016F790E" w14:textId="362696E9" w:rsidR="00B11CB7" w:rsidRPr="00882087" w:rsidRDefault="00B11CB7" w:rsidP="008545C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rPr>
        <w:t>Protokol č.</w:t>
      </w:r>
      <w:r w:rsidR="00902C5A" w:rsidRPr="00882087">
        <w:rPr>
          <w:rFonts w:ascii="Times New Roman" w:hAnsi="Times New Roman" w:cs="Times New Roman"/>
          <w:sz w:val="24"/>
          <w:szCs w:val="24"/>
        </w:rPr>
        <w:t> </w:t>
      </w:r>
      <w:r w:rsidRPr="00882087">
        <w:rPr>
          <w:rFonts w:ascii="Times New Roman" w:hAnsi="Times New Roman" w:cs="Times New Roman"/>
          <w:sz w:val="24"/>
          <w:szCs w:val="24"/>
        </w:rPr>
        <w:t>4 o Štatúte Európskeho systému centrálnych bánk a Európskej centrálnej banky</w:t>
      </w:r>
      <w:r w:rsidR="00424A9C" w:rsidRPr="00882087">
        <w:rPr>
          <w:rFonts w:ascii="Times New Roman" w:hAnsi="Times New Roman" w:cs="Times New Roman"/>
          <w:sz w:val="24"/>
          <w:szCs w:val="24"/>
        </w:rPr>
        <w:t xml:space="preserve"> </w:t>
      </w:r>
      <w:r w:rsidR="00424A9C" w:rsidRPr="00882087">
        <w:rPr>
          <w:rFonts w:ascii="Times New Roman" w:hAnsi="Times New Roman" w:cs="Times New Roman"/>
          <w:color w:val="000000" w:themeColor="text1"/>
          <w:sz w:val="24"/>
          <w:szCs w:val="24"/>
        </w:rPr>
        <w:t>pripojený k Zmluve o fungovaní Európskej únie</w:t>
      </w:r>
      <w:r w:rsidR="00A6678A" w:rsidRPr="00882087">
        <w:rPr>
          <w:rFonts w:ascii="Times New Roman" w:hAnsi="Times New Roman" w:cs="Times New Roman"/>
          <w:sz w:val="24"/>
          <w:szCs w:val="24"/>
        </w:rPr>
        <w:t xml:space="preserve"> (Ú. v. EÚ C 202, 7.6.2016) v platnom znení</w:t>
      </w:r>
      <w:r w:rsidRPr="00882087">
        <w:rPr>
          <w:rFonts w:ascii="Times New Roman" w:hAnsi="Times New Roman" w:cs="Times New Roman"/>
          <w:sz w:val="24"/>
          <w:szCs w:val="24"/>
        </w:rPr>
        <w:t>.</w:t>
      </w:r>
    </w:p>
    <w:p w14:paraId="2C83B31A" w14:textId="77777777" w:rsidR="008545C6" w:rsidRPr="00882087" w:rsidRDefault="008545C6" w:rsidP="001A45EA">
      <w:pPr>
        <w:spacing w:after="0" w:line="240" w:lineRule="auto"/>
        <w:rPr>
          <w:rFonts w:ascii="Times New Roman" w:eastAsia="Times New Roman" w:hAnsi="Times New Roman" w:cs="Times New Roman"/>
          <w:b/>
          <w:bCs/>
          <w:i/>
          <w:iCs/>
          <w:sz w:val="24"/>
          <w:szCs w:val="24"/>
          <w:lang w:eastAsia="sk-SK"/>
        </w:rPr>
      </w:pPr>
    </w:p>
    <w:p w14:paraId="537ABBF2" w14:textId="77777777" w:rsidR="008545C6" w:rsidRPr="00882087" w:rsidRDefault="008545C6" w:rsidP="008545C6">
      <w:pPr>
        <w:pStyle w:val="Odsekzoznamu"/>
        <w:numPr>
          <w:ilvl w:val="0"/>
          <w:numId w:val="2"/>
        </w:numPr>
        <w:spacing w:after="0" w:line="240" w:lineRule="auto"/>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v sekundárnom práve</w:t>
      </w:r>
    </w:p>
    <w:p w14:paraId="26890D8B" w14:textId="33EB69FA" w:rsidR="001A45EA" w:rsidRPr="00882087" w:rsidRDefault="00FD0381"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rPr>
        <w:t>smernic</w:t>
      </w:r>
      <w:r w:rsidR="005054E2" w:rsidRPr="00882087">
        <w:rPr>
          <w:rFonts w:ascii="Times New Roman" w:hAnsi="Times New Roman" w:cs="Times New Roman"/>
          <w:sz w:val="24"/>
          <w:szCs w:val="24"/>
        </w:rPr>
        <w:t>a</w:t>
      </w:r>
      <w:r w:rsidRPr="00882087">
        <w:rPr>
          <w:rFonts w:ascii="Times New Roman" w:hAnsi="Times New Roman" w:cs="Times New Roman"/>
          <w:sz w:val="24"/>
          <w:szCs w:val="24"/>
        </w:rPr>
        <w:t xml:space="preserve"> Európskeho parlamentu a Rady (EÚ) </w:t>
      </w:r>
      <w:r w:rsidRPr="00882087">
        <w:rPr>
          <w:rFonts w:ascii="Times New Roman" w:hAnsi="Times New Roman" w:cs="Times New Roman"/>
          <w:sz w:val="24"/>
          <w:szCs w:val="24"/>
          <w:u w:val="single"/>
        </w:rPr>
        <w:t>2019/2162</w:t>
      </w:r>
      <w:r w:rsidRPr="00882087">
        <w:rPr>
          <w:rFonts w:ascii="Times New Roman" w:hAnsi="Times New Roman" w:cs="Times New Roman"/>
          <w:sz w:val="24"/>
          <w:szCs w:val="24"/>
        </w:rPr>
        <w:t xml:space="preserve"> z 27. novembra 2019 o emisii krytých dlhopisov a verejnom dohľade nad krytými dlhopismi a ktorou sa menia smernice 2009/65/ES a 2014/59/EÚ</w:t>
      </w:r>
      <w:r w:rsidRPr="00882087">
        <w:rPr>
          <w:rFonts w:ascii="Times New Roman" w:eastAsia="Times New Roman" w:hAnsi="Times New Roman" w:cs="Times New Roman"/>
          <w:sz w:val="24"/>
          <w:szCs w:val="24"/>
          <w:lang w:eastAsia="sk-SK"/>
        </w:rPr>
        <w:t xml:space="preserve"> </w:t>
      </w:r>
      <w:r w:rsidR="001A45EA" w:rsidRPr="00882087">
        <w:rPr>
          <w:rFonts w:ascii="Times New Roman" w:eastAsia="Times New Roman" w:hAnsi="Times New Roman" w:cs="Times New Roman"/>
          <w:sz w:val="24"/>
          <w:szCs w:val="24"/>
          <w:lang w:eastAsia="sk-SK"/>
        </w:rPr>
        <w:t xml:space="preserve">(Ú. v. EÚ L </w:t>
      </w:r>
      <w:r w:rsidRPr="00882087">
        <w:rPr>
          <w:rFonts w:ascii="Times New Roman" w:eastAsia="Times New Roman" w:hAnsi="Times New Roman" w:cs="Times New Roman"/>
          <w:sz w:val="24"/>
          <w:szCs w:val="24"/>
          <w:lang w:eastAsia="sk-SK"/>
        </w:rPr>
        <w:t>328</w:t>
      </w:r>
      <w:r w:rsidR="001A45EA" w:rsidRPr="00882087">
        <w:rPr>
          <w:rFonts w:ascii="Times New Roman" w:eastAsia="Times New Roman" w:hAnsi="Times New Roman" w:cs="Times New Roman"/>
          <w:sz w:val="24"/>
          <w:szCs w:val="24"/>
          <w:lang w:eastAsia="sk-SK"/>
        </w:rPr>
        <w:t xml:space="preserve">, </w:t>
      </w:r>
      <w:r w:rsidRPr="00882087">
        <w:rPr>
          <w:rFonts w:ascii="Times New Roman" w:eastAsia="Times New Roman" w:hAnsi="Times New Roman" w:cs="Times New Roman"/>
          <w:sz w:val="24"/>
          <w:szCs w:val="24"/>
          <w:lang w:eastAsia="sk-SK"/>
        </w:rPr>
        <w:t>18.12.2019)</w:t>
      </w:r>
      <w:r w:rsidR="001A45EA" w:rsidRPr="00882087">
        <w:rPr>
          <w:rFonts w:ascii="Times New Roman" w:eastAsia="Times New Roman" w:hAnsi="Times New Roman" w:cs="Times New Roman"/>
          <w:sz w:val="24"/>
          <w:szCs w:val="24"/>
          <w:lang w:eastAsia="sk-SK"/>
        </w:rPr>
        <w:t>,</w:t>
      </w:r>
      <w:r w:rsidR="00F53D97" w:rsidRPr="00882087">
        <w:rPr>
          <w:rFonts w:ascii="Times New Roman" w:eastAsia="Times New Roman" w:hAnsi="Times New Roman" w:cs="Times New Roman"/>
          <w:sz w:val="24"/>
          <w:szCs w:val="24"/>
          <w:lang w:eastAsia="sk-SK"/>
        </w:rPr>
        <w:t xml:space="preserve"> </w:t>
      </w:r>
      <w:r w:rsidR="00D9297E" w:rsidRPr="00882087">
        <w:rPr>
          <w:rFonts w:ascii="Times New Roman" w:hAnsi="Times New Roman" w:cs="Times New Roman"/>
          <w:sz w:val="24"/>
          <w:szCs w:val="24"/>
        </w:rPr>
        <w:t>gestor</w:t>
      </w:r>
      <w:r w:rsidR="00F53D97" w:rsidRPr="00882087">
        <w:rPr>
          <w:rFonts w:ascii="Times New Roman" w:hAnsi="Times New Roman" w:cs="Times New Roman"/>
          <w:sz w:val="24"/>
          <w:szCs w:val="24"/>
        </w:rPr>
        <w:t>:</w:t>
      </w:r>
      <w:r w:rsidR="00F45F0B" w:rsidRPr="00882087">
        <w:rPr>
          <w:rFonts w:ascii="Times New Roman" w:hAnsi="Times New Roman" w:cs="Times New Roman"/>
          <w:sz w:val="24"/>
          <w:szCs w:val="24"/>
        </w:rPr>
        <w:t xml:space="preserve"> </w:t>
      </w:r>
      <w:r w:rsidR="00F45F0B" w:rsidRPr="00882087">
        <w:rPr>
          <w:rFonts w:ascii="Times New Roman" w:hAnsi="Times New Roman" w:cs="Times New Roman"/>
          <w:iCs/>
          <w:sz w:val="24"/>
          <w:szCs w:val="24"/>
        </w:rPr>
        <w:t xml:space="preserve">MF SR, </w:t>
      </w:r>
      <w:r w:rsidR="00F45F0B" w:rsidRPr="00882087">
        <w:rPr>
          <w:rFonts w:ascii="Times New Roman" w:hAnsi="Times New Roman" w:cs="Times New Roman"/>
          <w:iCs/>
          <w:noProof/>
          <w:sz w:val="24"/>
          <w:szCs w:val="24"/>
        </w:rPr>
        <w:t>spolugestor: NBS</w:t>
      </w:r>
      <w:r w:rsidR="00A23908" w:rsidRPr="00882087">
        <w:rPr>
          <w:rFonts w:ascii="Times New Roman" w:hAnsi="Times New Roman" w:cs="Times New Roman"/>
          <w:iCs/>
          <w:noProof/>
          <w:sz w:val="24"/>
          <w:szCs w:val="24"/>
        </w:rPr>
        <w:t>,</w:t>
      </w:r>
    </w:p>
    <w:p w14:paraId="556676A8" w14:textId="7CB3661C" w:rsidR="00FD0381" w:rsidRPr="00882087" w:rsidRDefault="00FD0381"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lang w:eastAsia="sk-SK"/>
        </w:rPr>
        <w:t>smernic</w:t>
      </w:r>
      <w:r w:rsidR="005054E2" w:rsidRPr="00882087">
        <w:rPr>
          <w:rFonts w:ascii="Times New Roman" w:hAnsi="Times New Roman" w:cs="Times New Roman"/>
          <w:sz w:val="24"/>
          <w:szCs w:val="24"/>
          <w:lang w:eastAsia="sk-SK"/>
        </w:rPr>
        <w:t>a</w:t>
      </w:r>
      <w:r w:rsidRPr="00882087">
        <w:rPr>
          <w:rFonts w:ascii="Times New Roman" w:hAnsi="Times New Roman" w:cs="Times New Roman"/>
          <w:sz w:val="24"/>
          <w:szCs w:val="24"/>
          <w:lang w:eastAsia="sk-SK"/>
        </w:rPr>
        <w:t xml:space="preserve"> Európskeho parlamentu a Rady </w:t>
      </w:r>
      <w:r w:rsidRPr="00882087">
        <w:rPr>
          <w:rFonts w:ascii="Times New Roman" w:hAnsi="Times New Roman" w:cs="Times New Roman"/>
          <w:sz w:val="24"/>
          <w:szCs w:val="24"/>
          <w:u w:val="single"/>
          <w:lang w:eastAsia="sk-SK"/>
        </w:rPr>
        <w:t>2014/49/EÚ</w:t>
      </w:r>
      <w:r w:rsidRPr="00882087">
        <w:rPr>
          <w:rFonts w:ascii="Times New Roman" w:hAnsi="Times New Roman" w:cs="Times New Roman"/>
          <w:sz w:val="24"/>
          <w:szCs w:val="24"/>
          <w:lang w:eastAsia="sk-SK"/>
        </w:rPr>
        <w:t xml:space="preserve"> zo 16. apríla 2014 o</w:t>
      </w:r>
      <w:r w:rsidR="000749FA" w:rsidRPr="00882087">
        <w:rPr>
          <w:rFonts w:ascii="Times New Roman" w:hAnsi="Times New Roman" w:cs="Times New Roman"/>
          <w:sz w:val="24"/>
          <w:szCs w:val="24"/>
          <w:lang w:eastAsia="sk-SK"/>
        </w:rPr>
        <w:t> </w:t>
      </w:r>
      <w:r w:rsidRPr="00882087">
        <w:rPr>
          <w:rFonts w:ascii="Times New Roman" w:hAnsi="Times New Roman" w:cs="Times New Roman"/>
          <w:sz w:val="24"/>
          <w:szCs w:val="24"/>
          <w:lang w:eastAsia="sk-SK"/>
        </w:rPr>
        <w:t>systémoch</w:t>
      </w:r>
      <w:r w:rsidR="000749FA" w:rsidRPr="00882087">
        <w:rPr>
          <w:rFonts w:ascii="Times New Roman" w:hAnsi="Times New Roman" w:cs="Times New Roman"/>
          <w:sz w:val="24"/>
          <w:szCs w:val="24"/>
          <w:lang w:eastAsia="sk-SK"/>
        </w:rPr>
        <w:t xml:space="preserve"> </w:t>
      </w:r>
      <w:r w:rsidRPr="00882087">
        <w:rPr>
          <w:rFonts w:ascii="Times New Roman" w:hAnsi="Times New Roman" w:cs="Times New Roman"/>
          <w:sz w:val="24"/>
          <w:szCs w:val="24"/>
          <w:lang w:eastAsia="sk-SK"/>
        </w:rPr>
        <w:t xml:space="preserve">ochrany vkladov (prepracované znenie) </w:t>
      </w:r>
      <w:r w:rsidRPr="00882087">
        <w:rPr>
          <w:rFonts w:ascii="Times New Roman" w:eastAsia="Times New Roman" w:hAnsi="Times New Roman" w:cs="Times New Roman"/>
          <w:sz w:val="24"/>
          <w:szCs w:val="24"/>
          <w:lang w:eastAsia="sk-SK"/>
        </w:rPr>
        <w:t xml:space="preserve">(Ú. v. EÚ L 173, 12.6.2014), </w:t>
      </w:r>
      <w:r w:rsidRPr="00882087">
        <w:rPr>
          <w:rFonts w:ascii="Times New Roman" w:hAnsi="Times New Roman" w:cs="Times New Roman"/>
          <w:sz w:val="24"/>
          <w:szCs w:val="24"/>
        </w:rPr>
        <w:t xml:space="preserve">gestor: </w:t>
      </w:r>
      <w:r w:rsidRPr="00882087">
        <w:rPr>
          <w:rFonts w:ascii="Times New Roman" w:hAnsi="Times New Roman" w:cs="Times New Roman"/>
          <w:iCs/>
          <w:sz w:val="24"/>
          <w:szCs w:val="24"/>
        </w:rPr>
        <w:t xml:space="preserve">MF SR, </w:t>
      </w:r>
      <w:r w:rsidRPr="00882087">
        <w:rPr>
          <w:rFonts w:ascii="Times New Roman" w:hAnsi="Times New Roman" w:cs="Times New Roman"/>
          <w:iCs/>
          <w:noProof/>
          <w:sz w:val="24"/>
          <w:szCs w:val="24"/>
        </w:rPr>
        <w:t>spolugestor: NBS,</w:t>
      </w:r>
    </w:p>
    <w:p w14:paraId="67A6D440" w14:textId="7E5B5911" w:rsidR="00802AA5" w:rsidRPr="00882087" w:rsidRDefault="00802AA5"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lang w:eastAsia="sk-SK"/>
        </w:rPr>
        <w:t xml:space="preserve">smernica Európskeho parlamentu a Rady </w:t>
      </w:r>
      <w:r w:rsidRPr="00882087">
        <w:rPr>
          <w:rFonts w:ascii="Times New Roman" w:hAnsi="Times New Roman" w:cs="Times New Roman"/>
          <w:sz w:val="24"/>
          <w:szCs w:val="24"/>
          <w:u w:val="single"/>
          <w:lang w:eastAsia="sk-SK"/>
        </w:rPr>
        <w:t>2014/59/EÚ</w:t>
      </w:r>
      <w:r w:rsidRPr="00882087">
        <w:rPr>
          <w:rFonts w:ascii="Times New Roman" w:hAnsi="Times New Roman" w:cs="Times New Roman"/>
          <w:sz w:val="24"/>
          <w:szCs w:val="24"/>
          <w:lang w:eastAsia="sk-SK"/>
        </w:rPr>
        <w:t xml:space="preserve"> z 15. mája 2014, ktorou sa stanovuje rámec pre ozdravenie a riešenie krízových situácií úverových inštitúcií a investičných spoločností a ktorou sa mení smernica Rady 82/891/EHS a smernica Eur</w:t>
      </w:r>
      <w:r w:rsidR="006A3A36" w:rsidRPr="00882087">
        <w:rPr>
          <w:rFonts w:ascii="Times New Roman" w:hAnsi="Times New Roman" w:cs="Times New Roman"/>
          <w:sz w:val="24"/>
          <w:szCs w:val="24"/>
          <w:lang w:eastAsia="sk-SK"/>
        </w:rPr>
        <w:t>ópskeho parlamentu a Rady 2001/2</w:t>
      </w:r>
      <w:r w:rsidRPr="00882087">
        <w:rPr>
          <w:rFonts w:ascii="Times New Roman" w:hAnsi="Times New Roman" w:cs="Times New Roman"/>
          <w:sz w:val="24"/>
          <w:szCs w:val="24"/>
          <w:lang w:eastAsia="sk-SK"/>
        </w:rPr>
        <w:t xml:space="preserve">4/ES, 2002/47/ES, </w:t>
      </w:r>
      <w:r w:rsidR="004C7A61" w:rsidRPr="00882087">
        <w:rPr>
          <w:rFonts w:ascii="Times New Roman" w:hAnsi="Times New Roman" w:cs="Times New Roman"/>
          <w:sz w:val="24"/>
          <w:szCs w:val="24"/>
          <w:lang w:eastAsia="sk-SK"/>
        </w:rPr>
        <w:t xml:space="preserve">2004/25/ES, </w:t>
      </w:r>
      <w:r w:rsidRPr="00882087">
        <w:rPr>
          <w:rFonts w:ascii="Times New Roman" w:hAnsi="Times New Roman" w:cs="Times New Roman"/>
          <w:sz w:val="24"/>
          <w:szCs w:val="24"/>
          <w:lang w:eastAsia="sk-SK"/>
        </w:rPr>
        <w:t xml:space="preserve">2005/56/ES, 2007/36/ES, 2011/35/EÚ, 2012/30/EÚ a 2013/36/EÚ a nariadenia Európskeho parlamentu a Rady </w:t>
      </w:r>
      <w:r w:rsidR="004C7A61" w:rsidRPr="00882087">
        <w:rPr>
          <w:rFonts w:ascii="Times New Roman" w:hAnsi="Times New Roman" w:cs="Times New Roman"/>
          <w:sz w:val="24"/>
          <w:szCs w:val="24"/>
          <w:lang w:eastAsia="sk-SK"/>
        </w:rPr>
        <w:t>(</w:t>
      </w:r>
      <w:r w:rsidRPr="00882087">
        <w:rPr>
          <w:rFonts w:ascii="Times New Roman" w:hAnsi="Times New Roman" w:cs="Times New Roman"/>
          <w:sz w:val="24"/>
          <w:szCs w:val="24"/>
          <w:lang w:eastAsia="sk-SK"/>
        </w:rPr>
        <w:t>EÚ</w:t>
      </w:r>
      <w:r w:rsidR="004C7A61" w:rsidRPr="00882087">
        <w:rPr>
          <w:rFonts w:ascii="Times New Roman" w:hAnsi="Times New Roman" w:cs="Times New Roman"/>
          <w:sz w:val="24"/>
          <w:szCs w:val="24"/>
          <w:lang w:eastAsia="sk-SK"/>
        </w:rPr>
        <w:t>)</w:t>
      </w:r>
      <w:r w:rsidRPr="00882087">
        <w:rPr>
          <w:rFonts w:ascii="Times New Roman" w:hAnsi="Times New Roman" w:cs="Times New Roman"/>
          <w:sz w:val="24"/>
          <w:szCs w:val="24"/>
          <w:lang w:eastAsia="sk-SK"/>
        </w:rPr>
        <w:t xml:space="preserve"> č. 1093/2010 a (EÚ) č. 648/2012 (Ú. v. EÚ L 173, 12.6.2014)</w:t>
      </w:r>
      <w:r w:rsidRPr="00882087">
        <w:rPr>
          <w:rFonts w:ascii="Times New Roman" w:eastAsia="Times New Roman" w:hAnsi="Times New Roman" w:cs="Times New Roman"/>
          <w:sz w:val="24"/>
          <w:szCs w:val="24"/>
          <w:lang w:eastAsia="sk-SK"/>
        </w:rPr>
        <w:t xml:space="preserve"> v platnom znení, </w:t>
      </w:r>
      <w:r w:rsidRPr="00882087">
        <w:rPr>
          <w:rFonts w:ascii="Times New Roman" w:hAnsi="Times New Roman" w:cs="Times New Roman"/>
          <w:sz w:val="24"/>
          <w:szCs w:val="24"/>
        </w:rPr>
        <w:t xml:space="preserve">gestor: </w:t>
      </w:r>
      <w:r w:rsidRPr="00882087">
        <w:rPr>
          <w:rFonts w:ascii="Times New Roman" w:hAnsi="Times New Roman" w:cs="Times New Roman"/>
          <w:iCs/>
          <w:sz w:val="24"/>
          <w:szCs w:val="24"/>
        </w:rPr>
        <w:t xml:space="preserve">MF SR, </w:t>
      </w:r>
      <w:r w:rsidRPr="00882087">
        <w:rPr>
          <w:rFonts w:ascii="Times New Roman" w:hAnsi="Times New Roman" w:cs="Times New Roman"/>
          <w:iCs/>
          <w:noProof/>
          <w:sz w:val="24"/>
          <w:szCs w:val="24"/>
        </w:rPr>
        <w:t>spolugestor: NBS,</w:t>
      </w:r>
    </w:p>
    <w:p w14:paraId="30512041" w14:textId="389E87A4" w:rsidR="002A1E93" w:rsidRPr="00882087" w:rsidRDefault="002A1E93"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smernica</w:t>
      </w:r>
      <w:r w:rsidRPr="00882087">
        <w:rPr>
          <w:rFonts w:ascii="Times New Roman" w:eastAsia="Times New Roman" w:hAnsi="Times New Roman" w:cs="Times New Roman"/>
          <w:spacing w:val="6"/>
          <w:sz w:val="24"/>
          <w:szCs w:val="24"/>
          <w:lang w:eastAsia="sk-SK"/>
        </w:rPr>
        <w:t xml:space="preserve"> </w:t>
      </w:r>
      <w:r w:rsidRPr="00882087">
        <w:rPr>
          <w:rFonts w:ascii="Times New Roman" w:hAnsi="Times New Roman" w:cs="Times New Roman"/>
          <w:sz w:val="24"/>
          <w:szCs w:val="24"/>
          <w:shd w:val="clear" w:color="auto" w:fill="FFFFFF"/>
        </w:rPr>
        <w:t xml:space="preserve">Európskeho parlamentu a Rady </w:t>
      </w:r>
      <w:r w:rsidRPr="00882087">
        <w:rPr>
          <w:rFonts w:ascii="Times New Roman" w:hAnsi="Times New Roman" w:cs="Times New Roman"/>
          <w:sz w:val="24"/>
          <w:szCs w:val="24"/>
          <w:u w:val="single"/>
          <w:shd w:val="clear" w:color="auto" w:fill="FFFFFF"/>
        </w:rPr>
        <w:t>2013/36/EÚ</w:t>
      </w:r>
      <w:r w:rsidRPr="00882087">
        <w:rPr>
          <w:rFonts w:ascii="Times New Roman" w:hAnsi="Times New Roman" w:cs="Times New Roman"/>
          <w:sz w:val="24"/>
          <w:szCs w:val="24"/>
          <w:shd w:val="clear" w:color="auto" w:fill="FFFFFF"/>
        </w:rPr>
        <w:t xml:space="preserve"> z 26. júna 2013 o prístupe k činnosti úverových inštitúcií a prudenciálnom dohľade nad úverovými inštitúciami, o zmene smernice 2002/87/ES a o zrušení smerníc 2006/48/ES a 2006/49/ES </w:t>
      </w:r>
      <w:r w:rsidRPr="00882087">
        <w:rPr>
          <w:rFonts w:ascii="Times New Roman" w:eastAsia="Times New Roman" w:hAnsi="Times New Roman" w:cs="Times New Roman"/>
          <w:sz w:val="24"/>
          <w:szCs w:val="24"/>
          <w:lang w:eastAsia="sk-SK"/>
        </w:rPr>
        <w:t>(Ú. v. EÚ L 176, 27.6.2013) v platnom znení, gestor: MF SR, spolugestor: NBS,</w:t>
      </w:r>
    </w:p>
    <w:p w14:paraId="00FB084F" w14:textId="50FD3FA8" w:rsidR="001E75AF" w:rsidRPr="00882087" w:rsidRDefault="001E75AF"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shd w:val="clear" w:color="auto" w:fill="FFFFFF"/>
        </w:rPr>
        <w:t xml:space="preserve">smernica Európskeho parlamentu a Rady </w:t>
      </w:r>
      <w:r w:rsidRPr="00882087">
        <w:rPr>
          <w:rFonts w:ascii="Times New Roman" w:hAnsi="Times New Roman" w:cs="Times New Roman"/>
          <w:sz w:val="24"/>
          <w:szCs w:val="24"/>
          <w:u w:val="single"/>
          <w:shd w:val="clear" w:color="auto" w:fill="FFFFFF"/>
        </w:rPr>
        <w:t>2009/65/ES</w:t>
      </w:r>
      <w:r w:rsidRPr="00882087">
        <w:rPr>
          <w:rFonts w:ascii="Times New Roman" w:hAnsi="Times New Roman" w:cs="Times New Roman"/>
          <w:sz w:val="24"/>
          <w:szCs w:val="24"/>
          <w:shd w:val="clear" w:color="auto" w:fill="FFFFFF"/>
        </w:rPr>
        <w:t xml:space="preserve"> z 13. júla 2009 o koordinácii zákonov, iných právnych predpisov a správnych opatrení týkajúcich sa podnikov kolektívneho investovania do prevoditeľných cenných papierov</w:t>
      </w:r>
      <w:r w:rsidR="00933B19" w:rsidRPr="00882087">
        <w:rPr>
          <w:rFonts w:ascii="Times New Roman" w:hAnsi="Times New Roman" w:cs="Times New Roman"/>
          <w:sz w:val="24"/>
          <w:szCs w:val="24"/>
          <w:shd w:val="clear" w:color="auto" w:fill="FFFFFF"/>
        </w:rPr>
        <w:t xml:space="preserve"> (PKIPCP)</w:t>
      </w:r>
      <w:r w:rsidRPr="00882087">
        <w:rPr>
          <w:rFonts w:ascii="Times New Roman" w:hAnsi="Times New Roman" w:cs="Times New Roman"/>
          <w:sz w:val="24"/>
          <w:szCs w:val="24"/>
          <w:shd w:val="clear" w:color="auto" w:fill="FFFFFF"/>
        </w:rPr>
        <w:t xml:space="preserve"> </w:t>
      </w:r>
      <w:r w:rsidRPr="00882087">
        <w:rPr>
          <w:rFonts w:ascii="Times New Roman" w:hAnsi="Times New Roman" w:cs="Times New Roman"/>
          <w:bCs/>
          <w:sz w:val="24"/>
          <w:szCs w:val="24"/>
          <w:shd w:val="clear" w:color="auto" w:fill="FFFFFF"/>
        </w:rPr>
        <w:t>(prepracované znenie)</w:t>
      </w:r>
      <w:r w:rsidRPr="00882087">
        <w:rPr>
          <w:rFonts w:ascii="Times New Roman" w:hAnsi="Times New Roman" w:cs="Times New Roman"/>
          <w:sz w:val="24"/>
          <w:szCs w:val="24"/>
          <w:lang w:eastAsia="sk-SK"/>
        </w:rPr>
        <w:t xml:space="preserve"> (</w:t>
      </w:r>
      <w:r w:rsidRPr="00882087">
        <w:rPr>
          <w:rStyle w:val="Zvraznenie"/>
          <w:rFonts w:ascii="Times New Roman" w:hAnsi="Times New Roman" w:cs="Times New Roman"/>
          <w:i w:val="0"/>
          <w:sz w:val="24"/>
          <w:szCs w:val="24"/>
          <w:shd w:val="clear" w:color="auto" w:fill="FFFFFF"/>
        </w:rPr>
        <w:t>Ú. v. EÚ L 302, 17.11.2009</w:t>
      </w:r>
      <w:r w:rsidRPr="00882087">
        <w:rPr>
          <w:rFonts w:ascii="Times New Roman" w:hAnsi="Times New Roman" w:cs="Times New Roman"/>
          <w:sz w:val="24"/>
          <w:szCs w:val="24"/>
          <w:lang w:eastAsia="sk-SK"/>
        </w:rPr>
        <w:t>) v platnom znení, gestor: MF SR, spolugestor: NBS,</w:t>
      </w:r>
    </w:p>
    <w:p w14:paraId="6A5DCAA4" w14:textId="3B0504E2" w:rsidR="00DA1539" w:rsidRPr="00882087" w:rsidRDefault="00DA1539" w:rsidP="00400597">
      <w:pPr>
        <w:pStyle w:val="Odsekzoznamu"/>
        <w:numPr>
          <w:ilvl w:val="0"/>
          <w:numId w:val="3"/>
        </w:numPr>
        <w:spacing w:line="240" w:lineRule="auto"/>
        <w:jc w:val="both"/>
        <w:rPr>
          <w:rFonts w:ascii="Times New Roman" w:hAnsi="Times New Roman" w:cs="Times New Roman"/>
          <w:color w:val="000000"/>
          <w:sz w:val="24"/>
          <w:szCs w:val="24"/>
          <w:lang w:eastAsia="sk-SK"/>
        </w:rPr>
      </w:pPr>
      <w:r w:rsidRPr="00882087">
        <w:rPr>
          <w:rFonts w:ascii="Times New Roman" w:hAnsi="Times New Roman" w:cs="Times New Roman"/>
          <w:sz w:val="24"/>
          <w:szCs w:val="24"/>
          <w:shd w:val="clear" w:color="auto" w:fill="FFFFFF"/>
        </w:rPr>
        <w:t xml:space="preserve">smernica Európskeho parlamentu a Rady (EÚ) </w:t>
      </w:r>
      <w:r w:rsidRPr="00882087">
        <w:rPr>
          <w:rFonts w:ascii="Times New Roman" w:hAnsi="Times New Roman" w:cs="Times New Roman"/>
          <w:sz w:val="24"/>
          <w:szCs w:val="24"/>
          <w:u w:val="single"/>
          <w:shd w:val="clear" w:color="auto" w:fill="FFFFFF"/>
        </w:rPr>
        <w:t>2015/2366</w:t>
      </w:r>
      <w:r w:rsidRPr="00882087">
        <w:rPr>
          <w:rFonts w:ascii="Times New Roman" w:hAnsi="Times New Roman" w:cs="Times New Roman"/>
          <w:sz w:val="24"/>
          <w:szCs w:val="24"/>
          <w:shd w:val="clear" w:color="auto" w:fill="FFFFFF"/>
        </w:rPr>
        <w:t xml:space="preserve"> z 25. novembra 2015 o platobných službách na vnútornom trhu, ktorou sa menia smernice 2002/65/ES, 2009/110/ES a 2013/36/EÚ a nariadenie (EÚ) č. 1093/2010 a ktorou sa zrušuje</w:t>
      </w:r>
      <w:r w:rsidRPr="00882087">
        <w:rPr>
          <w:rFonts w:ascii="Times New Roman" w:hAnsi="Times New Roman" w:cs="Times New Roman"/>
          <w:color w:val="000000"/>
          <w:sz w:val="24"/>
          <w:szCs w:val="24"/>
          <w:lang w:eastAsia="sk-SK"/>
        </w:rPr>
        <w:t xml:space="preserve"> smernica 2007/64/ES (Ú. v. EÚ L 337, 23. 12. 2015), gestor: MF SR, spolugestor: NBS</w:t>
      </w:r>
      <w:r w:rsidR="00840906" w:rsidRPr="00882087">
        <w:rPr>
          <w:rFonts w:ascii="Times New Roman" w:hAnsi="Times New Roman" w:cs="Times New Roman"/>
          <w:color w:val="000000"/>
          <w:sz w:val="24"/>
          <w:szCs w:val="24"/>
          <w:lang w:eastAsia="sk-SK"/>
        </w:rPr>
        <w:t>,</w:t>
      </w:r>
    </w:p>
    <w:p w14:paraId="1211BF4C" w14:textId="2CAFE254" w:rsidR="00FD0381" w:rsidRPr="00882087" w:rsidRDefault="000749FA"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lastRenderedPageBreak/>
        <w:t>nariadenie Európskeho</w:t>
      </w:r>
      <w:r w:rsidRPr="00882087">
        <w:rPr>
          <w:rFonts w:ascii="Times New Roman" w:eastAsia="Times New Roman" w:hAnsi="Times New Roman" w:cs="Times New Roman"/>
          <w:spacing w:val="69"/>
          <w:sz w:val="24"/>
          <w:szCs w:val="24"/>
          <w:lang w:eastAsia="sk-SK"/>
        </w:rPr>
        <w:t xml:space="preserve"> </w:t>
      </w:r>
      <w:r w:rsidRPr="00882087">
        <w:rPr>
          <w:rFonts w:ascii="Times New Roman" w:eastAsia="Times New Roman" w:hAnsi="Times New Roman" w:cs="Times New Roman"/>
          <w:sz w:val="24"/>
          <w:szCs w:val="24"/>
          <w:lang w:eastAsia="sk-SK"/>
        </w:rPr>
        <w:t>parlamentu</w:t>
      </w:r>
      <w:r w:rsidRPr="00882087">
        <w:rPr>
          <w:rFonts w:ascii="Times New Roman" w:eastAsia="Times New Roman" w:hAnsi="Times New Roman" w:cs="Times New Roman"/>
          <w:spacing w:val="69"/>
          <w:sz w:val="24"/>
          <w:szCs w:val="24"/>
          <w:lang w:eastAsia="sk-SK"/>
        </w:rPr>
        <w:t xml:space="preserve"> </w:t>
      </w:r>
      <w:r w:rsidRPr="00882087">
        <w:rPr>
          <w:rFonts w:ascii="Times New Roman" w:eastAsia="Times New Roman" w:hAnsi="Times New Roman" w:cs="Times New Roman"/>
          <w:sz w:val="24"/>
          <w:szCs w:val="24"/>
          <w:lang w:eastAsia="sk-SK"/>
        </w:rPr>
        <w:t>a Rady</w:t>
      </w:r>
      <w:r w:rsidRPr="00882087">
        <w:rPr>
          <w:rFonts w:ascii="Times New Roman" w:eastAsia="Times New Roman" w:hAnsi="Times New Roman" w:cs="Times New Roman"/>
          <w:spacing w:val="69"/>
          <w:sz w:val="24"/>
          <w:szCs w:val="24"/>
          <w:lang w:eastAsia="sk-SK"/>
        </w:rPr>
        <w:t xml:space="preserve"> </w:t>
      </w:r>
      <w:r w:rsidRPr="00882087">
        <w:rPr>
          <w:rFonts w:ascii="Times New Roman" w:eastAsia="Times New Roman" w:hAnsi="Times New Roman" w:cs="Times New Roman"/>
          <w:sz w:val="24"/>
          <w:szCs w:val="24"/>
          <w:lang w:eastAsia="sk-SK"/>
        </w:rPr>
        <w:t>(EÚ)</w:t>
      </w:r>
      <w:r w:rsidRPr="00882087">
        <w:rPr>
          <w:rFonts w:ascii="Times New Roman" w:eastAsia="Times New Roman" w:hAnsi="Times New Roman" w:cs="Times New Roman"/>
          <w:spacing w:val="69"/>
          <w:sz w:val="24"/>
          <w:szCs w:val="24"/>
          <w:lang w:eastAsia="sk-SK"/>
        </w:rPr>
        <w:t xml:space="preserve"> </w:t>
      </w:r>
      <w:r w:rsidRPr="00882087">
        <w:rPr>
          <w:rFonts w:ascii="Times New Roman" w:eastAsia="Times New Roman" w:hAnsi="Times New Roman" w:cs="Times New Roman"/>
          <w:sz w:val="24"/>
          <w:szCs w:val="24"/>
          <w:lang w:eastAsia="sk-SK"/>
        </w:rPr>
        <w:t xml:space="preserve">č. </w:t>
      </w:r>
      <w:r w:rsidRPr="00882087">
        <w:rPr>
          <w:rFonts w:ascii="Times New Roman" w:eastAsia="Times New Roman" w:hAnsi="Times New Roman" w:cs="Times New Roman"/>
          <w:sz w:val="24"/>
          <w:szCs w:val="24"/>
          <w:u w:val="single"/>
          <w:lang w:eastAsia="sk-SK"/>
        </w:rPr>
        <w:t>575/2013</w:t>
      </w:r>
      <w:r w:rsidRPr="00882087">
        <w:rPr>
          <w:rFonts w:ascii="Times New Roman" w:eastAsia="Times New Roman" w:hAnsi="Times New Roman" w:cs="Times New Roman"/>
          <w:sz w:val="24"/>
          <w:szCs w:val="24"/>
          <w:lang w:eastAsia="sk-SK"/>
        </w:rPr>
        <w:t xml:space="preserve"> z 26. júna 2013 o prudenciálnych požiadavkách na úverové inštitúcie a investičné spoločnosti a o zmene nariadenia (EÚ) č. 648/2012 (Ú. v. EÚ L 176, 27.6.2013) v platnom znení, </w:t>
      </w:r>
      <w:r w:rsidRPr="00882087">
        <w:rPr>
          <w:rFonts w:ascii="Times New Roman" w:hAnsi="Times New Roman" w:cs="Times New Roman"/>
          <w:sz w:val="24"/>
          <w:szCs w:val="24"/>
        </w:rPr>
        <w:t>gestor</w:t>
      </w:r>
      <w:r w:rsidR="00E03237" w:rsidRPr="00882087">
        <w:rPr>
          <w:rFonts w:ascii="Times New Roman" w:hAnsi="Times New Roman" w:cs="Times New Roman"/>
          <w:sz w:val="24"/>
          <w:szCs w:val="24"/>
        </w:rPr>
        <w:t>i</w:t>
      </w:r>
      <w:r w:rsidRPr="00882087">
        <w:rPr>
          <w:rFonts w:ascii="Times New Roman" w:hAnsi="Times New Roman" w:cs="Times New Roman"/>
          <w:sz w:val="24"/>
          <w:szCs w:val="24"/>
        </w:rPr>
        <w:t>: MF SR, NBS,</w:t>
      </w:r>
    </w:p>
    <w:p w14:paraId="72591149" w14:textId="20732B38" w:rsidR="004A27BF" w:rsidRPr="00882087" w:rsidRDefault="004A27BF"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bCs/>
          <w:sz w:val="24"/>
          <w:szCs w:val="24"/>
        </w:rPr>
        <w:t>nariadenie Európskeho parlamentu a Rady (EÚ) č. </w:t>
      </w:r>
      <w:r w:rsidRPr="00882087">
        <w:rPr>
          <w:rFonts w:ascii="Times New Roman" w:hAnsi="Times New Roman" w:cs="Times New Roman"/>
          <w:bCs/>
          <w:sz w:val="24"/>
          <w:szCs w:val="24"/>
          <w:u w:val="single"/>
        </w:rPr>
        <w:t>648/2012</w:t>
      </w:r>
      <w:r w:rsidRPr="00882087">
        <w:rPr>
          <w:rFonts w:ascii="Times New Roman" w:hAnsi="Times New Roman" w:cs="Times New Roman"/>
          <w:bCs/>
          <w:sz w:val="24"/>
          <w:szCs w:val="24"/>
        </w:rPr>
        <w:t xml:space="preserve"> zo 4. júla 2012 o mimoburzových derivátoch, centrálnych protistranách a archívoch obchodných údajov (</w:t>
      </w:r>
      <w:r w:rsidRPr="00882087">
        <w:rPr>
          <w:rFonts w:ascii="Times New Roman" w:hAnsi="Times New Roman" w:cs="Times New Roman"/>
          <w:iCs/>
          <w:sz w:val="24"/>
          <w:szCs w:val="24"/>
        </w:rPr>
        <w:t xml:space="preserve">Ú. v. EÚ L 201, 27.7.2012) v platnom znení, </w:t>
      </w:r>
      <w:r w:rsidRPr="00882087">
        <w:rPr>
          <w:rFonts w:ascii="Times New Roman" w:hAnsi="Times New Roman" w:cs="Times New Roman"/>
          <w:sz w:val="24"/>
          <w:szCs w:val="24"/>
        </w:rPr>
        <w:t>gestor</w:t>
      </w:r>
      <w:r w:rsidR="00E03237" w:rsidRPr="00882087">
        <w:rPr>
          <w:rFonts w:ascii="Times New Roman" w:hAnsi="Times New Roman" w:cs="Times New Roman"/>
          <w:sz w:val="24"/>
          <w:szCs w:val="24"/>
        </w:rPr>
        <w:t>i</w:t>
      </w:r>
      <w:r w:rsidRPr="00882087">
        <w:rPr>
          <w:rFonts w:ascii="Times New Roman" w:hAnsi="Times New Roman" w:cs="Times New Roman"/>
          <w:sz w:val="24"/>
          <w:szCs w:val="24"/>
        </w:rPr>
        <w:t>: MF SR, NBS,</w:t>
      </w:r>
    </w:p>
    <w:p w14:paraId="2C36F072" w14:textId="40C414E8" w:rsidR="003D66D3" w:rsidRPr="00882087" w:rsidRDefault="003D66D3" w:rsidP="00400597">
      <w:pPr>
        <w:pStyle w:val="Odsekzoznamu"/>
        <w:numPr>
          <w:ilvl w:val="0"/>
          <w:numId w:val="3"/>
        </w:numPr>
        <w:spacing w:after="0" w:line="240" w:lineRule="auto"/>
        <w:jc w:val="both"/>
        <w:rPr>
          <w:rFonts w:ascii="Times New Roman" w:eastAsia="Times New Roman" w:hAnsi="Times New Roman" w:cs="Times New Roman"/>
          <w:i/>
          <w:sz w:val="24"/>
          <w:szCs w:val="24"/>
          <w:lang w:eastAsia="sk-SK"/>
        </w:rPr>
      </w:pPr>
      <w:r w:rsidRPr="00882087">
        <w:rPr>
          <w:rStyle w:val="Zvraznenie"/>
          <w:rFonts w:ascii="Times New Roman" w:eastAsia="Times New Roman" w:hAnsi="Times New Roman" w:cs="Times New Roman"/>
          <w:i w:val="0"/>
          <w:iCs w:val="0"/>
          <w:sz w:val="24"/>
          <w:szCs w:val="24"/>
          <w:lang w:eastAsia="sk-SK"/>
        </w:rPr>
        <w:t xml:space="preserve">delegované nariadenie Komisie (EÚ) </w:t>
      </w:r>
      <w:r w:rsidRPr="00882087">
        <w:rPr>
          <w:rStyle w:val="Zvraznenie"/>
          <w:rFonts w:ascii="Times New Roman" w:eastAsia="Times New Roman" w:hAnsi="Times New Roman" w:cs="Times New Roman"/>
          <w:i w:val="0"/>
          <w:iCs w:val="0"/>
          <w:sz w:val="24"/>
          <w:szCs w:val="24"/>
          <w:u w:val="single"/>
          <w:lang w:eastAsia="sk-SK"/>
        </w:rPr>
        <w:t>2016/2251</w:t>
      </w:r>
      <w:r w:rsidRPr="00882087">
        <w:rPr>
          <w:rStyle w:val="Zvraznenie"/>
          <w:rFonts w:ascii="Times New Roman" w:eastAsia="Times New Roman" w:hAnsi="Times New Roman" w:cs="Times New Roman"/>
          <w:i w:val="0"/>
          <w:iCs w:val="0"/>
          <w:sz w:val="24"/>
          <w:szCs w:val="24"/>
          <w:lang w:eastAsia="sk-SK"/>
        </w:rPr>
        <w:t xml:space="preserve"> zo 4. októbra 2016, ktorým sa dopĺňa nariadenie Európskeho parlamentu a Rady (EÚ) č. 648/2012 o</w:t>
      </w:r>
      <w:r w:rsidR="00CF76F7" w:rsidRPr="00882087">
        <w:rPr>
          <w:rStyle w:val="Zvraznenie"/>
          <w:rFonts w:ascii="Times New Roman" w:eastAsia="Times New Roman" w:hAnsi="Times New Roman" w:cs="Times New Roman"/>
          <w:i w:val="0"/>
          <w:iCs w:val="0"/>
          <w:sz w:val="24"/>
          <w:szCs w:val="24"/>
          <w:lang w:eastAsia="sk-SK"/>
        </w:rPr>
        <w:t> </w:t>
      </w:r>
      <w:r w:rsidRPr="00882087">
        <w:rPr>
          <w:rStyle w:val="Zvraznenie"/>
          <w:rFonts w:ascii="Times New Roman" w:eastAsia="Times New Roman" w:hAnsi="Times New Roman" w:cs="Times New Roman"/>
          <w:i w:val="0"/>
          <w:iCs w:val="0"/>
          <w:sz w:val="24"/>
          <w:szCs w:val="24"/>
          <w:lang w:eastAsia="sk-SK"/>
        </w:rPr>
        <w:t>mimoburzových</w:t>
      </w:r>
      <w:r w:rsidR="00CF76F7" w:rsidRPr="00882087">
        <w:rPr>
          <w:rStyle w:val="Zvraznenie"/>
          <w:rFonts w:ascii="Times New Roman" w:eastAsia="Times New Roman" w:hAnsi="Times New Roman" w:cs="Times New Roman"/>
          <w:i w:val="0"/>
          <w:iCs w:val="0"/>
          <w:sz w:val="24"/>
          <w:szCs w:val="24"/>
          <w:lang w:eastAsia="sk-SK"/>
        </w:rPr>
        <w:t xml:space="preserve"> </w:t>
      </w:r>
      <w:r w:rsidRPr="00882087">
        <w:rPr>
          <w:rStyle w:val="Zvraznenie"/>
          <w:rFonts w:ascii="Times New Roman" w:eastAsia="Times New Roman" w:hAnsi="Times New Roman" w:cs="Times New Roman"/>
          <w:i w:val="0"/>
          <w:iCs w:val="0"/>
          <w:sz w:val="24"/>
          <w:szCs w:val="24"/>
          <w:lang w:eastAsia="sk-SK"/>
        </w:rPr>
        <w:t>derivátoch, centrálnych protistranách a archívoch obchodných údajov, pokiaľ ide o regulačné technické predpisy pre postupy zmierňovania rizika pre zmluvy o mimoburzových derivátoch, ktoré centrálna protistrana nezúčtovala (Ú.</w:t>
      </w:r>
      <w:r w:rsidR="00802AA5" w:rsidRPr="00882087">
        <w:rPr>
          <w:rStyle w:val="Zvraznenie"/>
          <w:rFonts w:ascii="Times New Roman" w:eastAsia="Times New Roman" w:hAnsi="Times New Roman" w:cs="Times New Roman"/>
          <w:i w:val="0"/>
          <w:iCs w:val="0"/>
          <w:sz w:val="24"/>
          <w:szCs w:val="24"/>
          <w:lang w:eastAsia="sk-SK"/>
        </w:rPr>
        <w:t xml:space="preserve"> </w:t>
      </w:r>
      <w:r w:rsidRPr="00882087">
        <w:rPr>
          <w:rStyle w:val="Zvraznenie"/>
          <w:rFonts w:ascii="Times New Roman" w:eastAsia="Times New Roman" w:hAnsi="Times New Roman" w:cs="Times New Roman"/>
          <w:i w:val="0"/>
          <w:iCs w:val="0"/>
          <w:sz w:val="24"/>
          <w:szCs w:val="24"/>
          <w:lang w:eastAsia="sk-SK"/>
        </w:rPr>
        <w:t xml:space="preserve">v. EÚ L 340, 15.12.2016) v platnom znení, </w:t>
      </w:r>
      <w:r w:rsidRPr="00882087">
        <w:rPr>
          <w:rFonts w:ascii="Times New Roman" w:hAnsi="Times New Roman" w:cs="Times New Roman"/>
          <w:sz w:val="24"/>
          <w:szCs w:val="24"/>
        </w:rPr>
        <w:t>gestor</w:t>
      </w:r>
      <w:r w:rsidR="005D7CA5" w:rsidRPr="00882087">
        <w:rPr>
          <w:rFonts w:ascii="Times New Roman" w:hAnsi="Times New Roman" w:cs="Times New Roman"/>
          <w:sz w:val="24"/>
          <w:szCs w:val="24"/>
        </w:rPr>
        <w:t>i</w:t>
      </w:r>
      <w:r w:rsidRPr="00882087">
        <w:rPr>
          <w:rFonts w:ascii="Times New Roman" w:hAnsi="Times New Roman" w:cs="Times New Roman"/>
          <w:sz w:val="24"/>
          <w:szCs w:val="24"/>
        </w:rPr>
        <w:t>: MF SR, NBS,</w:t>
      </w:r>
    </w:p>
    <w:p w14:paraId="754B5502" w14:textId="255752CF" w:rsidR="00424A9C" w:rsidRPr="00882087" w:rsidRDefault="00424A9C" w:rsidP="00400597">
      <w:pPr>
        <w:pStyle w:val="Odsekzoznamu"/>
        <w:numPr>
          <w:ilvl w:val="0"/>
          <w:numId w:val="3"/>
        </w:numPr>
        <w:spacing w:after="0" w:line="240" w:lineRule="auto"/>
        <w:jc w:val="both"/>
        <w:rPr>
          <w:rStyle w:val="Zvraznenie"/>
          <w:rFonts w:ascii="Times New Roman" w:eastAsia="Times New Roman" w:hAnsi="Times New Roman" w:cs="Times New Roman"/>
          <w:i w:val="0"/>
          <w:iCs w:val="0"/>
          <w:sz w:val="24"/>
          <w:szCs w:val="24"/>
          <w:lang w:eastAsia="sk-SK"/>
        </w:rPr>
      </w:pPr>
      <w:r w:rsidRPr="00882087">
        <w:rPr>
          <w:rFonts w:ascii="Times New Roman" w:hAnsi="Times New Roman" w:cs="Times New Roman"/>
          <w:color w:val="000000" w:themeColor="text1"/>
          <w:sz w:val="24"/>
          <w:szCs w:val="24"/>
        </w:rPr>
        <w:t>nariaden</w:t>
      </w:r>
      <w:r w:rsidR="00593DF2" w:rsidRPr="00882087">
        <w:rPr>
          <w:rFonts w:ascii="Times New Roman" w:hAnsi="Times New Roman" w:cs="Times New Roman"/>
          <w:color w:val="000000" w:themeColor="text1"/>
          <w:sz w:val="24"/>
          <w:szCs w:val="24"/>
        </w:rPr>
        <w:t>e</w:t>
      </w:r>
      <w:r w:rsidRPr="00882087">
        <w:rPr>
          <w:rFonts w:ascii="Times New Roman" w:hAnsi="Times New Roman" w:cs="Times New Roman"/>
          <w:color w:val="000000" w:themeColor="text1"/>
          <w:sz w:val="24"/>
          <w:szCs w:val="24"/>
        </w:rPr>
        <w:t xml:space="preserve"> Komisie (ES) č. </w:t>
      </w:r>
      <w:r w:rsidRPr="00882087">
        <w:rPr>
          <w:rFonts w:ascii="Times New Roman" w:hAnsi="Times New Roman" w:cs="Times New Roman"/>
          <w:color w:val="000000" w:themeColor="text1"/>
          <w:sz w:val="24"/>
          <w:szCs w:val="24"/>
          <w:u w:val="single"/>
        </w:rPr>
        <w:t>1</w:t>
      </w:r>
      <w:r w:rsidR="00640AAD" w:rsidRPr="00882087">
        <w:rPr>
          <w:rFonts w:ascii="Times New Roman" w:hAnsi="Times New Roman" w:cs="Times New Roman"/>
          <w:color w:val="000000" w:themeColor="text1"/>
          <w:sz w:val="24"/>
          <w:szCs w:val="24"/>
          <w:u w:val="single"/>
        </w:rPr>
        <w:t>1</w:t>
      </w:r>
      <w:r w:rsidRPr="00882087">
        <w:rPr>
          <w:rFonts w:ascii="Times New Roman" w:hAnsi="Times New Roman" w:cs="Times New Roman"/>
          <w:color w:val="000000" w:themeColor="text1"/>
          <w:sz w:val="24"/>
          <w:szCs w:val="24"/>
          <w:u w:val="single"/>
        </w:rPr>
        <w:t>26/2008</w:t>
      </w:r>
      <w:r w:rsidRPr="00882087">
        <w:rPr>
          <w:rFonts w:ascii="Times New Roman" w:hAnsi="Times New Roman" w:cs="Times New Roman"/>
          <w:color w:val="000000" w:themeColor="text1"/>
          <w:sz w:val="24"/>
          <w:szCs w:val="24"/>
        </w:rPr>
        <w:t xml:space="preserve"> z 3. novembra 2008, ktorým sa v súlade s</w:t>
      </w:r>
      <w:r w:rsidR="00593DF2" w:rsidRPr="00882087">
        <w:rPr>
          <w:rFonts w:ascii="Times New Roman" w:hAnsi="Times New Roman" w:cs="Times New Roman"/>
          <w:color w:val="000000" w:themeColor="text1"/>
          <w:sz w:val="24"/>
          <w:szCs w:val="24"/>
        </w:rPr>
        <w:t> </w:t>
      </w:r>
      <w:r w:rsidRPr="00882087">
        <w:rPr>
          <w:rFonts w:ascii="Times New Roman" w:hAnsi="Times New Roman" w:cs="Times New Roman"/>
          <w:color w:val="000000" w:themeColor="text1"/>
          <w:sz w:val="24"/>
          <w:szCs w:val="24"/>
        </w:rPr>
        <w:t>nariadením</w:t>
      </w:r>
      <w:r w:rsidR="00593DF2" w:rsidRPr="00882087">
        <w:rPr>
          <w:rFonts w:ascii="Times New Roman" w:hAnsi="Times New Roman" w:cs="Times New Roman"/>
          <w:color w:val="000000" w:themeColor="text1"/>
          <w:sz w:val="24"/>
          <w:szCs w:val="24"/>
        </w:rPr>
        <w:t xml:space="preserve"> </w:t>
      </w:r>
      <w:r w:rsidRPr="00882087">
        <w:rPr>
          <w:rFonts w:ascii="Times New Roman" w:hAnsi="Times New Roman" w:cs="Times New Roman"/>
          <w:color w:val="000000" w:themeColor="text1"/>
          <w:sz w:val="24"/>
          <w:szCs w:val="24"/>
        </w:rPr>
        <w:t>Európskeho parlamentu a Rady (ES) č. 1606/2002 prijímajú určité medzinárodné účtovné štandardy (Ú. v. EÚ L 320, 29.11.2008) v platnom znení, gestor: MFSR,</w:t>
      </w:r>
    </w:p>
    <w:p w14:paraId="6B0F7218" w14:textId="2E44B240" w:rsidR="005D7CA5" w:rsidRPr="00882087" w:rsidRDefault="005D7CA5"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shd w:val="clear" w:color="auto" w:fill="FFFFFF"/>
        </w:rPr>
        <w:t>nariadenie Európskeho parlamentu a Rady (EÚ) č. </w:t>
      </w:r>
      <w:r w:rsidRPr="00882087">
        <w:rPr>
          <w:rFonts w:ascii="Times New Roman" w:hAnsi="Times New Roman" w:cs="Times New Roman"/>
          <w:sz w:val="24"/>
          <w:szCs w:val="24"/>
          <w:u w:val="single"/>
          <w:shd w:val="clear" w:color="auto" w:fill="FFFFFF"/>
        </w:rPr>
        <w:t>910/2014</w:t>
      </w:r>
      <w:r w:rsidRPr="00882087">
        <w:rPr>
          <w:rFonts w:ascii="Times New Roman" w:hAnsi="Times New Roman" w:cs="Times New Roman"/>
          <w:sz w:val="24"/>
          <w:szCs w:val="24"/>
          <w:shd w:val="clear" w:color="auto" w:fill="FFFFFF"/>
        </w:rPr>
        <w:t xml:space="preserve"> z  23. júla 2014 o elektronickej identifikácii a dôveryhodných službách pre elektronické transakcie na vnútornom trhu a o zrušení smernice 1999/93/ES (</w:t>
      </w:r>
      <w:r w:rsidRPr="00882087">
        <w:rPr>
          <w:rStyle w:val="Zvraznenie"/>
          <w:rFonts w:ascii="Times New Roman" w:hAnsi="Times New Roman" w:cs="Times New Roman"/>
          <w:i w:val="0"/>
          <w:sz w:val="24"/>
          <w:szCs w:val="24"/>
          <w:shd w:val="clear" w:color="auto" w:fill="FFFFFF"/>
        </w:rPr>
        <w:t xml:space="preserve">Ú. v. EÚ L 257, 28.8.2014), </w:t>
      </w:r>
      <w:r w:rsidR="00E03237" w:rsidRPr="00882087">
        <w:rPr>
          <w:rStyle w:val="Zvraznenie"/>
          <w:rFonts w:ascii="Times New Roman" w:hAnsi="Times New Roman" w:cs="Times New Roman"/>
          <w:i w:val="0"/>
          <w:sz w:val="24"/>
          <w:szCs w:val="24"/>
          <w:shd w:val="clear" w:color="auto" w:fill="FFFFFF"/>
        </w:rPr>
        <w:t xml:space="preserve">gestori: </w:t>
      </w:r>
      <w:r w:rsidRPr="00882087">
        <w:rPr>
          <w:rFonts w:ascii="Times New Roman" w:hAnsi="Times New Roman" w:cs="Times New Roman"/>
          <w:sz w:val="24"/>
          <w:szCs w:val="24"/>
        </w:rPr>
        <w:t>NBÚ, MF SR, MV SR</w:t>
      </w:r>
      <w:r w:rsidR="00E03237" w:rsidRPr="00882087">
        <w:rPr>
          <w:rFonts w:ascii="Times New Roman" w:hAnsi="Times New Roman" w:cs="Times New Roman"/>
          <w:sz w:val="24"/>
          <w:szCs w:val="24"/>
        </w:rPr>
        <w:t>,</w:t>
      </w:r>
    </w:p>
    <w:p w14:paraId="79BBA20C" w14:textId="1F7B6BC5" w:rsidR="00E03237" w:rsidRPr="00882087" w:rsidRDefault="00E03237" w:rsidP="004005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shd w:val="clear" w:color="auto" w:fill="FFFFFF"/>
        </w:rPr>
        <w:t>delegované nariadenie Komisie (</w:t>
      </w:r>
      <w:r w:rsidR="004A64C1" w:rsidRPr="00882087">
        <w:rPr>
          <w:rFonts w:ascii="Times New Roman" w:hAnsi="Times New Roman" w:cs="Times New Roman"/>
          <w:sz w:val="24"/>
          <w:szCs w:val="24"/>
          <w:shd w:val="clear" w:color="auto" w:fill="FFFFFF"/>
        </w:rPr>
        <w:t xml:space="preserve">EÚ) </w:t>
      </w:r>
      <w:r w:rsidR="004A64C1" w:rsidRPr="00882087">
        <w:rPr>
          <w:rFonts w:ascii="Times New Roman" w:hAnsi="Times New Roman" w:cs="Times New Roman"/>
          <w:sz w:val="24"/>
          <w:szCs w:val="24"/>
          <w:u w:val="single"/>
          <w:shd w:val="clear" w:color="auto" w:fill="FFFFFF"/>
        </w:rPr>
        <w:t>2015/61</w:t>
      </w:r>
      <w:r w:rsidR="004A64C1" w:rsidRPr="00882087">
        <w:rPr>
          <w:rFonts w:ascii="Times New Roman" w:hAnsi="Times New Roman" w:cs="Times New Roman"/>
          <w:sz w:val="24"/>
          <w:szCs w:val="24"/>
          <w:shd w:val="clear" w:color="auto" w:fill="FFFFFF"/>
        </w:rPr>
        <w:t xml:space="preserve"> z  10. októbra 2014</w:t>
      </w:r>
      <w:r w:rsidRPr="00882087">
        <w:rPr>
          <w:rFonts w:ascii="Times New Roman" w:hAnsi="Times New Roman" w:cs="Times New Roman"/>
          <w:sz w:val="24"/>
          <w:szCs w:val="24"/>
          <w:shd w:val="clear" w:color="auto" w:fill="FFFFFF"/>
        </w:rPr>
        <w:t>, ktorým sa dopĺňa nariadenie Európskeho parlamentu a Rady (EÚ) č. 575/2013, pokiaľ ide o požiadavku na krytie likvidity pre úverové inštitúcie (</w:t>
      </w:r>
      <w:r w:rsidRPr="00882087">
        <w:rPr>
          <w:rStyle w:val="Zvraznenie"/>
          <w:rFonts w:ascii="Times New Roman" w:hAnsi="Times New Roman" w:cs="Times New Roman"/>
          <w:i w:val="0"/>
          <w:sz w:val="24"/>
          <w:szCs w:val="24"/>
          <w:shd w:val="clear" w:color="auto" w:fill="FFFFFF"/>
        </w:rPr>
        <w:t xml:space="preserve">Ú. v. EÚ L 11, 17.1.2015), v platnom znení, </w:t>
      </w:r>
      <w:r w:rsidR="00A91E3D" w:rsidRPr="00882087">
        <w:rPr>
          <w:rFonts w:ascii="Times New Roman" w:hAnsi="Times New Roman" w:cs="Times New Roman"/>
          <w:sz w:val="24"/>
          <w:szCs w:val="24"/>
        </w:rPr>
        <w:t>gestori: MF SR, NBS,</w:t>
      </w:r>
    </w:p>
    <w:p w14:paraId="35FA79B1" w14:textId="77777777" w:rsidR="00CA4621" w:rsidRPr="00882087" w:rsidRDefault="00A91E3D" w:rsidP="00400597">
      <w:pPr>
        <w:pStyle w:val="Odsekzoznamu"/>
        <w:numPr>
          <w:ilvl w:val="0"/>
          <w:numId w:val="3"/>
        </w:numPr>
        <w:spacing w:after="0" w:line="240" w:lineRule="auto"/>
        <w:jc w:val="both"/>
        <w:rPr>
          <w:rFonts w:ascii="Times New Roman" w:hAnsi="Times New Roman" w:cs="Times New Roman"/>
          <w:sz w:val="24"/>
          <w:szCs w:val="24"/>
          <w:lang w:eastAsia="sk-SK"/>
        </w:rPr>
      </w:pPr>
      <w:r w:rsidRPr="00882087">
        <w:rPr>
          <w:rFonts w:ascii="Times New Roman" w:hAnsi="Times New Roman" w:cs="Times New Roman"/>
          <w:sz w:val="24"/>
          <w:szCs w:val="24"/>
          <w:shd w:val="clear" w:color="auto" w:fill="FFFFFF"/>
        </w:rPr>
        <w:t xml:space="preserve">smernica Európskeho parlamentu a Rady </w:t>
      </w:r>
      <w:r w:rsidRPr="00882087">
        <w:rPr>
          <w:rFonts w:ascii="Times New Roman" w:hAnsi="Times New Roman" w:cs="Times New Roman"/>
          <w:sz w:val="24"/>
          <w:szCs w:val="24"/>
          <w:u w:val="single"/>
          <w:shd w:val="clear" w:color="auto" w:fill="FFFFFF"/>
        </w:rPr>
        <w:t>2011/61/EÚ</w:t>
      </w:r>
      <w:r w:rsidRPr="00882087">
        <w:rPr>
          <w:rFonts w:ascii="Times New Roman" w:hAnsi="Times New Roman" w:cs="Times New Roman"/>
          <w:sz w:val="24"/>
          <w:szCs w:val="24"/>
          <w:shd w:val="clear" w:color="auto" w:fill="FFFFFF"/>
        </w:rPr>
        <w:t xml:space="preserve"> z  8. júna 2011 o správcoch alternatívnych investičných fondov a o zmene a doplnení smerníc 2003/41/ES a 2009/65/ES a nariadení (ES) č. 1060/2009 a (EÚ) č. 1095/2010</w:t>
      </w:r>
      <w:r w:rsidRPr="00882087">
        <w:rPr>
          <w:rFonts w:ascii="Times New Roman" w:hAnsi="Times New Roman" w:cs="Times New Roman"/>
          <w:color w:val="000000"/>
          <w:sz w:val="24"/>
          <w:szCs w:val="24"/>
          <w:lang w:eastAsia="sk-SK"/>
        </w:rPr>
        <w:t xml:space="preserve"> (</w:t>
      </w:r>
      <w:r w:rsidRPr="00882087">
        <w:rPr>
          <w:rStyle w:val="Zvraznenie"/>
          <w:rFonts w:ascii="Times New Roman" w:hAnsi="Times New Roman" w:cs="Times New Roman"/>
          <w:i w:val="0"/>
          <w:sz w:val="24"/>
          <w:szCs w:val="24"/>
          <w:shd w:val="clear" w:color="auto" w:fill="FFFFFF"/>
        </w:rPr>
        <w:t>Ú. v. EÚ L 174, 1.7.2011</w:t>
      </w:r>
      <w:r w:rsidRPr="00882087">
        <w:rPr>
          <w:rFonts w:ascii="Times New Roman" w:hAnsi="Times New Roman" w:cs="Times New Roman"/>
          <w:color w:val="000000"/>
          <w:sz w:val="24"/>
          <w:szCs w:val="24"/>
          <w:lang w:eastAsia="sk-SK"/>
        </w:rPr>
        <w:t xml:space="preserve">), </w:t>
      </w:r>
      <w:r w:rsidRPr="00882087">
        <w:rPr>
          <w:rFonts w:ascii="Times New Roman" w:hAnsi="Times New Roman" w:cs="Times New Roman"/>
          <w:sz w:val="24"/>
          <w:szCs w:val="24"/>
          <w:lang w:eastAsia="sk-SK"/>
        </w:rPr>
        <w:t xml:space="preserve">v platnom znení, </w:t>
      </w:r>
      <w:r w:rsidRPr="00882087">
        <w:rPr>
          <w:rFonts w:ascii="Times New Roman" w:hAnsi="Times New Roman" w:cs="Times New Roman"/>
          <w:color w:val="000000"/>
          <w:sz w:val="24"/>
          <w:szCs w:val="24"/>
          <w:lang w:eastAsia="sk-SK"/>
        </w:rPr>
        <w:t>gestor: MF SR, spolugestor: NBS, MPSVR SR</w:t>
      </w:r>
      <w:r w:rsidR="00CA4621" w:rsidRPr="00882087">
        <w:rPr>
          <w:rFonts w:ascii="Times New Roman" w:hAnsi="Times New Roman" w:cs="Times New Roman"/>
          <w:color w:val="000000"/>
          <w:sz w:val="24"/>
          <w:szCs w:val="24"/>
          <w:lang w:eastAsia="sk-SK"/>
        </w:rPr>
        <w:t>,</w:t>
      </w:r>
    </w:p>
    <w:p w14:paraId="72EA6CF6" w14:textId="37DDE441" w:rsidR="00830342" w:rsidRPr="00882087" w:rsidRDefault="00830342" w:rsidP="00400597">
      <w:pPr>
        <w:pStyle w:val="Odsekzoznamu"/>
        <w:numPr>
          <w:ilvl w:val="0"/>
          <w:numId w:val="3"/>
        </w:numPr>
        <w:spacing w:after="0" w:line="240" w:lineRule="auto"/>
        <w:jc w:val="both"/>
        <w:rPr>
          <w:rFonts w:ascii="Times New Roman" w:hAnsi="Times New Roman" w:cs="Times New Roman"/>
          <w:sz w:val="24"/>
          <w:szCs w:val="24"/>
          <w:lang w:eastAsia="sk-SK"/>
        </w:rPr>
      </w:pPr>
      <w:r w:rsidRPr="00882087">
        <w:rPr>
          <w:rFonts w:ascii="Times New Roman" w:hAnsi="Times New Roman" w:cs="Times New Roman"/>
          <w:color w:val="000000"/>
          <w:sz w:val="24"/>
          <w:szCs w:val="24"/>
          <w:lang w:eastAsia="sk-SK"/>
        </w:rPr>
        <w:t xml:space="preserve">nariadenie </w:t>
      </w:r>
      <w:r w:rsidR="00CA4621" w:rsidRPr="00882087">
        <w:rPr>
          <w:rFonts w:ascii="Times New Roman" w:hAnsi="Times New Roman" w:cs="Times New Roman"/>
          <w:color w:val="000000"/>
          <w:sz w:val="24"/>
          <w:szCs w:val="24"/>
          <w:lang w:eastAsia="sk-SK"/>
        </w:rPr>
        <w:t xml:space="preserve">Európskeho parlamentu a Rady (EÚ) </w:t>
      </w:r>
      <w:r w:rsidR="00CA4621" w:rsidRPr="00882087">
        <w:rPr>
          <w:rFonts w:ascii="Times New Roman" w:hAnsi="Times New Roman" w:cs="Times New Roman"/>
          <w:color w:val="000000"/>
          <w:sz w:val="24"/>
          <w:szCs w:val="24"/>
          <w:u w:val="single"/>
          <w:lang w:eastAsia="sk-SK"/>
        </w:rPr>
        <w:t>2020/1503</w:t>
      </w:r>
      <w:r w:rsidR="00CA4621" w:rsidRPr="00882087">
        <w:rPr>
          <w:rFonts w:ascii="Times New Roman" w:hAnsi="Times New Roman" w:cs="Times New Roman"/>
          <w:color w:val="000000"/>
          <w:sz w:val="24"/>
          <w:szCs w:val="24"/>
          <w:lang w:eastAsia="sk-SK"/>
        </w:rPr>
        <w:t xml:space="preserve"> zo 7. októbra 2020 o európskych poskytovateľoch služieb hromadného financovania pre podnikanie a o zmene nariadenia (EÚ) 2017/1129 a smernice (EÚ) 2019/1937 (Ú. v. EÚ L 347, 20.10.2020), gestor: MF SR, ÚV SR</w:t>
      </w:r>
      <w:r w:rsidRPr="00882087">
        <w:rPr>
          <w:rFonts w:ascii="Times New Roman" w:hAnsi="Times New Roman" w:cs="Times New Roman"/>
          <w:color w:val="000000"/>
          <w:sz w:val="24"/>
          <w:szCs w:val="24"/>
          <w:lang w:eastAsia="sk-SK"/>
        </w:rPr>
        <w:t>,</w:t>
      </w:r>
    </w:p>
    <w:p w14:paraId="69CF1062" w14:textId="77777777" w:rsidR="00DA1539" w:rsidRPr="00882087" w:rsidRDefault="00DA1539" w:rsidP="00400597">
      <w:pPr>
        <w:pStyle w:val="Odsekzoznamu"/>
        <w:numPr>
          <w:ilvl w:val="0"/>
          <w:numId w:val="3"/>
        </w:numPr>
        <w:spacing w:after="0" w:line="240" w:lineRule="auto"/>
        <w:jc w:val="both"/>
        <w:rPr>
          <w:rFonts w:ascii="Times New Roman" w:hAnsi="Times New Roman" w:cs="Times New Roman"/>
          <w:i/>
          <w:shd w:val="clear" w:color="auto" w:fill="FFFFFF"/>
        </w:rPr>
      </w:pPr>
      <w:r w:rsidRPr="00882087">
        <w:rPr>
          <w:rFonts w:ascii="Times New Roman" w:hAnsi="Times New Roman" w:cs="Times New Roman"/>
          <w:sz w:val="24"/>
          <w:szCs w:val="24"/>
          <w:shd w:val="clear" w:color="auto" w:fill="FFFFFF"/>
        </w:rPr>
        <w:t>nariadenie Európskeho parlamentu a Rady (EÚ) 2017/1129 zo 14. júna 2017 o prospekte, ktorý sa má uverejniť pri verejnej ponuke cenných papierov alebo ich prijatí na obchodovanie na regulovanom trhu, a o zrušení smernice 2003/71/ES (</w:t>
      </w:r>
      <w:r w:rsidRPr="00882087">
        <w:rPr>
          <w:rFonts w:ascii="Times New Roman" w:hAnsi="Times New Roman" w:cs="Times New Roman"/>
          <w:iCs/>
        </w:rPr>
        <w:t xml:space="preserve">Ú. v. EÚ L 168, 30.6.2017) v platnom znení, gestor: MF SR, NBS, </w:t>
      </w:r>
    </w:p>
    <w:p w14:paraId="3FDE500B" w14:textId="22668B33" w:rsidR="00A91E3D" w:rsidRPr="00882087" w:rsidRDefault="00DA1539" w:rsidP="00A91E3D">
      <w:pPr>
        <w:pStyle w:val="Odsekzoznamu"/>
        <w:numPr>
          <w:ilvl w:val="0"/>
          <w:numId w:val="3"/>
        </w:numPr>
        <w:spacing w:after="0" w:line="240" w:lineRule="auto"/>
        <w:jc w:val="both"/>
        <w:rPr>
          <w:rStyle w:val="Zvraznenie"/>
          <w:rFonts w:ascii="Times New Roman" w:hAnsi="Times New Roman" w:cs="Times New Roman"/>
          <w:i w:val="0"/>
          <w:iCs w:val="0"/>
          <w:sz w:val="24"/>
          <w:szCs w:val="24"/>
          <w:shd w:val="clear" w:color="auto" w:fill="FFFFFF"/>
        </w:rPr>
      </w:pPr>
      <w:r w:rsidRPr="00882087">
        <w:rPr>
          <w:rFonts w:ascii="Times New Roman" w:hAnsi="Times New Roman" w:cs="Times New Roman"/>
          <w:sz w:val="24"/>
          <w:szCs w:val="24"/>
          <w:shd w:val="clear" w:color="auto" w:fill="FFFFFF"/>
        </w:rPr>
        <w:t xml:space="preserve">usmernenie Európskej centrálnej banky (EÚ) 2015/510 z  19. decembra 2014 o vykonávaní rámca menovej politiky Eurosystému (ECB/2014/60) (Ú. v. EÚ L </w:t>
      </w:r>
      <w:r w:rsidRPr="00882087">
        <w:rPr>
          <w:rFonts w:ascii="Times New Roman" w:hAnsi="Times New Roman" w:cs="Times New Roman"/>
          <w:iCs/>
        </w:rPr>
        <w:t>91, 2.4.2015</w:t>
      </w:r>
      <w:r w:rsidRPr="00882087">
        <w:rPr>
          <w:rFonts w:ascii="Times New Roman" w:hAnsi="Times New Roman" w:cs="Times New Roman"/>
          <w:sz w:val="24"/>
          <w:szCs w:val="24"/>
          <w:shd w:val="clear" w:color="auto" w:fill="FFFFFF"/>
        </w:rPr>
        <w:t>) v platnom znení, gestor: NBS.</w:t>
      </w:r>
    </w:p>
    <w:p w14:paraId="4B494055" w14:textId="77777777" w:rsidR="009C04AA" w:rsidRPr="00882087" w:rsidRDefault="009C04AA" w:rsidP="001A45EA">
      <w:pPr>
        <w:spacing w:after="0" w:line="240" w:lineRule="auto"/>
        <w:rPr>
          <w:rFonts w:ascii="Times New Roman" w:eastAsia="Times New Roman" w:hAnsi="Times New Roman" w:cs="Times New Roman"/>
          <w:sz w:val="24"/>
          <w:szCs w:val="24"/>
          <w:lang w:eastAsia="sk-SK"/>
        </w:rPr>
      </w:pPr>
    </w:p>
    <w:p w14:paraId="5435E58E" w14:textId="77777777" w:rsidR="008545C6" w:rsidRPr="00882087" w:rsidRDefault="008545C6" w:rsidP="008545C6">
      <w:pPr>
        <w:pStyle w:val="Odsekzoznamu"/>
        <w:numPr>
          <w:ilvl w:val="0"/>
          <w:numId w:val="2"/>
        </w:numPr>
        <w:spacing w:after="0" w:line="240" w:lineRule="auto"/>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v judikatúre Súdneho dvora Európskej únie</w:t>
      </w:r>
    </w:p>
    <w:p w14:paraId="3F35AB79" w14:textId="77777777" w:rsidR="00206CE6" w:rsidRPr="00882087" w:rsidRDefault="00206CE6" w:rsidP="00206CE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rozsudok</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Súdneho</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dvora</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vo</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veci</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C-452/04,</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Fidium</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Finanz</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AG</w:t>
      </w:r>
      <w:r w:rsidRPr="00882087">
        <w:rPr>
          <w:rFonts w:ascii="Times New Roman" w:eastAsia="Times New Roman" w:hAnsi="Times New Roman" w:cs="Times New Roman"/>
          <w:spacing w:val="15"/>
          <w:sz w:val="24"/>
          <w:szCs w:val="24"/>
          <w:lang w:eastAsia="sk-SK"/>
        </w:rPr>
        <w:t xml:space="preserve"> </w:t>
      </w:r>
      <w:r w:rsidRPr="00882087">
        <w:rPr>
          <w:rFonts w:ascii="Times New Roman" w:eastAsia="Times New Roman" w:hAnsi="Times New Roman" w:cs="Times New Roman"/>
          <w:sz w:val="24"/>
          <w:szCs w:val="24"/>
          <w:lang w:eastAsia="sk-SK"/>
        </w:rPr>
        <w:t>proti Bundesanstalt für Finanzdienstleistungsaufsicht, [2006],</w:t>
      </w:r>
    </w:p>
    <w:p w14:paraId="09002211" w14:textId="77777777" w:rsidR="00206CE6" w:rsidRPr="00882087" w:rsidRDefault="00206CE6" w:rsidP="00206CE6">
      <w:pPr>
        <w:pStyle w:val="Odsekzoznamu"/>
        <w:spacing w:after="0" w:line="240" w:lineRule="auto"/>
        <w:ind w:left="1068"/>
        <w:jc w:val="both"/>
        <w:rPr>
          <w:rFonts w:ascii="Times New Roman" w:eastAsia="Times New Roman" w:hAnsi="Times New Roman" w:cs="Times New Roman"/>
          <w:sz w:val="24"/>
          <w:szCs w:val="24"/>
          <w:lang w:eastAsia="sk-SK"/>
        </w:rPr>
      </w:pPr>
    </w:p>
    <w:p w14:paraId="6527A93C" w14:textId="77777777" w:rsidR="00206CE6" w:rsidRPr="00882087" w:rsidRDefault="00206CE6" w:rsidP="000F37F8">
      <w:pPr>
        <w:keepNext/>
        <w:spacing w:after="0" w:line="240" w:lineRule="auto"/>
        <w:ind w:left="1134"/>
        <w:jc w:val="both"/>
        <w:rPr>
          <w:rFonts w:ascii="Times New Roman" w:eastAsia="Times New Roman" w:hAnsi="Times New Roman" w:cs="Times New Roman"/>
          <w:b/>
          <w:sz w:val="24"/>
          <w:szCs w:val="24"/>
          <w:lang w:eastAsia="sk-SK"/>
        </w:rPr>
      </w:pPr>
      <w:r w:rsidRPr="00882087">
        <w:rPr>
          <w:rFonts w:ascii="Times New Roman" w:eastAsia="Times New Roman" w:hAnsi="Times New Roman" w:cs="Times New Roman"/>
          <w:b/>
          <w:sz w:val="24"/>
          <w:szCs w:val="24"/>
          <w:lang w:eastAsia="sk-SK"/>
        </w:rPr>
        <w:t xml:space="preserve">Výrok rozhodnutia: </w:t>
      </w:r>
    </w:p>
    <w:p w14:paraId="3D945271" w14:textId="61F9A8DE" w:rsidR="00206CE6" w:rsidRPr="00882087" w:rsidRDefault="00206CE6" w:rsidP="00206CE6">
      <w:pPr>
        <w:spacing w:after="0" w:line="240" w:lineRule="auto"/>
        <w:ind w:left="1134"/>
        <w:jc w:val="both"/>
        <w:rPr>
          <w:rFonts w:ascii="Times New Roman" w:hAnsi="Times New Roman" w:cs="Times New Roman"/>
          <w:sz w:val="24"/>
          <w:szCs w:val="24"/>
        </w:rPr>
      </w:pPr>
      <w:r w:rsidRPr="00882087">
        <w:rPr>
          <w:rFonts w:ascii="Times New Roman" w:hAnsi="Times New Roman" w:cs="Times New Roman"/>
          <w:sz w:val="24"/>
          <w:szCs w:val="24"/>
        </w:rPr>
        <w:t>Vnútroštátna právna úprava, podľa ktorej členský štát na výkon činnosti poskytovania úverov v rámci podnikateľskej činnosti na jeho území spoločnosťou usadenou v treťom štáte vyžaduje predchádzajúce povolenie a podľa ktorej sa takéto povolenie musí zamietnuť najmä vtedy, ak uvedená spoločnosť nemá svoje ústredie alebo pobočku na tomto území, zasahuje prevažne do výkonu slobodného poskytovania</w:t>
      </w:r>
      <w:r w:rsidR="00DC733D" w:rsidRPr="00882087">
        <w:rPr>
          <w:rFonts w:ascii="Times New Roman" w:hAnsi="Times New Roman" w:cs="Times New Roman"/>
          <w:sz w:val="24"/>
          <w:szCs w:val="24"/>
        </w:rPr>
        <w:t xml:space="preserve"> služieb v zmysle článku 49 a na</w:t>
      </w:r>
      <w:r w:rsidRPr="00882087">
        <w:rPr>
          <w:rFonts w:ascii="Times New Roman" w:hAnsi="Times New Roman" w:cs="Times New Roman"/>
          <w:sz w:val="24"/>
          <w:szCs w:val="24"/>
        </w:rPr>
        <w:t>sl. ES. Spoločnosť usadená v treťom štáte sa nemôže odvolávať na tieto ustanovenia.  </w:t>
      </w:r>
    </w:p>
    <w:p w14:paraId="52A8E443" w14:textId="77777777" w:rsidR="0096548B" w:rsidRPr="00882087" w:rsidRDefault="0096548B" w:rsidP="00206CE6">
      <w:pPr>
        <w:spacing w:after="0" w:line="240" w:lineRule="auto"/>
        <w:ind w:left="1134"/>
        <w:jc w:val="both"/>
        <w:rPr>
          <w:rFonts w:ascii="Times New Roman" w:hAnsi="Times New Roman" w:cs="Times New Roman"/>
          <w:sz w:val="24"/>
          <w:szCs w:val="24"/>
        </w:rPr>
      </w:pPr>
    </w:p>
    <w:p w14:paraId="7E2B8540" w14:textId="77777777" w:rsidR="00206CE6" w:rsidRPr="00882087" w:rsidRDefault="00206CE6" w:rsidP="00206CE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rozsudok</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Súdneho</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dvora</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vo</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veci</w:t>
      </w:r>
      <w:r w:rsidRPr="00882087">
        <w:rPr>
          <w:rFonts w:ascii="Times New Roman" w:eastAsia="Times New Roman" w:hAnsi="Times New Roman" w:cs="Times New Roman"/>
          <w:spacing w:val="7"/>
          <w:sz w:val="24"/>
          <w:szCs w:val="24"/>
          <w:lang w:eastAsia="sk-SK"/>
        </w:rPr>
        <w:t xml:space="preserve"> </w:t>
      </w:r>
      <w:r w:rsidRPr="00882087">
        <w:rPr>
          <w:rFonts w:ascii="Times New Roman" w:hAnsi="Times New Roman" w:cs="Times New Roman"/>
          <w:sz w:val="24"/>
          <w:szCs w:val="24"/>
        </w:rPr>
        <w:t>C</w:t>
      </w:r>
      <w:r w:rsidRPr="00882087">
        <w:rPr>
          <w:rFonts w:ascii="Times New Roman" w:hAnsi="Times New Roman" w:cs="Times New Roman"/>
          <w:sz w:val="24"/>
          <w:szCs w:val="24"/>
        </w:rPr>
        <w:noBreakHyphen/>
        <w:t>52/17</w:t>
      </w:r>
      <w:r w:rsidRPr="00882087">
        <w:rPr>
          <w:rFonts w:ascii="Times New Roman" w:eastAsia="Times New Roman" w:hAnsi="Times New Roman" w:cs="Times New Roman"/>
          <w:sz w:val="24"/>
          <w:szCs w:val="24"/>
          <w:lang w:eastAsia="sk-SK"/>
        </w:rPr>
        <w:t>,</w:t>
      </w:r>
      <w:r w:rsidRPr="00882087">
        <w:rPr>
          <w:rFonts w:ascii="Times New Roman" w:eastAsia="Times New Roman" w:hAnsi="Times New Roman" w:cs="Times New Roman"/>
          <w:spacing w:val="7"/>
          <w:sz w:val="24"/>
          <w:szCs w:val="24"/>
          <w:lang w:eastAsia="sk-SK"/>
        </w:rPr>
        <w:t xml:space="preserve"> </w:t>
      </w:r>
      <w:r w:rsidRPr="00882087">
        <w:rPr>
          <w:rFonts w:ascii="Times New Roman" w:hAnsi="Times New Roman" w:cs="Times New Roman"/>
          <w:bCs/>
          <w:sz w:val="24"/>
          <w:szCs w:val="24"/>
        </w:rPr>
        <w:t xml:space="preserve">VTB Bank (Austria) AG </w:t>
      </w:r>
      <w:r w:rsidRPr="00882087">
        <w:rPr>
          <w:rFonts w:ascii="Times New Roman" w:eastAsia="Times New Roman" w:hAnsi="Times New Roman" w:cs="Times New Roman"/>
          <w:sz w:val="24"/>
          <w:szCs w:val="24"/>
          <w:lang w:eastAsia="sk-SK"/>
        </w:rPr>
        <w:t>proti</w:t>
      </w:r>
      <w:r w:rsidRPr="00882087">
        <w:rPr>
          <w:rFonts w:ascii="Times New Roman" w:eastAsia="Times New Roman" w:hAnsi="Times New Roman" w:cs="Times New Roman"/>
          <w:spacing w:val="7"/>
          <w:sz w:val="24"/>
          <w:szCs w:val="24"/>
          <w:lang w:eastAsia="sk-SK"/>
        </w:rPr>
        <w:t xml:space="preserve"> </w:t>
      </w:r>
      <w:r w:rsidRPr="00882087">
        <w:rPr>
          <w:rFonts w:ascii="Times New Roman" w:hAnsi="Times New Roman" w:cs="Times New Roman"/>
          <w:bCs/>
          <w:sz w:val="24"/>
          <w:szCs w:val="24"/>
        </w:rPr>
        <w:t>Finanzmarktaufsichtsbehörd</w:t>
      </w:r>
      <w:r w:rsidRPr="00882087">
        <w:rPr>
          <w:rFonts w:ascii="Times New Roman" w:eastAsia="Times New Roman" w:hAnsi="Times New Roman" w:cs="Times New Roman"/>
          <w:sz w:val="24"/>
          <w:szCs w:val="24"/>
          <w:lang w:eastAsia="sk-SK"/>
        </w:rPr>
        <w:t>e, [2018].</w:t>
      </w:r>
    </w:p>
    <w:p w14:paraId="66A3DE09" w14:textId="77777777" w:rsidR="00206CE6" w:rsidRPr="00882087" w:rsidRDefault="00206CE6" w:rsidP="00206CE6">
      <w:pPr>
        <w:spacing w:after="0" w:line="240" w:lineRule="auto"/>
        <w:ind w:left="708"/>
        <w:jc w:val="both"/>
        <w:rPr>
          <w:rFonts w:ascii="Times New Roman" w:eastAsia="Times New Roman" w:hAnsi="Times New Roman" w:cs="Times New Roman"/>
          <w:b/>
          <w:sz w:val="24"/>
          <w:szCs w:val="24"/>
          <w:lang w:eastAsia="sk-SK"/>
        </w:rPr>
      </w:pPr>
    </w:p>
    <w:p w14:paraId="3789EDCA" w14:textId="77777777" w:rsidR="00206CE6" w:rsidRPr="00882087" w:rsidRDefault="00206CE6" w:rsidP="00206CE6">
      <w:pPr>
        <w:spacing w:after="0" w:line="240" w:lineRule="auto"/>
        <w:ind w:left="1134"/>
        <w:jc w:val="both"/>
        <w:rPr>
          <w:rFonts w:ascii="Times New Roman" w:eastAsia="Times New Roman" w:hAnsi="Times New Roman" w:cs="Times New Roman"/>
          <w:b/>
          <w:sz w:val="24"/>
          <w:szCs w:val="24"/>
          <w:lang w:eastAsia="sk-SK"/>
        </w:rPr>
      </w:pPr>
      <w:r w:rsidRPr="00882087">
        <w:rPr>
          <w:rFonts w:ascii="Times New Roman" w:eastAsia="Times New Roman" w:hAnsi="Times New Roman" w:cs="Times New Roman"/>
          <w:b/>
          <w:sz w:val="24"/>
          <w:szCs w:val="24"/>
          <w:lang w:eastAsia="sk-SK"/>
        </w:rPr>
        <w:t xml:space="preserve">Výrok rozhodnutia: </w:t>
      </w:r>
    </w:p>
    <w:p w14:paraId="41743526" w14:textId="77777777" w:rsidR="00206CE6" w:rsidRPr="00882087" w:rsidRDefault="00206CE6" w:rsidP="00206CE6">
      <w:pPr>
        <w:pStyle w:val="gmail-c08dispositif"/>
        <w:spacing w:before="0" w:beforeAutospacing="0" w:after="0" w:afterAutospacing="0"/>
        <w:ind w:left="1134"/>
        <w:jc w:val="both"/>
        <w:rPr>
          <w:bCs/>
        </w:rPr>
      </w:pPr>
      <w:r w:rsidRPr="00882087">
        <w:rPr>
          <w:bCs/>
        </w:rPr>
        <w:t>1. Článok 64 a článok 65 ods. 1 smernice Európskeho parlamentu a Rady </w:t>
      </w:r>
      <w:bookmarkStart w:id="1" w:name="ctx23"/>
      <w:r w:rsidRPr="00882087">
        <w:rPr>
          <w:bCs/>
        </w:rPr>
        <w:t>2013/36</w:t>
      </w:r>
      <w:bookmarkEnd w:id="1"/>
      <w:r w:rsidRPr="00882087">
        <w:rPr>
          <w:bCs/>
        </w:rPr>
        <w:t>/EÚ z 26. júna 2013 o prístupe k činnosti úverových inštitúcií a prudenciálnom dohľade nad úverovými inštitúciami a investičnými spoločnosťami, o zmene smernice 2002/87/ES a o zrušení smerníc 2006/48/ES a 2006/49/ES, ako aj článok 395 ods. 1 a 5 nariadenia Európskeho parlamentu a Rady (EÚ) č. 575/2013 z 26. júna 2013 o prudenciálnych požiadavkách na úverové inštitúcie a investičné spoločnosti a o zmene nariadenia (EÚ) č. 648/2012, sa majú vykladať v tom zmysle, že bránia vnútroštátnej právnej úprave, podľa ktorej sa v prípade prekročenia limitov expozície stanovených v článku 395 ods. 1 nariadenia č. 575/2013 úverovej inštitúcii automaticky ukladajú zrážkové úroky, hoci táto inštitúcia spĺňa podmienky stanovené v článku 395 ods. 5 tohto nariadenia, ktoré jej umožňujú prekročiť uvedené limity.</w:t>
      </w:r>
    </w:p>
    <w:p w14:paraId="69453473" w14:textId="77777777" w:rsidR="00E1604E" w:rsidRPr="00882087" w:rsidRDefault="00E1604E" w:rsidP="00206CE6">
      <w:pPr>
        <w:pStyle w:val="gmail-c08dispositif"/>
        <w:spacing w:before="0" w:beforeAutospacing="0" w:after="0" w:afterAutospacing="0"/>
        <w:ind w:left="1134"/>
        <w:jc w:val="both"/>
        <w:rPr>
          <w:bCs/>
        </w:rPr>
      </w:pPr>
    </w:p>
    <w:p w14:paraId="2227D9AF" w14:textId="77777777" w:rsidR="00206CE6" w:rsidRPr="00882087" w:rsidRDefault="00206CE6" w:rsidP="00206CE6">
      <w:pPr>
        <w:pStyle w:val="gmail-c02alineaalta"/>
        <w:spacing w:before="0" w:beforeAutospacing="0" w:after="0" w:afterAutospacing="0"/>
        <w:ind w:left="1134"/>
        <w:jc w:val="both"/>
        <w:rPr>
          <w:bCs/>
        </w:rPr>
      </w:pPr>
      <w:r w:rsidRPr="00882087">
        <w:rPr>
          <w:bCs/>
        </w:rPr>
        <w:t>2. Článok 48 ods. 3 nariadenia Európskej centrálnej banky (EÚ) č. 468/2014 zo 16. apríla 2014 o rámci pre spoluprácu v rámci jednotného mechanizmu dohľadu medzi Európskou centrálnou bankou, príslušnými vnútroštátnymi orgánmi a určenými vnútroštátnymi orgánmi (nariadenie o rámci JMD) sa má vykladať v tom zmysle, že v zmysle tohto ustanovenia nemožno postup vo veci dohľadu považovať za formálne začatý, ani keď úverová inštitúcia oznámi vnútroštátnemu orgánu dohľadu prekročenie limitov stanovených v článku 395 ods. 1 nariadenia č. 575/2013, ani keď tento orgán už prijal rozhodnutie v paralelnom konaní týkajúcom sa podobných porušení.</w:t>
      </w:r>
    </w:p>
    <w:p w14:paraId="3449BB2D" w14:textId="77777777" w:rsidR="0096548B" w:rsidRPr="00882087" w:rsidRDefault="0096548B" w:rsidP="00206CE6">
      <w:pPr>
        <w:pStyle w:val="gmail-c02alineaalta"/>
        <w:spacing w:before="0" w:beforeAutospacing="0" w:after="0" w:afterAutospacing="0"/>
        <w:ind w:left="1134"/>
        <w:jc w:val="both"/>
      </w:pPr>
    </w:p>
    <w:p w14:paraId="6DD6D11C" w14:textId="77777777" w:rsidR="00206CE6" w:rsidRPr="00882087" w:rsidRDefault="00206CE6" w:rsidP="00206CE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rozsudok</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Súdneho</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dvora</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vo</w:t>
      </w:r>
      <w:r w:rsidRPr="00882087">
        <w:rPr>
          <w:rFonts w:ascii="Times New Roman" w:eastAsia="Times New Roman" w:hAnsi="Times New Roman" w:cs="Times New Roman"/>
          <w:spacing w:val="7"/>
          <w:sz w:val="24"/>
          <w:szCs w:val="24"/>
          <w:lang w:eastAsia="sk-SK"/>
        </w:rPr>
        <w:t xml:space="preserve"> </w:t>
      </w:r>
      <w:r w:rsidRPr="00882087">
        <w:rPr>
          <w:rFonts w:ascii="Times New Roman" w:eastAsia="Times New Roman" w:hAnsi="Times New Roman" w:cs="Times New Roman"/>
          <w:sz w:val="24"/>
          <w:szCs w:val="24"/>
          <w:lang w:eastAsia="sk-SK"/>
        </w:rPr>
        <w:t>veci</w:t>
      </w:r>
      <w:r w:rsidRPr="00882087">
        <w:rPr>
          <w:rFonts w:ascii="Times New Roman" w:eastAsia="Times New Roman" w:hAnsi="Times New Roman" w:cs="Times New Roman"/>
          <w:spacing w:val="7"/>
          <w:sz w:val="24"/>
          <w:szCs w:val="24"/>
          <w:lang w:eastAsia="sk-SK"/>
        </w:rPr>
        <w:t xml:space="preserve"> </w:t>
      </w:r>
      <w:r w:rsidRPr="00882087">
        <w:rPr>
          <w:rFonts w:ascii="Times New Roman" w:hAnsi="Times New Roman" w:cs="Times New Roman"/>
          <w:sz w:val="24"/>
          <w:szCs w:val="24"/>
        </w:rPr>
        <w:t>C</w:t>
      </w:r>
      <w:r w:rsidRPr="00882087">
        <w:rPr>
          <w:rFonts w:ascii="Times New Roman" w:hAnsi="Times New Roman" w:cs="Times New Roman"/>
          <w:sz w:val="24"/>
          <w:szCs w:val="24"/>
        </w:rPr>
        <w:noBreakHyphen/>
        <w:t>594/16</w:t>
      </w:r>
      <w:r w:rsidRPr="00882087">
        <w:rPr>
          <w:rFonts w:ascii="Times New Roman" w:eastAsia="Times New Roman" w:hAnsi="Times New Roman" w:cs="Times New Roman"/>
          <w:sz w:val="24"/>
          <w:szCs w:val="24"/>
          <w:lang w:eastAsia="sk-SK"/>
        </w:rPr>
        <w:t>,</w:t>
      </w:r>
      <w:r w:rsidRPr="00882087">
        <w:rPr>
          <w:rFonts w:ascii="Times New Roman" w:eastAsia="Times New Roman" w:hAnsi="Times New Roman" w:cs="Times New Roman"/>
          <w:spacing w:val="7"/>
          <w:sz w:val="24"/>
          <w:szCs w:val="24"/>
          <w:lang w:eastAsia="sk-SK"/>
        </w:rPr>
        <w:t xml:space="preserve"> </w:t>
      </w:r>
      <w:r w:rsidRPr="00882087">
        <w:rPr>
          <w:rFonts w:ascii="Times New Roman" w:hAnsi="Times New Roman" w:cs="Times New Roman"/>
          <w:bCs/>
          <w:sz w:val="24"/>
          <w:szCs w:val="24"/>
        </w:rPr>
        <w:t xml:space="preserve">Enzo Buccioni </w:t>
      </w:r>
      <w:r w:rsidRPr="00882087">
        <w:rPr>
          <w:rFonts w:ascii="Times New Roman" w:eastAsia="Times New Roman" w:hAnsi="Times New Roman" w:cs="Times New Roman"/>
          <w:sz w:val="24"/>
          <w:szCs w:val="24"/>
          <w:lang w:eastAsia="sk-SK"/>
        </w:rPr>
        <w:t>proti</w:t>
      </w:r>
      <w:r w:rsidRPr="00882087">
        <w:rPr>
          <w:rFonts w:ascii="Times New Roman" w:eastAsia="Times New Roman" w:hAnsi="Times New Roman" w:cs="Times New Roman"/>
          <w:spacing w:val="7"/>
          <w:sz w:val="24"/>
          <w:szCs w:val="24"/>
          <w:lang w:eastAsia="sk-SK"/>
        </w:rPr>
        <w:t xml:space="preserve"> </w:t>
      </w:r>
      <w:r w:rsidRPr="00882087">
        <w:rPr>
          <w:rFonts w:ascii="Times New Roman" w:hAnsi="Times New Roman" w:cs="Times New Roman"/>
          <w:bCs/>
          <w:sz w:val="24"/>
          <w:szCs w:val="24"/>
        </w:rPr>
        <w:t>Banca d’Italia za účasti Banca Network Investimenti SpA</w:t>
      </w:r>
      <w:r w:rsidRPr="00882087">
        <w:rPr>
          <w:rFonts w:ascii="Times New Roman" w:eastAsia="Times New Roman" w:hAnsi="Times New Roman" w:cs="Times New Roman"/>
          <w:sz w:val="24"/>
          <w:szCs w:val="24"/>
          <w:lang w:eastAsia="sk-SK"/>
        </w:rPr>
        <w:t>, [2018].</w:t>
      </w:r>
    </w:p>
    <w:p w14:paraId="65210466" w14:textId="77777777" w:rsidR="00206CE6" w:rsidRPr="00882087" w:rsidRDefault="00206CE6" w:rsidP="00206CE6">
      <w:pPr>
        <w:spacing w:after="0" w:line="240" w:lineRule="auto"/>
        <w:jc w:val="both"/>
        <w:rPr>
          <w:rFonts w:ascii="Times New Roman" w:eastAsia="Times New Roman" w:hAnsi="Times New Roman" w:cs="Times New Roman"/>
          <w:sz w:val="24"/>
          <w:szCs w:val="24"/>
          <w:lang w:eastAsia="sk-SK"/>
        </w:rPr>
      </w:pPr>
    </w:p>
    <w:p w14:paraId="3EB2A62E" w14:textId="77777777" w:rsidR="00206CE6" w:rsidRPr="00882087" w:rsidRDefault="00206CE6" w:rsidP="00206CE6">
      <w:pPr>
        <w:spacing w:after="0" w:line="240" w:lineRule="auto"/>
        <w:ind w:left="1134"/>
        <w:jc w:val="both"/>
        <w:rPr>
          <w:rFonts w:ascii="Times New Roman" w:eastAsia="Times New Roman" w:hAnsi="Times New Roman" w:cs="Times New Roman"/>
          <w:b/>
          <w:sz w:val="24"/>
          <w:szCs w:val="24"/>
          <w:lang w:eastAsia="sk-SK"/>
        </w:rPr>
      </w:pPr>
      <w:r w:rsidRPr="00882087">
        <w:rPr>
          <w:rFonts w:ascii="Times New Roman" w:eastAsia="Times New Roman" w:hAnsi="Times New Roman" w:cs="Times New Roman"/>
          <w:b/>
          <w:sz w:val="24"/>
          <w:szCs w:val="24"/>
          <w:lang w:eastAsia="sk-SK"/>
        </w:rPr>
        <w:t xml:space="preserve">Výrok rozhodnutia: </w:t>
      </w:r>
    </w:p>
    <w:p w14:paraId="669E067B" w14:textId="77777777" w:rsidR="00206CE6" w:rsidRPr="00882087" w:rsidRDefault="00206CE6" w:rsidP="00206CE6">
      <w:pPr>
        <w:spacing w:after="0" w:line="240" w:lineRule="auto"/>
        <w:ind w:left="1134"/>
        <w:jc w:val="both"/>
        <w:rPr>
          <w:rFonts w:ascii="Times New Roman" w:hAnsi="Times New Roman" w:cs="Times New Roman"/>
          <w:sz w:val="24"/>
          <w:szCs w:val="24"/>
        </w:rPr>
      </w:pPr>
      <w:r w:rsidRPr="00882087">
        <w:rPr>
          <w:rFonts w:ascii="Times New Roman" w:hAnsi="Times New Roman" w:cs="Times New Roman"/>
          <w:bCs/>
          <w:sz w:val="24"/>
          <w:szCs w:val="24"/>
        </w:rPr>
        <w:t>Článok 53 ods. 1 smernice Európskeho parlamentu a Rady </w:t>
      </w:r>
      <w:bookmarkStart w:id="2" w:name="ctx21"/>
      <w:r w:rsidRPr="00882087">
        <w:rPr>
          <w:rFonts w:ascii="Times New Roman" w:hAnsi="Times New Roman" w:cs="Times New Roman"/>
          <w:bCs/>
          <w:sz w:val="24"/>
          <w:szCs w:val="24"/>
        </w:rPr>
        <w:t>2013/36</w:t>
      </w:r>
      <w:bookmarkEnd w:id="2"/>
      <w:r w:rsidRPr="00882087">
        <w:rPr>
          <w:rFonts w:ascii="Times New Roman" w:hAnsi="Times New Roman" w:cs="Times New Roman"/>
          <w:bCs/>
          <w:sz w:val="24"/>
          <w:szCs w:val="24"/>
        </w:rPr>
        <w:t>/EÚ z 26. júna 2013 o prístupe k činnosti úverových inštitúcií a prudenciálnom dohľade nad úverovými inštitúciami a investičnými spoločnosťami, o zmene smernice 2002/87/ES a o zrušení smerníc 2006/48/ES a 2006/49/ES, sa má vykladať v tom zmysle, že nebráni tomu, aby príslušné orgány členských štátov sprístupnili dôverné informácie osobe, ktorá o ne požiada, na účely začatia občianskoprávneho alebo obchodného súdneho konania zameraného na ochranu majetkových záujmov, ktoré mali byť poškodené v dôsledku začatia nútenej likvidácie úverovej inštitúcie. Žiadosť o sprístupnenie informácií sa však musí vzťahovať na informácie, v súvislosti s ktorými žiadateľ predložil presné a súhlasné indície nasvedčujúce tomu, že uvedené informácie sa ukazujú ako relevantné na účely občianskoprávneho alebo obchodného súdneho konania, ktorého predmet musí byť žiadateľom presne identifikovaný, pričom predmetné informácie sa nesmú použiť mimo takého konania. Príslušným orgánom a súdom prináleží, aby pred sprístupnením každej z požadovaných dôverných informácií zaručili rovnováhu medzi záujmom žiadateľa na disponovanie dotknutými informáciami a záujmami súvisiacimi so zachovaním dôvernosti informácií, na ktoré sa vzťahuje povinnosť zachovávať služobné tajomstvo.</w:t>
      </w:r>
      <w:r w:rsidRPr="00882087">
        <w:rPr>
          <w:rFonts w:ascii="Times New Roman" w:hAnsi="Times New Roman" w:cs="Times New Roman"/>
          <w:sz w:val="24"/>
          <w:szCs w:val="24"/>
        </w:rPr>
        <w:t>  </w:t>
      </w:r>
    </w:p>
    <w:p w14:paraId="576B795E" w14:textId="77777777" w:rsidR="00206CE6" w:rsidRPr="00882087" w:rsidRDefault="00206CE6" w:rsidP="00206CE6">
      <w:pPr>
        <w:spacing w:after="0" w:line="240" w:lineRule="auto"/>
        <w:ind w:left="1134"/>
        <w:jc w:val="both"/>
        <w:rPr>
          <w:rFonts w:ascii="Times New Roman" w:hAnsi="Times New Roman" w:cs="Times New Roman"/>
          <w:sz w:val="24"/>
          <w:szCs w:val="24"/>
        </w:rPr>
      </w:pPr>
    </w:p>
    <w:p w14:paraId="3CD24D28" w14:textId="77777777" w:rsidR="008422B8" w:rsidRPr="00882087" w:rsidRDefault="008422B8" w:rsidP="008422B8">
      <w:pPr>
        <w:pStyle w:val="Odsekzoznamu"/>
        <w:numPr>
          <w:ilvl w:val="0"/>
          <w:numId w:val="3"/>
        </w:numPr>
        <w:tabs>
          <w:tab w:val="left" w:pos="851"/>
        </w:tabs>
        <w:spacing w:after="0" w:line="240" w:lineRule="auto"/>
        <w:ind w:left="1134"/>
        <w:jc w:val="both"/>
        <w:rPr>
          <w:rFonts w:ascii="Times New Roman" w:hAnsi="Times New Roman" w:cs="Times New Roman"/>
          <w:sz w:val="24"/>
          <w:szCs w:val="24"/>
        </w:rPr>
      </w:pPr>
      <w:r w:rsidRPr="00882087">
        <w:rPr>
          <w:rFonts w:ascii="Times New Roman" w:hAnsi="Times New Roman" w:cs="Times New Roman"/>
          <w:sz w:val="24"/>
          <w:szCs w:val="24"/>
        </w:rPr>
        <w:t xml:space="preserve">rozhodnutie Súdneho dvora vo veci C - 88/13, </w:t>
      </w:r>
      <w:r w:rsidRPr="00882087">
        <w:rPr>
          <w:rFonts w:ascii="Times New Roman" w:hAnsi="Times New Roman" w:cs="Times New Roman"/>
          <w:bCs/>
          <w:sz w:val="24"/>
          <w:szCs w:val="24"/>
        </w:rPr>
        <w:t>Philippe Gruslin</w:t>
      </w:r>
      <w:r w:rsidRPr="00882087">
        <w:rPr>
          <w:rFonts w:ascii="Times New Roman" w:hAnsi="Times New Roman" w:cs="Times New Roman"/>
          <w:sz w:val="24"/>
          <w:szCs w:val="24"/>
        </w:rPr>
        <w:t xml:space="preserve"> proti </w:t>
      </w:r>
      <w:r w:rsidRPr="00882087">
        <w:rPr>
          <w:rFonts w:ascii="Times New Roman" w:hAnsi="Times New Roman" w:cs="Times New Roman"/>
          <w:bCs/>
          <w:sz w:val="24"/>
          <w:szCs w:val="24"/>
        </w:rPr>
        <w:t>Beobank SA</w:t>
      </w:r>
      <w:r w:rsidRPr="00882087">
        <w:rPr>
          <w:rFonts w:ascii="Times New Roman" w:hAnsi="Times New Roman" w:cs="Times New Roman"/>
          <w:sz w:val="24"/>
          <w:szCs w:val="24"/>
        </w:rPr>
        <w:t>, [</w:t>
      </w:r>
      <w:r w:rsidRPr="00882087">
        <w:rPr>
          <w:rFonts w:ascii="Times New Roman" w:hAnsi="Times New Roman" w:cs="Times New Roman"/>
          <w:bCs/>
          <w:sz w:val="24"/>
          <w:szCs w:val="24"/>
        </w:rPr>
        <w:t>2014</w:t>
      </w:r>
      <w:r w:rsidRPr="00882087">
        <w:rPr>
          <w:rFonts w:ascii="Times New Roman" w:hAnsi="Times New Roman" w:cs="Times New Roman"/>
          <w:sz w:val="24"/>
          <w:szCs w:val="24"/>
        </w:rPr>
        <w:t>].</w:t>
      </w:r>
    </w:p>
    <w:p w14:paraId="7741D7DF" w14:textId="77777777" w:rsidR="008422B8" w:rsidRPr="00882087" w:rsidRDefault="008422B8" w:rsidP="00206CE6">
      <w:pPr>
        <w:spacing w:after="0" w:line="240" w:lineRule="auto"/>
        <w:ind w:left="1134"/>
        <w:jc w:val="both"/>
        <w:rPr>
          <w:rFonts w:ascii="Times New Roman" w:hAnsi="Times New Roman" w:cs="Times New Roman"/>
          <w:sz w:val="24"/>
          <w:szCs w:val="24"/>
        </w:rPr>
      </w:pPr>
    </w:p>
    <w:p w14:paraId="60111808" w14:textId="05C05E5E" w:rsidR="008422B8" w:rsidRPr="00882087" w:rsidRDefault="008422B8" w:rsidP="00206CE6">
      <w:pPr>
        <w:spacing w:after="0" w:line="240" w:lineRule="auto"/>
        <w:ind w:left="1134"/>
        <w:jc w:val="both"/>
        <w:rPr>
          <w:rFonts w:ascii="Times New Roman" w:hAnsi="Times New Roman" w:cs="Times New Roman"/>
          <w:sz w:val="24"/>
          <w:szCs w:val="24"/>
        </w:rPr>
      </w:pPr>
      <w:r w:rsidRPr="00882087">
        <w:rPr>
          <w:rFonts w:ascii="Times New Roman" w:hAnsi="Times New Roman" w:cs="Times New Roman"/>
          <w:b/>
          <w:sz w:val="24"/>
          <w:szCs w:val="24"/>
        </w:rPr>
        <w:t>Výrok rozhodnutia</w:t>
      </w:r>
      <w:r w:rsidRPr="00882087">
        <w:rPr>
          <w:rFonts w:ascii="Times New Roman" w:hAnsi="Times New Roman" w:cs="Times New Roman"/>
          <w:sz w:val="24"/>
          <w:szCs w:val="24"/>
        </w:rPr>
        <w:t>:</w:t>
      </w:r>
    </w:p>
    <w:p w14:paraId="34038E4F" w14:textId="35560741" w:rsidR="008422B8" w:rsidRPr="00882087" w:rsidRDefault="008422B8" w:rsidP="00206CE6">
      <w:pPr>
        <w:spacing w:after="0" w:line="240" w:lineRule="auto"/>
        <w:ind w:left="1134"/>
        <w:jc w:val="both"/>
        <w:rPr>
          <w:rFonts w:ascii="Times New Roman" w:hAnsi="Times New Roman" w:cs="Times New Roman"/>
          <w:sz w:val="24"/>
          <w:szCs w:val="24"/>
        </w:rPr>
      </w:pPr>
      <w:r w:rsidRPr="00882087">
        <w:rPr>
          <w:rFonts w:ascii="Times New Roman" w:hAnsi="Times New Roman" w:cs="Times New Roman"/>
          <w:bCs/>
          <w:sz w:val="24"/>
          <w:szCs w:val="24"/>
        </w:rPr>
        <w:t>Povinnosť stanovená v článku 45 smernice Rady 85/611/EHS z 20. decembra 1985 o koordinácii zákonov, iných právnych predpisov a správnych opatrení týkajúcich sa podnikov kolektívneho investovania do prevoditeľných cenných papierov (PKIPCP), zmenenej a doplnenej smernicou Európskeho parlamentu a Rady 95/26/ES z 29. júna 1995, podľa ktorej je podnik kolektívneho investovania do prevoditeľných cenných papierov, ktorý predáva svoje podielové listy na území iného členského štátu, než v ktorom má svoje sídlo, povinný zabezpečiť podielnikom vyplácanie v členskom štáte, kde sa podielové listy predávajú, sa má vykladať tak, že nezahŕňa vydávanie osvedčení podielnikom o vlastníctve podielových listov, ktoré sú zapísané na ich meno v emitentovom registri podielnikov.</w:t>
      </w:r>
    </w:p>
    <w:p w14:paraId="600B1A32" w14:textId="77777777" w:rsidR="00430B39" w:rsidRPr="00882087" w:rsidRDefault="00430B39" w:rsidP="00206CE6">
      <w:pPr>
        <w:spacing w:after="0" w:line="240" w:lineRule="auto"/>
        <w:ind w:left="1134"/>
        <w:jc w:val="both"/>
        <w:rPr>
          <w:rFonts w:ascii="Times New Roman" w:hAnsi="Times New Roman" w:cs="Times New Roman"/>
          <w:sz w:val="24"/>
          <w:szCs w:val="24"/>
        </w:rPr>
      </w:pPr>
    </w:p>
    <w:p w14:paraId="24F8D46C" w14:textId="77777777" w:rsidR="00430B39" w:rsidRPr="00882087" w:rsidRDefault="00430B39" w:rsidP="00206CE6">
      <w:pPr>
        <w:spacing w:after="0" w:line="240" w:lineRule="auto"/>
        <w:ind w:left="1134"/>
        <w:jc w:val="both"/>
        <w:rPr>
          <w:rFonts w:ascii="Times New Roman" w:hAnsi="Times New Roman" w:cs="Times New Roman"/>
          <w:sz w:val="24"/>
          <w:szCs w:val="24"/>
        </w:rPr>
      </w:pPr>
    </w:p>
    <w:p w14:paraId="3E570B4F" w14:textId="77777777" w:rsidR="008545C6" w:rsidRPr="00882087" w:rsidRDefault="008545C6" w:rsidP="008545C6">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882087">
        <w:rPr>
          <w:rFonts w:ascii="Times New Roman" w:eastAsia="Times New Roman" w:hAnsi="Times New Roman" w:cs="Times New Roman"/>
          <w:b/>
          <w:bCs/>
          <w:sz w:val="24"/>
          <w:szCs w:val="24"/>
          <w:lang w:eastAsia="sk-SK"/>
        </w:rPr>
        <w:t>Záväzky Slovenskej republiky vo vzťahu k Európskej únii:</w:t>
      </w:r>
    </w:p>
    <w:p w14:paraId="2C59B17D" w14:textId="35F94D47" w:rsidR="00703A5A" w:rsidRPr="00882087" w:rsidRDefault="00EE3B2A" w:rsidP="00EE3B2A">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Lehota</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na</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prebratie</w:t>
      </w:r>
      <w:r w:rsidRPr="00882087">
        <w:rPr>
          <w:rFonts w:ascii="Times New Roman" w:eastAsia="Times New Roman" w:hAnsi="Times New Roman" w:cs="Times New Roman"/>
          <w:spacing w:val="82"/>
          <w:sz w:val="24"/>
          <w:szCs w:val="24"/>
          <w:lang w:eastAsia="sk-SK"/>
        </w:rPr>
        <w:t xml:space="preserve"> </w:t>
      </w:r>
      <w:r w:rsidRPr="00882087">
        <w:rPr>
          <w:rFonts w:ascii="Times New Roman" w:hAnsi="Times New Roman" w:cs="Times New Roman"/>
          <w:sz w:val="24"/>
          <w:szCs w:val="24"/>
        </w:rPr>
        <w:t xml:space="preserve">smernice </w:t>
      </w:r>
      <w:r w:rsidR="00F432C0" w:rsidRPr="00882087">
        <w:rPr>
          <w:rFonts w:ascii="Times New Roman" w:hAnsi="Times New Roman" w:cs="Times New Roman"/>
          <w:sz w:val="24"/>
          <w:szCs w:val="24"/>
        </w:rPr>
        <w:t xml:space="preserve">(EÚ) </w:t>
      </w:r>
      <w:r w:rsidRPr="00882087">
        <w:rPr>
          <w:rFonts w:ascii="Times New Roman" w:hAnsi="Times New Roman" w:cs="Times New Roman"/>
          <w:sz w:val="24"/>
          <w:szCs w:val="24"/>
        </w:rPr>
        <w:t>2019</w:t>
      </w:r>
      <w:r w:rsidRPr="00882087">
        <w:rPr>
          <w:rFonts w:ascii="Times New Roman" w:eastAsia="Times New Roman" w:hAnsi="Times New Roman" w:cs="Times New Roman"/>
          <w:sz w:val="24"/>
          <w:szCs w:val="24"/>
          <w:lang w:eastAsia="sk-SK"/>
        </w:rPr>
        <w:t>/</w:t>
      </w:r>
      <w:r w:rsidR="00144626" w:rsidRPr="00882087">
        <w:rPr>
          <w:rFonts w:ascii="Times New Roman" w:eastAsia="Times New Roman" w:hAnsi="Times New Roman" w:cs="Times New Roman"/>
          <w:sz w:val="24"/>
          <w:szCs w:val="24"/>
          <w:lang w:eastAsia="sk-SK"/>
        </w:rPr>
        <w:t>2162</w:t>
      </w:r>
      <w:r w:rsidRPr="00882087">
        <w:rPr>
          <w:rFonts w:ascii="Times New Roman" w:eastAsia="Times New Roman" w:hAnsi="Times New Roman" w:cs="Times New Roman"/>
          <w:sz w:val="24"/>
          <w:szCs w:val="24"/>
          <w:lang w:eastAsia="sk-SK"/>
        </w:rPr>
        <w:t xml:space="preserve"> je</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stanovená</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do</w:t>
      </w:r>
      <w:r w:rsidRPr="00882087">
        <w:rPr>
          <w:rFonts w:ascii="Times New Roman" w:eastAsia="Times New Roman" w:hAnsi="Times New Roman" w:cs="Times New Roman"/>
          <w:spacing w:val="82"/>
          <w:sz w:val="24"/>
          <w:szCs w:val="24"/>
          <w:lang w:eastAsia="sk-SK"/>
        </w:rPr>
        <w:t xml:space="preserve"> </w:t>
      </w:r>
      <w:r w:rsidR="000749FA" w:rsidRPr="00882087">
        <w:rPr>
          <w:rFonts w:ascii="Times New Roman" w:eastAsia="Times New Roman" w:hAnsi="Times New Roman" w:cs="Times New Roman"/>
          <w:sz w:val="24"/>
          <w:szCs w:val="24"/>
          <w:lang w:eastAsia="sk-SK"/>
        </w:rPr>
        <w:t>8. júla 202</w:t>
      </w:r>
      <w:r w:rsidR="00BC1B0B" w:rsidRPr="00882087">
        <w:rPr>
          <w:rFonts w:ascii="Times New Roman" w:eastAsia="Times New Roman" w:hAnsi="Times New Roman" w:cs="Times New Roman"/>
          <w:sz w:val="24"/>
          <w:szCs w:val="24"/>
          <w:lang w:eastAsia="sk-SK"/>
        </w:rPr>
        <w:t>1</w:t>
      </w:r>
      <w:r w:rsidR="000749FA" w:rsidRPr="00882087">
        <w:rPr>
          <w:rFonts w:ascii="Times New Roman" w:eastAsia="Times New Roman" w:hAnsi="Times New Roman" w:cs="Times New Roman"/>
          <w:sz w:val="24"/>
          <w:szCs w:val="24"/>
          <w:lang w:eastAsia="sk-SK"/>
        </w:rPr>
        <w:t>.</w:t>
      </w:r>
    </w:p>
    <w:p w14:paraId="553602FE" w14:textId="119B6E1A" w:rsidR="00AF118E" w:rsidRPr="00882087" w:rsidRDefault="00A5791A" w:rsidP="00EE400E">
      <w:pPr>
        <w:pStyle w:val="Odsekzoznamu"/>
        <w:spacing w:after="0" w:line="240" w:lineRule="auto"/>
        <w:jc w:val="both"/>
        <w:rPr>
          <w:rFonts w:ascii="Times New Roman" w:hAnsi="Times New Roman" w:cs="Times New Roman"/>
          <w:sz w:val="24"/>
          <w:szCs w:val="24"/>
        </w:rPr>
      </w:pPr>
      <w:r w:rsidRPr="00882087">
        <w:rPr>
          <w:rFonts w:ascii="Times New Roman" w:eastAsia="Times New Roman" w:hAnsi="Times New Roman" w:cs="Times New Roman"/>
          <w:sz w:val="24"/>
          <w:szCs w:val="24"/>
          <w:lang w:eastAsia="sk-SK"/>
        </w:rPr>
        <w:t>Lehota na prebratie smernice 2014/</w:t>
      </w:r>
      <w:r w:rsidR="000749FA" w:rsidRPr="00882087">
        <w:rPr>
          <w:rFonts w:ascii="Times New Roman" w:eastAsia="Times New Roman" w:hAnsi="Times New Roman" w:cs="Times New Roman"/>
          <w:sz w:val="24"/>
          <w:szCs w:val="24"/>
          <w:lang w:eastAsia="sk-SK"/>
        </w:rPr>
        <w:t>4</w:t>
      </w:r>
      <w:r w:rsidRPr="00882087">
        <w:rPr>
          <w:rFonts w:ascii="Times New Roman" w:eastAsia="Times New Roman" w:hAnsi="Times New Roman" w:cs="Times New Roman"/>
          <w:sz w:val="24"/>
          <w:szCs w:val="24"/>
          <w:lang w:eastAsia="sk-SK"/>
        </w:rPr>
        <w:t xml:space="preserve">9/EÚ bola stanovená do </w:t>
      </w:r>
      <w:r w:rsidR="000749FA" w:rsidRPr="00882087">
        <w:rPr>
          <w:rFonts w:ascii="Times New Roman" w:hAnsi="Times New Roman" w:cs="Times New Roman"/>
          <w:sz w:val="24"/>
          <w:szCs w:val="24"/>
        </w:rPr>
        <w:t>3.</w:t>
      </w:r>
      <w:r w:rsidR="00144626" w:rsidRPr="00882087">
        <w:rPr>
          <w:rFonts w:ascii="Times New Roman" w:hAnsi="Times New Roman" w:cs="Times New Roman"/>
          <w:sz w:val="24"/>
          <w:szCs w:val="24"/>
        </w:rPr>
        <w:t xml:space="preserve"> júla 2015 s výnimkou  článku 8 ods. 4 kde bola stanovená lehota do 31</w:t>
      </w:r>
      <w:r w:rsidR="00454131" w:rsidRPr="00882087">
        <w:rPr>
          <w:rFonts w:ascii="Times New Roman" w:hAnsi="Times New Roman" w:cs="Times New Roman"/>
          <w:sz w:val="24"/>
          <w:szCs w:val="24"/>
        </w:rPr>
        <w:t>.</w:t>
      </w:r>
      <w:r w:rsidR="00144626" w:rsidRPr="00882087">
        <w:rPr>
          <w:rFonts w:ascii="Times New Roman" w:hAnsi="Times New Roman" w:cs="Times New Roman"/>
          <w:sz w:val="24"/>
          <w:szCs w:val="24"/>
        </w:rPr>
        <w:t xml:space="preserve"> mája 2016.</w:t>
      </w:r>
    </w:p>
    <w:p w14:paraId="324A5D9C" w14:textId="28D1596B" w:rsidR="00144626" w:rsidRPr="00882087" w:rsidRDefault="00144626" w:rsidP="00144626">
      <w:pPr>
        <w:spacing w:after="0" w:line="240" w:lineRule="auto"/>
        <w:ind w:firstLine="708"/>
        <w:rPr>
          <w:rFonts w:ascii="Times New Roman" w:eastAsia="Times New Roman" w:hAnsi="Times New Roman" w:cs="Times New Roman"/>
          <w:color w:val="000000"/>
          <w:sz w:val="27"/>
          <w:szCs w:val="27"/>
          <w:lang w:eastAsia="sk-SK"/>
        </w:rPr>
      </w:pPr>
      <w:r w:rsidRPr="00882087">
        <w:rPr>
          <w:rFonts w:ascii="Times New Roman" w:eastAsia="Times New Roman" w:hAnsi="Times New Roman" w:cs="Times New Roman"/>
          <w:color w:val="000000"/>
          <w:sz w:val="24"/>
          <w:szCs w:val="24"/>
          <w:lang w:eastAsia="sk-SK"/>
        </w:rPr>
        <w:t>Lehota na prebranie smernice 2014/59/EÚ bola stanovená do 31.</w:t>
      </w:r>
      <w:r w:rsidR="007C25A2" w:rsidRPr="00882087">
        <w:rPr>
          <w:rFonts w:ascii="Times New Roman" w:eastAsia="Times New Roman" w:hAnsi="Times New Roman" w:cs="Times New Roman"/>
          <w:color w:val="000000"/>
          <w:sz w:val="24"/>
          <w:szCs w:val="24"/>
          <w:lang w:eastAsia="sk-SK"/>
        </w:rPr>
        <w:t xml:space="preserve"> decembra</w:t>
      </w:r>
      <w:r w:rsidRPr="00882087">
        <w:rPr>
          <w:rFonts w:ascii="Times New Roman" w:eastAsia="Times New Roman" w:hAnsi="Times New Roman" w:cs="Times New Roman"/>
          <w:color w:val="000000"/>
          <w:sz w:val="24"/>
          <w:szCs w:val="24"/>
          <w:lang w:eastAsia="sk-SK"/>
        </w:rPr>
        <w:t xml:space="preserve"> 2014. </w:t>
      </w:r>
    </w:p>
    <w:p w14:paraId="3A39B158" w14:textId="01A3E08F" w:rsidR="00144626" w:rsidRPr="00882087" w:rsidRDefault="00144626" w:rsidP="00144626">
      <w:pPr>
        <w:pStyle w:val="Odsekzoznamu"/>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Lehota</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na</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prebratie</w:t>
      </w:r>
      <w:r w:rsidRPr="00882087">
        <w:rPr>
          <w:rFonts w:ascii="Times New Roman" w:eastAsia="Times New Roman" w:hAnsi="Times New Roman" w:cs="Times New Roman"/>
          <w:spacing w:val="82"/>
          <w:sz w:val="24"/>
          <w:szCs w:val="24"/>
          <w:lang w:eastAsia="sk-SK"/>
        </w:rPr>
        <w:t xml:space="preserve"> </w:t>
      </w:r>
      <w:r w:rsidRPr="00882087">
        <w:rPr>
          <w:rFonts w:ascii="Times New Roman" w:eastAsia="Times New Roman" w:hAnsi="Times New Roman" w:cs="Times New Roman"/>
          <w:sz w:val="24"/>
          <w:szCs w:val="24"/>
          <w:lang w:eastAsia="sk-SK"/>
        </w:rPr>
        <w:t xml:space="preserve">smernice </w:t>
      </w:r>
      <w:r w:rsidRPr="00882087">
        <w:rPr>
          <w:rFonts w:ascii="Times New Roman" w:hAnsi="Times New Roman" w:cs="Times New Roman"/>
          <w:sz w:val="24"/>
          <w:szCs w:val="24"/>
        </w:rPr>
        <w:t>2013/36</w:t>
      </w:r>
      <w:r w:rsidR="008B1FB9" w:rsidRPr="00882087">
        <w:rPr>
          <w:rFonts w:ascii="Times New Roman" w:hAnsi="Times New Roman" w:cs="Times New Roman"/>
          <w:sz w:val="24"/>
          <w:szCs w:val="24"/>
        </w:rPr>
        <w:t>/EÚ</w:t>
      </w:r>
      <w:r w:rsidRPr="00882087">
        <w:rPr>
          <w:rFonts w:ascii="Times New Roman" w:hAnsi="Times New Roman" w:cs="Times New Roman"/>
          <w:sz w:val="24"/>
          <w:szCs w:val="24"/>
        </w:rPr>
        <w:t xml:space="preserve"> bola stanovená do 31.</w:t>
      </w:r>
      <w:r w:rsidR="007C25A2" w:rsidRPr="00882087">
        <w:rPr>
          <w:rFonts w:ascii="Times New Roman" w:hAnsi="Times New Roman" w:cs="Times New Roman"/>
          <w:sz w:val="24"/>
          <w:szCs w:val="24"/>
        </w:rPr>
        <w:t xml:space="preserve"> decembra</w:t>
      </w:r>
      <w:r w:rsidRPr="00882087">
        <w:rPr>
          <w:rFonts w:ascii="Times New Roman" w:hAnsi="Times New Roman" w:cs="Times New Roman"/>
          <w:sz w:val="24"/>
          <w:szCs w:val="24"/>
        </w:rPr>
        <w:t xml:space="preserve"> 2013</w:t>
      </w:r>
      <w:r w:rsidRPr="00882087">
        <w:rPr>
          <w:rFonts w:ascii="Times New Roman" w:eastAsia="Times New Roman" w:hAnsi="Times New Roman" w:cs="Times New Roman"/>
          <w:sz w:val="24"/>
          <w:szCs w:val="24"/>
          <w:lang w:eastAsia="sk-SK"/>
        </w:rPr>
        <w:t>.</w:t>
      </w:r>
    </w:p>
    <w:p w14:paraId="016DC199" w14:textId="77777777" w:rsidR="00A91E3D" w:rsidRPr="00882087" w:rsidRDefault="00A91E3D" w:rsidP="00A91E3D">
      <w:pPr>
        <w:pStyle w:val="Zkladntext"/>
        <w:tabs>
          <w:tab w:val="left" w:pos="360"/>
          <w:tab w:val="left" w:pos="540"/>
        </w:tabs>
        <w:spacing w:after="0"/>
        <w:ind w:left="720"/>
        <w:jc w:val="both"/>
      </w:pPr>
      <w:r w:rsidRPr="00882087">
        <w:t xml:space="preserve">Lehota na prebratie smernice </w:t>
      </w:r>
      <w:r w:rsidRPr="00882087">
        <w:rPr>
          <w:bCs/>
        </w:rPr>
        <w:t>2011/61/EÚ</w:t>
      </w:r>
      <w:r w:rsidRPr="00882087">
        <w:t xml:space="preserve"> bola stanovená do 22. júla 2013.</w:t>
      </w:r>
    </w:p>
    <w:p w14:paraId="323FCEC2" w14:textId="67704D08" w:rsidR="00A91E3D" w:rsidRPr="00882087" w:rsidRDefault="00A91E3D" w:rsidP="003067F9">
      <w:pPr>
        <w:pStyle w:val="Zkladntext"/>
        <w:tabs>
          <w:tab w:val="left" w:pos="360"/>
          <w:tab w:val="left" w:pos="540"/>
        </w:tabs>
        <w:spacing w:after="0"/>
        <w:ind w:left="720"/>
        <w:jc w:val="both"/>
      </w:pPr>
      <w:r w:rsidRPr="00882087">
        <w:t xml:space="preserve">Lehota na prebratie smernice </w:t>
      </w:r>
      <w:r w:rsidRPr="00882087">
        <w:rPr>
          <w:bCs/>
        </w:rPr>
        <w:t>2009/65/ES</w:t>
      </w:r>
      <w:r w:rsidRPr="00882087">
        <w:t xml:space="preserve"> bola stanovená do 30. júna 2011.</w:t>
      </w:r>
    </w:p>
    <w:p w14:paraId="7FB74C51" w14:textId="6967CB5D" w:rsidR="003067F9" w:rsidRPr="00882087" w:rsidRDefault="003067F9" w:rsidP="00A91E3D">
      <w:pPr>
        <w:pStyle w:val="Zkladntext"/>
        <w:tabs>
          <w:tab w:val="left" w:pos="360"/>
          <w:tab w:val="left" w:pos="540"/>
        </w:tabs>
        <w:ind w:left="720"/>
        <w:jc w:val="both"/>
      </w:pPr>
      <w:r w:rsidRPr="00882087">
        <w:t>Lehota na prebratie smernice 2015/2366 bola stanovená do 13. januára 2018.</w:t>
      </w:r>
    </w:p>
    <w:p w14:paraId="3DC303F5" w14:textId="77777777" w:rsidR="008545C6" w:rsidRPr="00882087" w:rsidRDefault="008545C6" w:rsidP="008545C6">
      <w:pPr>
        <w:pStyle w:val="Odsekzoznamu"/>
        <w:spacing w:after="0" w:line="240" w:lineRule="auto"/>
        <w:rPr>
          <w:rFonts w:ascii="Times New Roman" w:eastAsia="Times New Roman" w:hAnsi="Times New Roman" w:cs="Times New Roman"/>
          <w:sz w:val="24"/>
          <w:szCs w:val="24"/>
          <w:lang w:eastAsia="sk-SK"/>
        </w:rPr>
      </w:pPr>
    </w:p>
    <w:p w14:paraId="7D7B9B54" w14:textId="0414D2DB" w:rsidR="00F9215F" w:rsidRPr="00882087" w:rsidRDefault="00F9215F" w:rsidP="00BD614F">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sz w:val="24"/>
          <w:szCs w:val="24"/>
        </w:rPr>
        <w:t xml:space="preserve">Proti SR nebolo začaté konanie v rámci „EÚ Pilot“, ani nebol začatý postup </w:t>
      </w:r>
      <w:r w:rsidR="000966F7" w:rsidRPr="00882087">
        <w:rPr>
          <w:rFonts w:ascii="Times New Roman" w:hAnsi="Times New Roman" w:cs="Times New Roman"/>
          <w:sz w:val="24"/>
          <w:szCs w:val="24"/>
        </w:rPr>
        <w:t xml:space="preserve">Európskej komisie, alebo konanie Súdneho dvora Európskej únie proti Slovenskej republike </w:t>
      </w:r>
      <w:r w:rsidRPr="00882087">
        <w:rPr>
          <w:rFonts w:ascii="Times New Roman" w:hAnsi="Times New Roman" w:cs="Times New Roman"/>
          <w:sz w:val="24"/>
          <w:szCs w:val="24"/>
        </w:rPr>
        <w:t>podľa čl. 258 až 260 Zmluvy o fungovaní Európskej únie</w:t>
      </w:r>
      <w:r w:rsidR="000966F7" w:rsidRPr="00882087">
        <w:rPr>
          <w:rFonts w:ascii="Times New Roman" w:hAnsi="Times New Roman" w:cs="Times New Roman"/>
          <w:sz w:val="24"/>
          <w:szCs w:val="24"/>
        </w:rPr>
        <w:t xml:space="preserve"> v platnom znení</w:t>
      </w:r>
      <w:r w:rsidRPr="00882087">
        <w:rPr>
          <w:rFonts w:ascii="Times New Roman" w:hAnsi="Times New Roman" w:cs="Times New Roman"/>
          <w:sz w:val="24"/>
          <w:szCs w:val="24"/>
        </w:rPr>
        <w:t>.</w:t>
      </w:r>
      <w:r w:rsidRPr="00882087">
        <w:rPr>
          <w:rFonts w:ascii="Times New Roman" w:eastAsia="Times New Roman" w:hAnsi="Times New Roman" w:cs="Times New Roman"/>
          <w:sz w:val="24"/>
          <w:szCs w:val="24"/>
          <w:lang w:eastAsia="sk-SK"/>
        </w:rPr>
        <w:t xml:space="preserve"> </w:t>
      </w:r>
      <w:r w:rsidR="008422B8" w:rsidRPr="00882087">
        <w:rPr>
          <w:rFonts w:ascii="Times New Roman" w:eastAsia="Times New Roman" w:hAnsi="Times New Roman" w:cs="Times New Roman"/>
          <w:sz w:val="24"/>
          <w:szCs w:val="24"/>
          <w:lang w:eastAsia="sk-SK"/>
        </w:rPr>
        <w:t xml:space="preserve"> </w:t>
      </w:r>
    </w:p>
    <w:p w14:paraId="0A02D0BE" w14:textId="77777777" w:rsidR="00F9215F" w:rsidRPr="00882087" w:rsidRDefault="00F9215F" w:rsidP="00FC287C">
      <w:pPr>
        <w:pStyle w:val="Odsekzoznamu"/>
        <w:spacing w:after="0" w:line="240" w:lineRule="auto"/>
        <w:rPr>
          <w:rFonts w:ascii="Times New Roman" w:eastAsia="Times New Roman" w:hAnsi="Times New Roman" w:cs="Times New Roman"/>
          <w:sz w:val="24"/>
          <w:szCs w:val="24"/>
          <w:lang w:eastAsia="sk-SK"/>
        </w:rPr>
      </w:pPr>
    </w:p>
    <w:p w14:paraId="290EB9CE" w14:textId="777D3EEB" w:rsidR="00FC287C" w:rsidRPr="00882087" w:rsidRDefault="00FC287C" w:rsidP="00FC287C">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882087">
        <w:rPr>
          <w:rFonts w:ascii="Times New Roman" w:hAnsi="Times New Roman" w:cs="Times New Roman"/>
          <w:bCs/>
          <w:sz w:val="24"/>
          <w:szCs w:val="24"/>
        </w:rPr>
        <w:t xml:space="preserve">Smernica </w:t>
      </w:r>
      <w:r w:rsidRPr="00882087">
        <w:rPr>
          <w:rFonts w:ascii="Times New Roman" w:hAnsi="Times New Roman" w:cs="Times New Roman"/>
          <w:bCs/>
          <w:sz w:val="24"/>
          <w:szCs w:val="24"/>
          <w:u w:val="single"/>
        </w:rPr>
        <w:t>201</w:t>
      </w:r>
      <w:r w:rsidR="00E25D36" w:rsidRPr="00882087">
        <w:rPr>
          <w:rFonts w:ascii="Times New Roman" w:hAnsi="Times New Roman" w:cs="Times New Roman"/>
          <w:bCs/>
          <w:sz w:val="24"/>
          <w:szCs w:val="24"/>
          <w:u w:val="single"/>
        </w:rPr>
        <w:t>3</w:t>
      </w:r>
      <w:r w:rsidRPr="00882087">
        <w:rPr>
          <w:rFonts w:ascii="Times New Roman" w:hAnsi="Times New Roman" w:cs="Times New Roman"/>
          <w:bCs/>
          <w:sz w:val="24"/>
          <w:szCs w:val="24"/>
          <w:u w:val="single"/>
        </w:rPr>
        <w:t>/36/EÚ</w:t>
      </w:r>
      <w:r w:rsidR="007C25A2" w:rsidRPr="00882087">
        <w:rPr>
          <w:rFonts w:ascii="Times New Roman" w:hAnsi="Times New Roman" w:cs="Times New Roman"/>
          <w:bCs/>
          <w:sz w:val="24"/>
          <w:szCs w:val="24"/>
        </w:rPr>
        <w:t xml:space="preserve"> v platnom znení</w:t>
      </w:r>
      <w:r w:rsidRPr="00882087">
        <w:rPr>
          <w:rFonts w:ascii="Times New Roman" w:hAnsi="Times New Roman" w:cs="Times New Roman"/>
          <w:bCs/>
          <w:sz w:val="24"/>
          <w:szCs w:val="24"/>
        </w:rPr>
        <w:t xml:space="preserve"> bola prebratá do zákona č. 483/2001 Z. z. o bankách a o zmene a doplnení niektorých zákonov v znení neskorších predpisov, do zákona č.</w:t>
      </w:r>
      <w:r w:rsidR="00DC0F4E" w:rsidRPr="00882087">
        <w:rPr>
          <w:rFonts w:ascii="Times New Roman" w:hAnsi="Times New Roman" w:cs="Times New Roman"/>
          <w:bCs/>
          <w:sz w:val="24"/>
          <w:szCs w:val="24"/>
        </w:rPr>
        <w:t> </w:t>
      </w:r>
      <w:r w:rsidRPr="00882087">
        <w:rPr>
          <w:rFonts w:ascii="Times New Roman" w:hAnsi="Times New Roman" w:cs="Times New Roman"/>
          <w:bCs/>
          <w:sz w:val="24"/>
          <w:szCs w:val="24"/>
        </w:rPr>
        <w:t>566/2001</w:t>
      </w:r>
      <w:r w:rsidR="00DC0F4E" w:rsidRPr="00882087">
        <w:rPr>
          <w:rFonts w:ascii="Times New Roman" w:hAnsi="Times New Roman" w:cs="Times New Roman"/>
          <w:bCs/>
          <w:sz w:val="24"/>
          <w:szCs w:val="24"/>
        </w:rPr>
        <w:t> </w:t>
      </w:r>
      <w:r w:rsidRPr="00882087">
        <w:rPr>
          <w:rFonts w:ascii="Times New Roman" w:hAnsi="Times New Roman" w:cs="Times New Roman"/>
          <w:bCs/>
          <w:sz w:val="24"/>
          <w:szCs w:val="24"/>
        </w:rPr>
        <w:t>Z.</w:t>
      </w:r>
      <w:r w:rsidR="00DC0F4E" w:rsidRPr="00882087">
        <w:rPr>
          <w:rFonts w:ascii="Times New Roman" w:hAnsi="Times New Roman" w:cs="Times New Roman"/>
          <w:bCs/>
          <w:sz w:val="24"/>
          <w:szCs w:val="24"/>
        </w:rPr>
        <w:t> </w:t>
      </w:r>
      <w:r w:rsidRPr="00882087">
        <w:rPr>
          <w:rFonts w:ascii="Times New Roman" w:hAnsi="Times New Roman" w:cs="Times New Roman"/>
          <w:bCs/>
          <w:sz w:val="24"/>
          <w:szCs w:val="24"/>
        </w:rPr>
        <w:t xml:space="preserve">z. o cenných papieroch a investičných službách a o zmene a doplnení niektorých zákonov (zákon o cenných papieroch) v znení </w:t>
      </w:r>
      <w:r w:rsidR="00C516E1" w:rsidRPr="00882087">
        <w:rPr>
          <w:rFonts w:ascii="Times New Roman" w:hAnsi="Times New Roman" w:cs="Times New Roman"/>
          <w:bCs/>
          <w:sz w:val="24"/>
          <w:szCs w:val="24"/>
        </w:rPr>
        <w:t>neskorších predpisov,</w:t>
      </w:r>
      <w:r w:rsidR="00DF77BD" w:rsidRPr="00882087">
        <w:rPr>
          <w:rFonts w:ascii="Times New Roman" w:hAnsi="Times New Roman" w:cs="Times New Roman"/>
          <w:sz w:val="24"/>
          <w:szCs w:val="24"/>
        </w:rPr>
        <w:t xml:space="preserve"> do zákona č. 513/1991 Zb. Obchodný zákonník v znení neskorších predpisov, do zákona </w:t>
      </w:r>
      <w:r w:rsidR="00EB09DC" w:rsidRPr="00882087">
        <w:rPr>
          <w:rFonts w:ascii="Times New Roman" w:hAnsi="Times New Roman" w:cs="Times New Roman"/>
          <w:sz w:val="24"/>
          <w:szCs w:val="24"/>
        </w:rPr>
        <w:t xml:space="preserve">Národnej rady Slovenskej republiky </w:t>
      </w:r>
      <w:r w:rsidR="00DF77BD" w:rsidRPr="00882087">
        <w:rPr>
          <w:rFonts w:ascii="Times New Roman" w:hAnsi="Times New Roman" w:cs="Times New Roman"/>
          <w:sz w:val="24"/>
          <w:szCs w:val="24"/>
        </w:rPr>
        <w:t xml:space="preserve">č. 566/1992 Zb. o Národnej banke Slovenska v znení neskorších predpisov, </w:t>
      </w:r>
      <w:r w:rsidRPr="00882087">
        <w:rPr>
          <w:rFonts w:ascii="Times New Roman" w:hAnsi="Times New Roman" w:cs="Times New Roman"/>
          <w:bCs/>
          <w:sz w:val="24"/>
          <w:szCs w:val="24"/>
        </w:rPr>
        <w:t xml:space="preserve">do zákona </w:t>
      </w:r>
      <w:r w:rsidRPr="00882087">
        <w:rPr>
          <w:rFonts w:ascii="Times New Roman" w:hAnsi="Times New Roman" w:cs="Times New Roman"/>
          <w:sz w:val="24"/>
          <w:szCs w:val="24"/>
        </w:rPr>
        <w:t>č.</w:t>
      </w:r>
      <w:r w:rsidRPr="00882087">
        <w:rPr>
          <w:rFonts w:ascii="Times New Roman" w:hAnsi="Times New Roman" w:cs="Times New Roman"/>
          <w:bCs/>
          <w:sz w:val="24"/>
          <w:szCs w:val="24"/>
        </w:rPr>
        <w:t> </w:t>
      </w:r>
      <w:r w:rsidRPr="00882087">
        <w:rPr>
          <w:rFonts w:ascii="Times New Roman" w:hAnsi="Times New Roman" w:cs="Times New Roman"/>
          <w:sz w:val="24"/>
          <w:szCs w:val="24"/>
        </w:rPr>
        <w:t>747/2004 Z. z. o </w:t>
      </w:r>
      <w:r w:rsidRPr="00882087">
        <w:rPr>
          <w:rFonts w:ascii="Times New Roman" w:hAnsi="Times New Roman" w:cs="Times New Roman"/>
          <w:bCs/>
          <w:sz w:val="24"/>
          <w:szCs w:val="24"/>
        </w:rPr>
        <w:t xml:space="preserve">dohľade nad finančným trhom a o zmene a doplnení niektorých zákonov </w:t>
      </w:r>
      <w:r w:rsidRPr="00882087">
        <w:rPr>
          <w:rFonts w:ascii="Times New Roman" w:hAnsi="Times New Roman" w:cs="Times New Roman"/>
          <w:sz w:val="24"/>
          <w:szCs w:val="24"/>
        </w:rPr>
        <w:t>v znení neskorších predpisov</w:t>
      </w:r>
      <w:r w:rsidR="00DF77BD" w:rsidRPr="00882087">
        <w:rPr>
          <w:rFonts w:ascii="Times New Roman" w:hAnsi="Times New Roman" w:cs="Times New Roman"/>
          <w:sz w:val="24"/>
          <w:szCs w:val="24"/>
        </w:rPr>
        <w:t>, do zákona č. 540/2007 Z. z. o audítoroch, audite a dohľade nad výkonom auditu a o zmene a doplnení zákona č. 431/2002 Z. z. o účtovníctve v znení neskorších predpisov, do zákona č. 186/2009 Z. z. o finančnom sprostredkovaní a finančnom poradenstve a o zmene a doplnení niektorých zákonov v znení neskorších predpisov, do zákona č.</w:t>
      </w:r>
      <w:r w:rsidR="004C724E" w:rsidRPr="00882087">
        <w:rPr>
          <w:rFonts w:ascii="Times New Roman" w:hAnsi="Times New Roman" w:cs="Times New Roman"/>
          <w:sz w:val="24"/>
          <w:szCs w:val="24"/>
        </w:rPr>
        <w:t> </w:t>
      </w:r>
      <w:r w:rsidR="00DF77BD" w:rsidRPr="00882087">
        <w:rPr>
          <w:rFonts w:ascii="Times New Roman" w:hAnsi="Times New Roman" w:cs="Times New Roman"/>
          <w:sz w:val="24"/>
          <w:szCs w:val="24"/>
        </w:rPr>
        <w:t>371/2014 Z. z. o riešení krízových situácií na finančnom trhu a o zmene a doplnení niektorých zákonov v znení neskorších predpisov, do zákona č. 39/2015 Z. z. o poisťovníctve a o zmene a doplnení niektorých zákonov</w:t>
      </w:r>
      <w:r w:rsidR="007C25A2" w:rsidRPr="00882087">
        <w:rPr>
          <w:rFonts w:ascii="Times New Roman" w:hAnsi="Times New Roman" w:cs="Times New Roman"/>
          <w:sz w:val="24"/>
          <w:szCs w:val="24"/>
        </w:rPr>
        <w:t xml:space="preserve"> v znení neskorších predpisov</w:t>
      </w:r>
      <w:r w:rsidR="00DF77BD" w:rsidRPr="00882087">
        <w:rPr>
          <w:rFonts w:ascii="Times New Roman" w:hAnsi="Times New Roman" w:cs="Times New Roman"/>
          <w:sz w:val="24"/>
          <w:szCs w:val="24"/>
        </w:rPr>
        <w:t>, do zákona č. 423/2015 Z. z. o štatutárnom audite a o zmene a doplnení zákona č. 431/2002 Z. z. o účtovníctve v znení neskorších predpisov</w:t>
      </w:r>
      <w:r w:rsidR="007C25A2" w:rsidRPr="00882087">
        <w:rPr>
          <w:rFonts w:ascii="Times New Roman" w:hAnsi="Times New Roman" w:cs="Times New Roman"/>
          <w:sz w:val="24"/>
          <w:szCs w:val="24"/>
        </w:rPr>
        <w:t xml:space="preserve">, do </w:t>
      </w:r>
      <w:r w:rsidR="007C25A2" w:rsidRPr="00882087">
        <w:rPr>
          <w:rFonts w:ascii="Times New Roman" w:hAnsi="Times New Roman" w:cs="Times New Roman"/>
          <w:color w:val="000000" w:themeColor="text1"/>
          <w:sz w:val="24"/>
          <w:szCs w:val="24"/>
        </w:rPr>
        <w:t>opatrenia Národnej banky Slovenska z 28. októbra 2008 č. 18/2008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likvidite bánk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pobočiek zahraničných bánk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postupe riadenia rizika likvidity bánk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likvidity pobočiek zahraničných bánk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zmene</w:t>
      </w:r>
      <w:r w:rsidR="00741BA7" w:rsidRPr="00882087">
        <w:rPr>
          <w:rFonts w:ascii="Times New Roman" w:hAnsi="Times New Roman" w:cs="Times New Roman"/>
          <w:color w:val="000000" w:themeColor="text1"/>
          <w:sz w:val="24"/>
          <w:szCs w:val="24"/>
        </w:rPr>
        <w:t xml:space="preserve"> </w:t>
      </w:r>
      <w:r w:rsidR="007C25A2" w:rsidRPr="00882087">
        <w:rPr>
          <w:rFonts w:ascii="Times New Roman" w:hAnsi="Times New Roman" w:cs="Times New Roman"/>
          <w:color w:val="000000" w:themeColor="text1"/>
          <w:sz w:val="24"/>
          <w:szCs w:val="24"/>
        </w:rPr>
        <w:t>opatrenia Národnej banky Slovenska č. 11/2007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predkladaní</w:t>
      </w:r>
      <w:r w:rsidR="00741BA7" w:rsidRPr="00882087">
        <w:rPr>
          <w:rFonts w:ascii="Times New Roman" w:hAnsi="Times New Roman" w:cs="Times New Roman"/>
          <w:color w:val="000000" w:themeColor="text1"/>
          <w:sz w:val="24"/>
          <w:szCs w:val="24"/>
        </w:rPr>
        <w:t xml:space="preserve"> </w:t>
      </w:r>
      <w:r w:rsidR="007C25A2" w:rsidRPr="00882087">
        <w:rPr>
          <w:rFonts w:ascii="Times New Roman" w:hAnsi="Times New Roman" w:cs="Times New Roman"/>
          <w:color w:val="000000" w:themeColor="text1"/>
          <w:sz w:val="24"/>
          <w:szCs w:val="24"/>
        </w:rPr>
        <w:t>výkazov, hlásení a iných správ bankami, pobočkami zahraničných bánk, obchodníkmi s cennými papiermi a pobočkami zahraničných obchodníkov s</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cennými papiermi na účely vykonávania dohľadu a na štatistické účely v</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znení neskorších predpisov,</w:t>
      </w:r>
      <w:r w:rsidR="007C25A2" w:rsidRPr="00882087">
        <w:rPr>
          <w:rFonts w:ascii="Times New Roman" w:hAnsi="Times New Roman" w:cs="Times New Roman"/>
          <w:sz w:val="24"/>
          <w:szCs w:val="24"/>
        </w:rPr>
        <w:t xml:space="preserve"> do </w:t>
      </w:r>
      <w:r w:rsidR="007C25A2" w:rsidRPr="00882087">
        <w:rPr>
          <w:rFonts w:ascii="Times New Roman" w:hAnsi="Times New Roman" w:cs="Times New Roman"/>
          <w:color w:val="000000" w:themeColor="text1"/>
          <w:sz w:val="24"/>
          <w:szCs w:val="24"/>
        </w:rPr>
        <w:t>opatrenia Národnej banky Slovenska č. 6/2010 z 11. mája 2010, ktorým sa ustanovujú náležitosti žiadosti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predchádzajúci súhlas Národnej banky Slovenska podľa § 28 ods. 1 zákona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bankách v znení neskorších predpisov, do opatrenia Národnej banky Slovenska z 31. marca 2015 č. 4/2015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ďalších druhoch rizík,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podrobnostiach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systéme riadenia rizík banky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pobočky zahraničnej banky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ktorým sa ustanovuje čo sa rozumie náhlou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neočakávanou zmenou úrokových mier na trhu, do</w:t>
      </w:r>
      <w:r w:rsidR="00DF77BD" w:rsidRPr="00882087">
        <w:rPr>
          <w:rFonts w:ascii="Times New Roman" w:hAnsi="Times New Roman" w:cs="Times New Roman"/>
          <w:sz w:val="24"/>
          <w:szCs w:val="24"/>
        </w:rPr>
        <w:t xml:space="preserve"> </w:t>
      </w:r>
      <w:r w:rsidR="007C25A2" w:rsidRPr="00882087">
        <w:rPr>
          <w:rFonts w:ascii="Times New Roman" w:hAnsi="Times New Roman" w:cs="Times New Roman"/>
          <w:color w:val="000000" w:themeColor="text1"/>
          <w:sz w:val="24"/>
          <w:szCs w:val="24"/>
        </w:rPr>
        <w:t>opatrenia Národnej banky Slovenska z 12. decembra 2017 č. 13/2017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predkladaní</w:t>
      </w:r>
      <w:r w:rsidR="00741BA7" w:rsidRPr="00882087">
        <w:rPr>
          <w:rFonts w:ascii="Times New Roman" w:hAnsi="Times New Roman" w:cs="Times New Roman"/>
          <w:color w:val="000000" w:themeColor="text1"/>
          <w:sz w:val="24"/>
          <w:szCs w:val="24"/>
        </w:rPr>
        <w:t xml:space="preserve"> </w:t>
      </w:r>
      <w:r w:rsidR="007C25A2" w:rsidRPr="00882087">
        <w:rPr>
          <w:rFonts w:ascii="Times New Roman" w:hAnsi="Times New Roman" w:cs="Times New Roman"/>
          <w:color w:val="000000" w:themeColor="text1"/>
          <w:sz w:val="24"/>
          <w:szCs w:val="24"/>
        </w:rPr>
        <w:t>výkazov, hlásení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iných správ bankami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pobočkami zahraničných bánk na účely vykonávania dohľadu v znení neskorších predpisov, do opatrenia Národnej banky Slovenska č. 13/2014 z 29. júla 2014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predkladaní výkazov, hlásení a iných správ obchodníkmi s</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cennými papiermi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pobočkami zahraničných obchodníkov s</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cennými papiermi na účely vykonávania dohľadu v</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znení neskorších predpisov, do opatrenia Národnej banky Slovenska č. 16/2014 z 2. septembra 2014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uverejňovaní informácií bankami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pobočkami zahraničných bánk v</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znení neskorších predpisov, do opatrenia Národnej banky Slovenska z 31. marca 2015 č. 4/2015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ďalších druhoch rizík,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podrobnostiach o</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systéme riadenia rizík banky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pobočky zahraničnej banky a</w:t>
      </w:r>
      <w:r w:rsidR="00741BA7" w:rsidRPr="00882087">
        <w:rPr>
          <w:rFonts w:ascii="Times New Roman" w:hAnsi="Times New Roman" w:cs="Times New Roman"/>
          <w:color w:val="000000" w:themeColor="text1"/>
          <w:sz w:val="24"/>
          <w:szCs w:val="24"/>
        </w:rPr>
        <w:t> </w:t>
      </w:r>
      <w:r w:rsidR="007C25A2" w:rsidRPr="00882087">
        <w:rPr>
          <w:rFonts w:ascii="Times New Roman" w:hAnsi="Times New Roman" w:cs="Times New Roman"/>
          <w:color w:val="000000" w:themeColor="text1"/>
          <w:sz w:val="24"/>
          <w:szCs w:val="24"/>
        </w:rPr>
        <w:t>ktorým sa ustanovuje čo sa rozumie náhlou a neočakávanou zmenou úrokových mier na trhu.</w:t>
      </w:r>
    </w:p>
    <w:p w14:paraId="0A04C3EE" w14:textId="77777777" w:rsidR="00E1604E" w:rsidRPr="00882087" w:rsidRDefault="00E1604E" w:rsidP="00E1604E">
      <w:pPr>
        <w:pStyle w:val="Odsekzoznamu"/>
        <w:spacing w:after="0" w:line="240" w:lineRule="auto"/>
        <w:jc w:val="both"/>
        <w:rPr>
          <w:rFonts w:ascii="Times New Roman" w:eastAsia="Times New Roman" w:hAnsi="Times New Roman" w:cs="Times New Roman"/>
          <w:sz w:val="24"/>
          <w:szCs w:val="24"/>
          <w:lang w:eastAsia="sk-SK"/>
        </w:rPr>
      </w:pPr>
    </w:p>
    <w:p w14:paraId="470E68B9" w14:textId="3E60F069" w:rsidR="00E25D36" w:rsidRPr="00882087" w:rsidRDefault="00E25D36" w:rsidP="00E25D36">
      <w:pPr>
        <w:pStyle w:val="Odsekzoznamu"/>
        <w:spacing w:after="0" w:line="240" w:lineRule="auto"/>
        <w:jc w:val="both"/>
        <w:rPr>
          <w:rFonts w:ascii="Times New Roman" w:hAnsi="Times New Roman" w:cs="Times New Roman"/>
          <w:bCs/>
          <w:sz w:val="24"/>
          <w:szCs w:val="24"/>
        </w:rPr>
      </w:pPr>
      <w:r w:rsidRPr="00882087">
        <w:rPr>
          <w:rFonts w:ascii="Times New Roman" w:hAnsi="Times New Roman" w:cs="Times New Roman"/>
          <w:bCs/>
          <w:sz w:val="24"/>
          <w:szCs w:val="24"/>
        </w:rPr>
        <w:t xml:space="preserve">Smernica </w:t>
      </w:r>
      <w:r w:rsidRPr="00882087">
        <w:rPr>
          <w:rFonts w:ascii="Times New Roman" w:hAnsi="Times New Roman" w:cs="Times New Roman"/>
          <w:bCs/>
          <w:sz w:val="24"/>
          <w:szCs w:val="24"/>
          <w:u w:val="single"/>
        </w:rPr>
        <w:t>2014/49/EÚ</w:t>
      </w:r>
      <w:r w:rsidRPr="00882087">
        <w:rPr>
          <w:rFonts w:ascii="Times New Roman" w:hAnsi="Times New Roman" w:cs="Times New Roman"/>
          <w:bCs/>
          <w:sz w:val="24"/>
          <w:szCs w:val="24"/>
        </w:rPr>
        <w:t xml:space="preserve"> bola prebratá do zákona </w:t>
      </w:r>
      <w:r w:rsidR="003E1F36" w:rsidRPr="00882087">
        <w:rPr>
          <w:rFonts w:ascii="Times New Roman" w:hAnsi="Times New Roman" w:cs="Times New Roman"/>
          <w:sz w:val="24"/>
          <w:szCs w:val="24"/>
        </w:rPr>
        <w:t xml:space="preserve">Národnej rady Slovenskej republiky </w:t>
      </w:r>
      <w:r w:rsidRPr="00882087">
        <w:rPr>
          <w:rFonts w:ascii="Times New Roman" w:hAnsi="Times New Roman" w:cs="Times New Roman"/>
          <w:bCs/>
          <w:sz w:val="24"/>
          <w:szCs w:val="24"/>
        </w:rPr>
        <w:t>č.</w:t>
      </w:r>
      <w:r w:rsidR="000F37F8" w:rsidRPr="00882087">
        <w:rPr>
          <w:rFonts w:ascii="Times New Roman" w:hAnsi="Times New Roman" w:cs="Times New Roman"/>
          <w:bCs/>
          <w:sz w:val="24"/>
          <w:szCs w:val="24"/>
        </w:rPr>
        <w:t> </w:t>
      </w:r>
      <w:r w:rsidRPr="00882087">
        <w:rPr>
          <w:rFonts w:ascii="Times New Roman" w:hAnsi="Times New Roman" w:cs="Times New Roman"/>
          <w:bCs/>
          <w:sz w:val="24"/>
          <w:szCs w:val="24"/>
        </w:rPr>
        <w:t>118/1996 Z. z. o ochrane vkladov a o zmene a doplnení niektorých zákonov</w:t>
      </w:r>
      <w:r w:rsidR="005C1285" w:rsidRPr="00882087">
        <w:rPr>
          <w:rFonts w:ascii="Times New Roman" w:hAnsi="Times New Roman" w:cs="Times New Roman"/>
          <w:bCs/>
          <w:sz w:val="24"/>
          <w:szCs w:val="24"/>
        </w:rPr>
        <w:t xml:space="preserve"> v znení neskorších predpisov a</w:t>
      </w:r>
      <w:r w:rsidR="00112163" w:rsidRPr="00882087">
        <w:rPr>
          <w:rFonts w:ascii="Times New Roman" w:hAnsi="Times New Roman" w:cs="Times New Roman"/>
          <w:bCs/>
          <w:sz w:val="24"/>
          <w:szCs w:val="24"/>
        </w:rPr>
        <w:t> </w:t>
      </w:r>
      <w:r w:rsidRPr="00882087">
        <w:rPr>
          <w:rFonts w:ascii="Times New Roman" w:hAnsi="Times New Roman" w:cs="Times New Roman"/>
          <w:bCs/>
          <w:sz w:val="24"/>
          <w:szCs w:val="24"/>
        </w:rPr>
        <w:t>do</w:t>
      </w:r>
      <w:r w:rsidR="00112163" w:rsidRPr="00882087">
        <w:rPr>
          <w:rFonts w:ascii="Times New Roman" w:hAnsi="Times New Roman" w:cs="Times New Roman"/>
          <w:bCs/>
          <w:sz w:val="24"/>
          <w:szCs w:val="24"/>
        </w:rPr>
        <w:t xml:space="preserve"> </w:t>
      </w:r>
      <w:r w:rsidRPr="00882087">
        <w:rPr>
          <w:rFonts w:ascii="Times New Roman" w:hAnsi="Times New Roman" w:cs="Times New Roman"/>
          <w:bCs/>
          <w:sz w:val="24"/>
          <w:szCs w:val="24"/>
        </w:rPr>
        <w:t xml:space="preserve">zákona č. 483/2001 Z. z. o bankách a o zmene a doplnení niektorých zákonov v znení neskorších predpisov. </w:t>
      </w:r>
    </w:p>
    <w:p w14:paraId="5CD9A996" w14:textId="6089D4FD" w:rsidR="00C0332F" w:rsidRPr="00882087" w:rsidRDefault="00C0332F" w:rsidP="000F37F8">
      <w:pPr>
        <w:pStyle w:val="Odsekzoznamu"/>
        <w:spacing w:after="0" w:line="240" w:lineRule="auto"/>
        <w:jc w:val="both"/>
        <w:rPr>
          <w:rFonts w:ascii="Times New Roman" w:hAnsi="Times New Roman" w:cs="Times New Roman"/>
          <w:sz w:val="24"/>
          <w:szCs w:val="24"/>
        </w:rPr>
      </w:pPr>
    </w:p>
    <w:p w14:paraId="5430A352" w14:textId="034B2467" w:rsidR="00144626" w:rsidRPr="00882087" w:rsidRDefault="00144626" w:rsidP="00144626">
      <w:pPr>
        <w:spacing w:after="0" w:line="240" w:lineRule="auto"/>
        <w:ind w:left="709"/>
        <w:jc w:val="both"/>
        <w:rPr>
          <w:rFonts w:ascii="Times New Roman" w:eastAsia="Times New Roman" w:hAnsi="Times New Roman" w:cs="Times New Roman"/>
          <w:color w:val="000000"/>
          <w:sz w:val="24"/>
          <w:szCs w:val="24"/>
          <w:lang w:eastAsia="sk-SK"/>
        </w:rPr>
      </w:pPr>
      <w:r w:rsidRPr="00882087">
        <w:rPr>
          <w:rFonts w:ascii="Times New Roman" w:eastAsia="Times New Roman" w:hAnsi="Times New Roman" w:cs="Times New Roman"/>
          <w:color w:val="000000"/>
          <w:sz w:val="24"/>
          <w:szCs w:val="24"/>
          <w:lang w:eastAsia="sk-SK"/>
        </w:rPr>
        <w:t>Smernica</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u w:val="single"/>
          <w:lang w:eastAsia="sk-SK"/>
        </w:rPr>
        <w:t>2014/59/EÚ</w:t>
      </w:r>
      <w:r w:rsidRPr="00882087">
        <w:rPr>
          <w:rFonts w:ascii="Times New Roman" w:eastAsia="Times New Roman" w:hAnsi="Times New Roman" w:cs="Times New Roman"/>
          <w:color w:val="000000"/>
          <w:spacing w:val="-15"/>
          <w:sz w:val="24"/>
          <w:szCs w:val="24"/>
          <w:lang w:eastAsia="sk-SK"/>
        </w:rPr>
        <w:t xml:space="preserve"> </w:t>
      </w:r>
      <w:r w:rsidR="00376132" w:rsidRPr="00882087">
        <w:rPr>
          <w:rFonts w:ascii="Times New Roman" w:eastAsia="Times New Roman" w:hAnsi="Times New Roman" w:cs="Times New Roman"/>
          <w:color w:val="000000"/>
          <w:spacing w:val="-15"/>
          <w:sz w:val="24"/>
          <w:szCs w:val="24"/>
          <w:lang w:eastAsia="sk-SK"/>
        </w:rPr>
        <w:t xml:space="preserve">v platnom znení </w:t>
      </w:r>
      <w:r w:rsidRPr="00882087">
        <w:rPr>
          <w:rFonts w:ascii="Times New Roman" w:eastAsia="Times New Roman" w:hAnsi="Times New Roman" w:cs="Times New Roman"/>
          <w:color w:val="000000"/>
          <w:sz w:val="24"/>
          <w:szCs w:val="24"/>
          <w:lang w:eastAsia="sk-SK"/>
        </w:rPr>
        <w:t>bola</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prebratá</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do</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zákona</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č.</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371/2014</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pacing w:val="-15"/>
          <w:sz w:val="24"/>
          <w:szCs w:val="24"/>
          <w:lang w:eastAsia="sk-SK"/>
        </w:rPr>
        <w:t> </w:t>
      </w:r>
      <w:r w:rsidRPr="00882087">
        <w:rPr>
          <w:rFonts w:ascii="Times New Roman" w:eastAsia="Times New Roman" w:hAnsi="Times New Roman" w:cs="Times New Roman"/>
          <w:color w:val="000000"/>
          <w:sz w:val="24"/>
          <w:szCs w:val="24"/>
          <w:lang w:eastAsia="sk-SK"/>
        </w:rPr>
        <w:t>riešení</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krízových</w:t>
      </w:r>
      <w:r w:rsidRPr="00882087">
        <w:rPr>
          <w:rFonts w:ascii="Times New Roman" w:eastAsia="Times New Roman" w:hAnsi="Times New Roman" w:cs="Times New Roman"/>
          <w:color w:val="000000"/>
          <w:spacing w:val="-15"/>
          <w:sz w:val="24"/>
          <w:szCs w:val="24"/>
          <w:lang w:eastAsia="sk-SK"/>
        </w:rPr>
        <w:t xml:space="preserve"> </w:t>
      </w:r>
      <w:r w:rsidRPr="00882087">
        <w:rPr>
          <w:rFonts w:ascii="Times New Roman" w:eastAsia="Times New Roman" w:hAnsi="Times New Roman" w:cs="Times New Roman"/>
          <w:color w:val="000000"/>
          <w:sz w:val="24"/>
          <w:szCs w:val="24"/>
          <w:lang w:eastAsia="sk-SK"/>
        </w:rPr>
        <w:t>situácií na</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finančnom</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trhu</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zmene</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doplnení</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niektorých</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zákonov</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v</w:t>
      </w:r>
      <w:r w:rsidR="00112163" w:rsidRPr="00882087">
        <w:rPr>
          <w:rFonts w:ascii="Times New Roman" w:eastAsia="Times New Roman" w:hAnsi="Times New Roman" w:cs="Times New Roman"/>
          <w:color w:val="000000"/>
          <w:spacing w:val="-6"/>
          <w:sz w:val="24"/>
          <w:szCs w:val="24"/>
          <w:lang w:eastAsia="sk-SK"/>
        </w:rPr>
        <w:t> </w:t>
      </w:r>
      <w:r w:rsidRPr="00882087">
        <w:rPr>
          <w:rFonts w:ascii="Times New Roman" w:eastAsia="Times New Roman" w:hAnsi="Times New Roman" w:cs="Times New Roman"/>
          <w:color w:val="000000"/>
          <w:sz w:val="24"/>
          <w:szCs w:val="24"/>
          <w:lang w:eastAsia="sk-SK"/>
        </w:rPr>
        <w:t>znení</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neskorších</w:t>
      </w:r>
      <w:r w:rsidRPr="00882087">
        <w:rPr>
          <w:rFonts w:ascii="Times New Roman" w:eastAsia="Times New Roman" w:hAnsi="Times New Roman" w:cs="Times New Roman"/>
          <w:color w:val="000000"/>
          <w:spacing w:val="-6"/>
          <w:sz w:val="24"/>
          <w:szCs w:val="24"/>
          <w:lang w:eastAsia="sk-SK"/>
        </w:rPr>
        <w:t xml:space="preserve"> </w:t>
      </w:r>
      <w:r w:rsidRPr="00882087">
        <w:rPr>
          <w:rFonts w:ascii="Times New Roman" w:eastAsia="Times New Roman" w:hAnsi="Times New Roman" w:cs="Times New Roman"/>
          <w:color w:val="000000"/>
          <w:sz w:val="24"/>
          <w:szCs w:val="24"/>
          <w:lang w:eastAsia="sk-SK"/>
        </w:rPr>
        <w:t>predpisov, do</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zákona</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č.</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483/2001</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pacing w:val="4"/>
          <w:sz w:val="24"/>
          <w:szCs w:val="24"/>
          <w:lang w:eastAsia="sk-SK"/>
        </w:rPr>
        <w:t> </w:t>
      </w:r>
      <w:r w:rsidRPr="00882087">
        <w:rPr>
          <w:rFonts w:ascii="Times New Roman" w:eastAsia="Times New Roman" w:hAnsi="Times New Roman" w:cs="Times New Roman"/>
          <w:color w:val="000000"/>
          <w:sz w:val="24"/>
          <w:szCs w:val="24"/>
          <w:lang w:eastAsia="sk-SK"/>
        </w:rPr>
        <w:t>bankách</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pacing w:val="4"/>
          <w:sz w:val="24"/>
          <w:szCs w:val="24"/>
          <w:lang w:eastAsia="sk-SK"/>
        </w:rPr>
        <w:t>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z w:val="24"/>
          <w:szCs w:val="24"/>
          <w:lang w:eastAsia="sk-SK"/>
        </w:rPr>
        <w:t xml:space="preserve"> zm</w:t>
      </w:r>
      <w:r w:rsidRPr="00882087">
        <w:rPr>
          <w:rFonts w:ascii="Times New Roman" w:eastAsia="Times New Roman" w:hAnsi="Times New Roman" w:cs="Times New Roman"/>
          <w:color w:val="000000"/>
          <w:sz w:val="24"/>
          <w:szCs w:val="24"/>
          <w:lang w:eastAsia="sk-SK"/>
        </w:rPr>
        <w:t>ene a</w:t>
      </w:r>
      <w:r w:rsidR="00112163" w:rsidRPr="00882087">
        <w:rPr>
          <w:rFonts w:ascii="Times New Roman" w:eastAsia="Times New Roman" w:hAnsi="Times New Roman" w:cs="Times New Roman"/>
          <w:color w:val="000000"/>
          <w:spacing w:val="4"/>
          <w:sz w:val="24"/>
          <w:szCs w:val="24"/>
          <w:lang w:eastAsia="sk-SK"/>
        </w:rPr>
        <w:t> </w:t>
      </w:r>
      <w:r w:rsidRPr="00882087">
        <w:rPr>
          <w:rFonts w:ascii="Times New Roman" w:eastAsia="Times New Roman" w:hAnsi="Times New Roman" w:cs="Times New Roman"/>
          <w:color w:val="000000"/>
          <w:sz w:val="24"/>
          <w:szCs w:val="24"/>
          <w:lang w:eastAsia="sk-SK"/>
        </w:rPr>
        <w:t>doplnení</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niektorých</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zákonov</w:t>
      </w:r>
      <w:r w:rsidRPr="00882087">
        <w:rPr>
          <w:rFonts w:ascii="Times New Roman" w:eastAsia="Times New Roman" w:hAnsi="Times New Roman" w:cs="Times New Roman"/>
          <w:color w:val="000000"/>
          <w:spacing w:val="4"/>
          <w:sz w:val="24"/>
          <w:szCs w:val="24"/>
          <w:lang w:eastAsia="sk-SK"/>
        </w:rPr>
        <w:t xml:space="preserve"> </w:t>
      </w:r>
      <w:r w:rsidRPr="00882087">
        <w:rPr>
          <w:rFonts w:ascii="Times New Roman" w:eastAsia="Times New Roman" w:hAnsi="Times New Roman" w:cs="Times New Roman"/>
          <w:color w:val="000000"/>
          <w:sz w:val="24"/>
          <w:szCs w:val="24"/>
          <w:lang w:eastAsia="sk-SK"/>
        </w:rPr>
        <w:t>v</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znení neskorších</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predpisov, do</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zákona</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č.</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566/2001</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pacing w:val="31"/>
          <w:sz w:val="24"/>
          <w:szCs w:val="24"/>
          <w:lang w:eastAsia="sk-SK"/>
        </w:rPr>
        <w:t> </w:t>
      </w:r>
      <w:r w:rsidRPr="00882087">
        <w:rPr>
          <w:rFonts w:ascii="Times New Roman" w:eastAsia="Times New Roman" w:hAnsi="Times New Roman" w:cs="Times New Roman"/>
          <w:color w:val="000000"/>
          <w:sz w:val="24"/>
          <w:szCs w:val="24"/>
          <w:lang w:eastAsia="sk-SK"/>
        </w:rPr>
        <w:t>cenných</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papieroch</w:t>
      </w:r>
      <w:r w:rsidRPr="00882087">
        <w:rPr>
          <w:rFonts w:ascii="Times New Roman" w:eastAsia="Times New Roman" w:hAnsi="Times New Roman" w:cs="Times New Roman"/>
          <w:color w:val="000000"/>
          <w:spacing w:val="31"/>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pacing w:val="31"/>
          <w:sz w:val="24"/>
          <w:szCs w:val="24"/>
          <w:lang w:eastAsia="sk-SK"/>
        </w:rPr>
        <w:t> </w:t>
      </w:r>
      <w:r w:rsidRPr="00882087">
        <w:rPr>
          <w:rFonts w:ascii="Times New Roman" w:eastAsia="Times New Roman" w:hAnsi="Times New Roman" w:cs="Times New Roman"/>
          <w:color w:val="000000"/>
          <w:sz w:val="24"/>
          <w:szCs w:val="24"/>
          <w:lang w:eastAsia="sk-SK"/>
        </w:rPr>
        <w:t>investičných službách</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pacing w:val="12"/>
          <w:sz w:val="24"/>
          <w:szCs w:val="24"/>
          <w:lang w:eastAsia="sk-SK"/>
        </w:rPr>
        <w:t>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zmene</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pacing w:val="12"/>
          <w:sz w:val="24"/>
          <w:szCs w:val="24"/>
          <w:lang w:eastAsia="sk-SK"/>
        </w:rPr>
        <w:t> </w:t>
      </w:r>
      <w:r w:rsidRPr="00882087">
        <w:rPr>
          <w:rFonts w:ascii="Times New Roman" w:eastAsia="Times New Roman" w:hAnsi="Times New Roman" w:cs="Times New Roman"/>
          <w:color w:val="000000"/>
          <w:sz w:val="24"/>
          <w:szCs w:val="24"/>
          <w:lang w:eastAsia="sk-SK"/>
        </w:rPr>
        <w:t>doplnení</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niektorých</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zákonov</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(zákon</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pacing w:val="12"/>
          <w:sz w:val="24"/>
          <w:szCs w:val="24"/>
          <w:lang w:eastAsia="sk-SK"/>
        </w:rPr>
        <w:t> </w:t>
      </w:r>
      <w:r w:rsidRPr="00882087">
        <w:rPr>
          <w:rFonts w:ascii="Times New Roman" w:eastAsia="Times New Roman" w:hAnsi="Times New Roman" w:cs="Times New Roman"/>
          <w:color w:val="000000"/>
          <w:sz w:val="24"/>
          <w:szCs w:val="24"/>
          <w:lang w:eastAsia="sk-SK"/>
        </w:rPr>
        <w:t>cenných</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papieroch)</w:t>
      </w:r>
      <w:r w:rsidRPr="00882087">
        <w:rPr>
          <w:rFonts w:ascii="Times New Roman" w:eastAsia="Times New Roman" w:hAnsi="Times New Roman" w:cs="Times New Roman"/>
          <w:color w:val="000000"/>
          <w:spacing w:val="12"/>
          <w:sz w:val="24"/>
          <w:szCs w:val="24"/>
          <w:lang w:eastAsia="sk-SK"/>
        </w:rPr>
        <w:t xml:space="preserve"> </w:t>
      </w:r>
      <w:r w:rsidRPr="00882087">
        <w:rPr>
          <w:rFonts w:ascii="Times New Roman" w:eastAsia="Times New Roman" w:hAnsi="Times New Roman" w:cs="Times New Roman"/>
          <w:color w:val="000000"/>
          <w:sz w:val="24"/>
          <w:szCs w:val="24"/>
          <w:lang w:eastAsia="sk-SK"/>
        </w:rPr>
        <w:t>v</w:t>
      </w:r>
      <w:r w:rsidR="00112163" w:rsidRPr="00882087">
        <w:rPr>
          <w:rFonts w:ascii="Times New Roman" w:eastAsia="Times New Roman" w:hAnsi="Times New Roman" w:cs="Times New Roman"/>
          <w:color w:val="000000"/>
          <w:spacing w:val="12"/>
          <w:sz w:val="24"/>
          <w:szCs w:val="24"/>
          <w:lang w:eastAsia="sk-SK"/>
        </w:rPr>
        <w:t> </w:t>
      </w:r>
      <w:r w:rsidRPr="00882087">
        <w:rPr>
          <w:rFonts w:ascii="Times New Roman" w:eastAsia="Times New Roman" w:hAnsi="Times New Roman" w:cs="Times New Roman"/>
          <w:color w:val="000000"/>
          <w:sz w:val="24"/>
          <w:szCs w:val="24"/>
          <w:lang w:eastAsia="sk-SK"/>
        </w:rPr>
        <w:t>znení neskorších</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predpisov,</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do</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zákona</w:t>
      </w:r>
      <w:r w:rsidRPr="00882087">
        <w:rPr>
          <w:rFonts w:ascii="Times New Roman" w:eastAsia="Times New Roman" w:hAnsi="Times New Roman" w:cs="Times New Roman"/>
          <w:color w:val="000000"/>
          <w:spacing w:val="3"/>
          <w:sz w:val="24"/>
          <w:szCs w:val="24"/>
          <w:lang w:eastAsia="sk-SK"/>
        </w:rPr>
        <w:t xml:space="preserve"> </w:t>
      </w:r>
      <w:r w:rsidR="003E1F36" w:rsidRPr="00882087">
        <w:rPr>
          <w:rFonts w:ascii="Times New Roman" w:hAnsi="Times New Roman" w:cs="Times New Roman"/>
          <w:sz w:val="24"/>
          <w:szCs w:val="24"/>
        </w:rPr>
        <w:t xml:space="preserve">Národnej rady Slovenskej republiky </w:t>
      </w:r>
      <w:r w:rsidRPr="00882087">
        <w:rPr>
          <w:rFonts w:ascii="Times New Roman" w:eastAsia="Times New Roman" w:hAnsi="Times New Roman" w:cs="Times New Roman"/>
          <w:color w:val="000000"/>
          <w:sz w:val="24"/>
          <w:szCs w:val="24"/>
          <w:lang w:eastAsia="sk-SK"/>
        </w:rPr>
        <w:t>č.</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118/1996</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pacing w:val="3"/>
          <w:sz w:val="24"/>
          <w:szCs w:val="24"/>
          <w:lang w:eastAsia="sk-SK"/>
        </w:rPr>
        <w:t> </w:t>
      </w:r>
      <w:r w:rsidRPr="00882087">
        <w:rPr>
          <w:rFonts w:ascii="Times New Roman" w:eastAsia="Times New Roman" w:hAnsi="Times New Roman" w:cs="Times New Roman"/>
          <w:color w:val="000000"/>
          <w:sz w:val="24"/>
          <w:szCs w:val="24"/>
          <w:lang w:eastAsia="sk-SK"/>
        </w:rPr>
        <w:t>ochrane</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vkladov</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pacing w:val="3"/>
          <w:sz w:val="24"/>
          <w:szCs w:val="24"/>
          <w:lang w:eastAsia="sk-SK"/>
        </w:rPr>
        <w:t> </w:t>
      </w:r>
      <w:r w:rsidRPr="00882087">
        <w:rPr>
          <w:rFonts w:ascii="Times New Roman" w:eastAsia="Times New Roman" w:hAnsi="Times New Roman" w:cs="Times New Roman"/>
          <w:color w:val="000000"/>
          <w:sz w:val="24"/>
          <w:szCs w:val="24"/>
          <w:lang w:eastAsia="sk-SK"/>
        </w:rPr>
        <w:t>zmene</w:t>
      </w:r>
      <w:r w:rsidRPr="00882087">
        <w:rPr>
          <w:rFonts w:ascii="Times New Roman" w:eastAsia="Times New Roman" w:hAnsi="Times New Roman" w:cs="Times New Roman"/>
          <w:color w:val="000000"/>
          <w:spacing w:val="3"/>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doplnení</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niektorých</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zákonov</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v</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znení</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neskorších</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predpisov</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do</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zákona</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č.</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747/2004</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Z.</w:t>
      </w:r>
      <w:r w:rsidRPr="00882087">
        <w:rPr>
          <w:rFonts w:ascii="Times New Roman" w:eastAsia="Times New Roman" w:hAnsi="Times New Roman" w:cs="Times New Roman"/>
          <w:color w:val="000000"/>
          <w:spacing w:val="9"/>
          <w:sz w:val="24"/>
          <w:szCs w:val="24"/>
          <w:lang w:eastAsia="sk-SK"/>
        </w:rPr>
        <w:t xml:space="preserve"> </w:t>
      </w:r>
      <w:r w:rsidRPr="00882087">
        <w:rPr>
          <w:rFonts w:ascii="Times New Roman" w:eastAsia="Times New Roman" w:hAnsi="Times New Roman" w:cs="Times New Roman"/>
          <w:color w:val="000000"/>
          <w:sz w:val="24"/>
          <w:szCs w:val="24"/>
          <w:lang w:eastAsia="sk-SK"/>
        </w:rPr>
        <w:t>z. o</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dohľade</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nad</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finančným</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trhom</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o</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zmene</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a</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doplnení</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niektorých</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zákonov</w:t>
      </w:r>
      <w:r w:rsidRPr="00882087">
        <w:rPr>
          <w:rFonts w:ascii="Times New Roman" w:eastAsia="Times New Roman" w:hAnsi="Times New Roman" w:cs="Times New Roman"/>
          <w:color w:val="000000"/>
          <w:spacing w:val="91"/>
          <w:sz w:val="24"/>
          <w:szCs w:val="24"/>
          <w:lang w:eastAsia="sk-SK"/>
        </w:rPr>
        <w:t xml:space="preserve"> </w:t>
      </w:r>
      <w:r w:rsidRPr="00882087">
        <w:rPr>
          <w:rFonts w:ascii="Times New Roman" w:eastAsia="Times New Roman" w:hAnsi="Times New Roman" w:cs="Times New Roman"/>
          <w:color w:val="000000"/>
          <w:sz w:val="24"/>
          <w:szCs w:val="24"/>
          <w:lang w:eastAsia="sk-SK"/>
        </w:rPr>
        <w:t>v</w:t>
      </w:r>
      <w:r w:rsidR="00112163" w:rsidRPr="00882087">
        <w:rPr>
          <w:rFonts w:ascii="Times New Roman" w:eastAsia="Times New Roman" w:hAnsi="Times New Roman" w:cs="Times New Roman"/>
          <w:color w:val="000000"/>
          <w:sz w:val="24"/>
          <w:szCs w:val="24"/>
          <w:lang w:eastAsia="sk-SK"/>
        </w:rPr>
        <w:t> </w:t>
      </w:r>
      <w:r w:rsidRPr="00882087">
        <w:rPr>
          <w:rFonts w:ascii="Times New Roman" w:eastAsia="Times New Roman" w:hAnsi="Times New Roman" w:cs="Times New Roman"/>
          <w:color w:val="000000"/>
          <w:sz w:val="24"/>
          <w:szCs w:val="24"/>
          <w:lang w:eastAsia="sk-SK"/>
        </w:rPr>
        <w:t>znení neskorších predpisov.</w:t>
      </w:r>
    </w:p>
    <w:p w14:paraId="5B53F189" w14:textId="189F5340" w:rsidR="00A91E3D" w:rsidRPr="00882087" w:rsidRDefault="00A91E3D" w:rsidP="000F37F8">
      <w:pPr>
        <w:pStyle w:val="Odsekzoznamu"/>
        <w:spacing w:after="0" w:line="240" w:lineRule="auto"/>
        <w:jc w:val="both"/>
        <w:rPr>
          <w:rFonts w:ascii="Times New Roman" w:eastAsia="Times New Roman" w:hAnsi="Times New Roman" w:cs="Times New Roman"/>
          <w:color w:val="000000"/>
          <w:sz w:val="27"/>
          <w:szCs w:val="27"/>
          <w:lang w:eastAsia="sk-SK"/>
        </w:rPr>
      </w:pPr>
    </w:p>
    <w:p w14:paraId="535786AA" w14:textId="585AC0F1" w:rsidR="00A91E3D" w:rsidRPr="00882087" w:rsidRDefault="00A91E3D" w:rsidP="00A91E3D">
      <w:pPr>
        <w:pStyle w:val="Odsekzoznamu"/>
        <w:spacing w:after="0" w:line="240" w:lineRule="auto"/>
        <w:jc w:val="both"/>
        <w:rPr>
          <w:rFonts w:ascii="Times New Roman" w:hAnsi="Times New Roman" w:cs="Times New Roman"/>
          <w:bCs/>
          <w:sz w:val="24"/>
          <w:szCs w:val="24"/>
          <w:shd w:val="clear" w:color="auto" w:fill="FFFFFF"/>
        </w:rPr>
      </w:pPr>
      <w:r w:rsidRPr="00882087">
        <w:rPr>
          <w:rFonts w:ascii="Times New Roman" w:hAnsi="Times New Roman" w:cs="Times New Roman"/>
          <w:sz w:val="24"/>
          <w:szCs w:val="24"/>
          <w:lang w:eastAsia="cs-CZ"/>
        </w:rPr>
        <w:t xml:space="preserve">Smernica </w:t>
      </w:r>
      <w:r w:rsidRPr="00882087">
        <w:rPr>
          <w:rFonts w:ascii="Times New Roman" w:hAnsi="Times New Roman" w:cs="Times New Roman"/>
          <w:sz w:val="24"/>
          <w:szCs w:val="24"/>
          <w:u w:val="single"/>
          <w:lang w:eastAsia="cs-CZ"/>
        </w:rPr>
        <w:t>2011/61/EÚ</w:t>
      </w:r>
      <w:r w:rsidRPr="00882087">
        <w:rPr>
          <w:rFonts w:ascii="Times New Roman" w:hAnsi="Times New Roman" w:cs="Times New Roman"/>
          <w:sz w:val="24"/>
          <w:szCs w:val="24"/>
          <w:lang w:eastAsia="cs-CZ"/>
        </w:rPr>
        <w:t xml:space="preserve"> </w:t>
      </w:r>
      <w:r w:rsidR="00376132" w:rsidRPr="00882087">
        <w:rPr>
          <w:rFonts w:ascii="Times New Roman" w:hAnsi="Times New Roman" w:cs="Times New Roman"/>
          <w:sz w:val="24"/>
          <w:szCs w:val="24"/>
          <w:lang w:eastAsia="cs-CZ"/>
        </w:rPr>
        <w:t xml:space="preserve">v platnom znení </w:t>
      </w:r>
      <w:r w:rsidRPr="00882087">
        <w:rPr>
          <w:rFonts w:ascii="Times New Roman" w:hAnsi="Times New Roman" w:cs="Times New Roman"/>
          <w:sz w:val="24"/>
          <w:szCs w:val="24"/>
          <w:lang w:eastAsia="cs-CZ"/>
        </w:rPr>
        <w:t xml:space="preserve">bola prebratá </w:t>
      </w:r>
      <w:r w:rsidRPr="00882087">
        <w:rPr>
          <w:rFonts w:ascii="Times New Roman" w:hAnsi="Times New Roman" w:cs="Times New Roman"/>
          <w:sz w:val="24"/>
          <w:szCs w:val="24"/>
        </w:rPr>
        <w:t>do zákona č. 203/2011 Z.</w:t>
      </w:r>
      <w:r w:rsidR="000F37F8" w:rsidRPr="00882087">
        <w:rPr>
          <w:rFonts w:ascii="Times New Roman" w:hAnsi="Times New Roman" w:cs="Times New Roman"/>
          <w:sz w:val="24"/>
          <w:szCs w:val="24"/>
        </w:rPr>
        <w:t xml:space="preserve"> </w:t>
      </w:r>
      <w:r w:rsidRPr="00882087">
        <w:rPr>
          <w:rFonts w:ascii="Times New Roman" w:hAnsi="Times New Roman" w:cs="Times New Roman"/>
          <w:sz w:val="24"/>
          <w:szCs w:val="24"/>
        </w:rPr>
        <w:t xml:space="preserve">z. o kolektívnom investovaní </w:t>
      </w:r>
      <w:r w:rsidRPr="00882087">
        <w:rPr>
          <w:rFonts w:ascii="Times New Roman" w:hAnsi="Times New Roman" w:cs="Times New Roman"/>
          <w:sz w:val="24"/>
          <w:szCs w:val="24"/>
          <w:lang w:eastAsia="cs-CZ"/>
        </w:rPr>
        <w:t>v znení neskorších predpisov,</w:t>
      </w:r>
      <w:r w:rsidRPr="00882087">
        <w:rPr>
          <w:rFonts w:ascii="Times New Roman" w:hAnsi="Times New Roman" w:cs="Times New Roman"/>
          <w:sz w:val="24"/>
          <w:szCs w:val="24"/>
        </w:rPr>
        <w:t xml:space="preserve"> do zákona č.</w:t>
      </w:r>
      <w:r w:rsidRPr="00882087">
        <w:rPr>
          <w:rFonts w:ascii="Times New Roman" w:hAnsi="Times New Roman" w:cs="Times New Roman"/>
          <w:sz w:val="24"/>
          <w:szCs w:val="24"/>
          <w:lang w:eastAsia="cs-CZ"/>
        </w:rPr>
        <w:t xml:space="preserve"> 566/2001 Z.</w:t>
      </w:r>
      <w:r w:rsidR="000F37F8" w:rsidRPr="00882087">
        <w:rPr>
          <w:rFonts w:ascii="Times New Roman" w:hAnsi="Times New Roman" w:cs="Times New Roman"/>
          <w:sz w:val="24"/>
          <w:szCs w:val="24"/>
          <w:lang w:eastAsia="cs-CZ"/>
        </w:rPr>
        <w:t xml:space="preserve"> </w:t>
      </w:r>
      <w:r w:rsidRPr="00882087">
        <w:rPr>
          <w:rFonts w:ascii="Times New Roman" w:hAnsi="Times New Roman" w:cs="Times New Roman"/>
          <w:sz w:val="24"/>
          <w:szCs w:val="24"/>
          <w:lang w:eastAsia="cs-CZ"/>
        </w:rPr>
        <w:t>z. o cenných papieroch a investičných službách a o zmene a doplnení niektorých zákonov (zákon o cenných papieroch) v znení neskorších predpisov, do zákona č. 747/2004 Z.</w:t>
      </w:r>
      <w:r w:rsidR="000F37F8" w:rsidRPr="00882087">
        <w:rPr>
          <w:rFonts w:ascii="Times New Roman" w:hAnsi="Times New Roman" w:cs="Times New Roman"/>
          <w:sz w:val="24"/>
          <w:szCs w:val="24"/>
          <w:lang w:eastAsia="cs-CZ"/>
        </w:rPr>
        <w:t xml:space="preserve"> </w:t>
      </w:r>
      <w:r w:rsidRPr="00882087">
        <w:rPr>
          <w:rFonts w:ascii="Times New Roman" w:hAnsi="Times New Roman" w:cs="Times New Roman"/>
          <w:sz w:val="24"/>
          <w:szCs w:val="24"/>
          <w:lang w:eastAsia="cs-CZ"/>
        </w:rPr>
        <w:t>z. o dohľade nad finančným trhom a o zmene niektorých zákonov v znení neskorších predpisov, do zákona č</w:t>
      </w:r>
      <w:r w:rsidRPr="00882087">
        <w:rPr>
          <w:rFonts w:ascii="Times New Roman" w:hAnsi="Times New Roman" w:cs="Times New Roman"/>
          <w:sz w:val="24"/>
          <w:szCs w:val="24"/>
        </w:rPr>
        <w:t xml:space="preserve">. 429/2002 Z. z. o burze cenných papierov v znení neskorších predpisov, </w:t>
      </w:r>
      <w:r w:rsidRPr="00882087">
        <w:rPr>
          <w:rFonts w:ascii="Times New Roman" w:hAnsi="Times New Roman" w:cs="Times New Roman"/>
          <w:sz w:val="24"/>
          <w:szCs w:val="24"/>
          <w:lang w:eastAsia="cs-CZ"/>
        </w:rPr>
        <w:t>do zákona č</w:t>
      </w:r>
      <w:r w:rsidRPr="00882087">
        <w:rPr>
          <w:rFonts w:ascii="Times New Roman" w:hAnsi="Times New Roman" w:cs="Times New Roman"/>
          <w:sz w:val="24"/>
          <w:szCs w:val="24"/>
        </w:rPr>
        <w:t xml:space="preserve">. 311/2001 Z. z. Zákonník práce v znení neskorších predpisov, </w:t>
      </w:r>
      <w:r w:rsidRPr="00882087">
        <w:rPr>
          <w:rFonts w:ascii="Times New Roman" w:hAnsi="Times New Roman" w:cs="Times New Roman"/>
          <w:sz w:val="24"/>
          <w:szCs w:val="24"/>
          <w:lang w:eastAsia="cs-CZ"/>
        </w:rPr>
        <w:t>do zákona č</w:t>
      </w:r>
      <w:r w:rsidRPr="00882087">
        <w:rPr>
          <w:rFonts w:ascii="Times New Roman" w:hAnsi="Times New Roman" w:cs="Times New Roman"/>
          <w:sz w:val="24"/>
          <w:szCs w:val="24"/>
        </w:rPr>
        <w:t xml:space="preserve">. 650/2004 Z. z. o doplnkovom dôchodkovom sporení a o zmene a doplnení niektorých zákonov v znení neskorších predpisov, do zákona č. 206/2013 Z. z, </w:t>
      </w:r>
      <w:r w:rsidRPr="00882087">
        <w:rPr>
          <w:rFonts w:ascii="Times New Roman" w:hAnsi="Times New Roman" w:cs="Times New Roman"/>
          <w:bCs/>
          <w:color w:val="000000"/>
          <w:sz w:val="24"/>
          <w:szCs w:val="24"/>
          <w:shd w:val="clear" w:color="auto" w:fill="FFFFFF"/>
        </w:rPr>
        <w:t>ktorým sa mení a dopĺňa zákon č. 203/2011 Z. z. o kolektívno</w:t>
      </w:r>
      <w:r w:rsidR="000F37F8" w:rsidRPr="00882087">
        <w:rPr>
          <w:rFonts w:ascii="Times New Roman" w:hAnsi="Times New Roman" w:cs="Times New Roman"/>
          <w:bCs/>
          <w:color w:val="000000"/>
          <w:sz w:val="24"/>
          <w:szCs w:val="24"/>
          <w:shd w:val="clear" w:color="auto" w:fill="FFFFFF"/>
        </w:rPr>
        <w:t>m investovaní v znení zákona č. </w:t>
      </w:r>
      <w:r w:rsidRPr="00882087">
        <w:rPr>
          <w:rFonts w:ascii="Times New Roman" w:hAnsi="Times New Roman" w:cs="Times New Roman"/>
          <w:bCs/>
          <w:color w:val="000000"/>
          <w:sz w:val="24"/>
          <w:szCs w:val="24"/>
          <w:shd w:val="clear" w:color="auto" w:fill="FFFFFF"/>
        </w:rPr>
        <w:t>547/2011 Z. z. a ktorým sa menia a dopĺňajú</w:t>
      </w:r>
      <w:r w:rsidR="000F37F8" w:rsidRPr="00882087">
        <w:rPr>
          <w:rFonts w:ascii="Times New Roman" w:hAnsi="Times New Roman" w:cs="Times New Roman"/>
          <w:bCs/>
          <w:color w:val="000000"/>
          <w:sz w:val="24"/>
          <w:szCs w:val="24"/>
          <w:shd w:val="clear" w:color="auto" w:fill="FFFFFF"/>
        </w:rPr>
        <w:t xml:space="preserve"> niektoré zákony a do zákona č. </w:t>
      </w:r>
      <w:r w:rsidRPr="00882087">
        <w:rPr>
          <w:rFonts w:ascii="Times New Roman" w:hAnsi="Times New Roman" w:cs="Times New Roman"/>
          <w:bCs/>
          <w:color w:val="000000"/>
          <w:sz w:val="24"/>
          <w:szCs w:val="24"/>
          <w:shd w:val="clear" w:color="auto" w:fill="FFFFFF"/>
        </w:rPr>
        <w:t>318/2013 Z.</w:t>
      </w:r>
      <w:r w:rsidR="000F37F8" w:rsidRPr="00882087">
        <w:rPr>
          <w:rFonts w:ascii="Times New Roman" w:hAnsi="Times New Roman" w:cs="Times New Roman"/>
          <w:bCs/>
          <w:color w:val="000000"/>
          <w:sz w:val="24"/>
          <w:szCs w:val="24"/>
          <w:shd w:val="clear" w:color="auto" w:fill="FFFFFF"/>
        </w:rPr>
        <w:t xml:space="preserve"> </w:t>
      </w:r>
      <w:r w:rsidRPr="00882087">
        <w:rPr>
          <w:rFonts w:ascii="Times New Roman" w:hAnsi="Times New Roman" w:cs="Times New Roman"/>
          <w:bCs/>
          <w:color w:val="000000"/>
          <w:sz w:val="24"/>
          <w:szCs w:val="24"/>
          <w:shd w:val="clear" w:color="auto" w:fill="FFFFFF"/>
        </w:rPr>
        <w:t xml:space="preserve">z., </w:t>
      </w:r>
      <w:r w:rsidRPr="00882087">
        <w:rPr>
          <w:rFonts w:ascii="Times New Roman" w:hAnsi="Times New Roman" w:cs="Times New Roman"/>
          <w:bCs/>
          <w:sz w:val="24"/>
          <w:szCs w:val="24"/>
          <w:shd w:val="clear" w:color="auto" w:fill="FFFFFF"/>
        </w:rPr>
        <w:t>ktorým sa mení a dopĺňa zákon č. </w:t>
      </w:r>
      <w:hyperlink r:id="rId8" w:tooltip="Odkaz na predpis alebo ustanovenie" w:history="1">
        <w:r w:rsidRPr="00882087">
          <w:rPr>
            <w:rStyle w:val="Hypertextovprepojenie"/>
            <w:rFonts w:ascii="Times New Roman" w:hAnsi="Times New Roman" w:cs="Times New Roman"/>
            <w:bCs/>
            <w:iCs/>
            <w:color w:val="auto"/>
            <w:sz w:val="24"/>
            <w:szCs w:val="24"/>
            <w:u w:val="none"/>
            <w:shd w:val="clear" w:color="auto" w:fill="FFFFFF"/>
          </w:rPr>
          <w:t>650/2004 Z. z.</w:t>
        </w:r>
      </w:hyperlink>
      <w:r w:rsidRPr="00882087">
        <w:rPr>
          <w:rFonts w:ascii="Times New Roman" w:hAnsi="Times New Roman" w:cs="Times New Roman"/>
          <w:bCs/>
          <w:sz w:val="24"/>
          <w:szCs w:val="24"/>
          <w:shd w:val="clear" w:color="auto" w:fill="FFFFFF"/>
        </w:rPr>
        <w:t> o doplnkovom dôchodkovom sporení a o zmene a doplnení niektorých zákonov v znení neskorších predpisov a ktorým sa mení a dopĺňa zákon č. 595/2003 Z. z. o dani z príjmov v znení neskorších predpisov.</w:t>
      </w:r>
    </w:p>
    <w:p w14:paraId="5FD615FA" w14:textId="77777777" w:rsidR="00A91E3D" w:rsidRPr="00882087" w:rsidRDefault="00A91E3D" w:rsidP="00A91E3D">
      <w:pPr>
        <w:pStyle w:val="Odsekzoznamu"/>
        <w:spacing w:after="0" w:line="240" w:lineRule="auto"/>
        <w:jc w:val="both"/>
        <w:rPr>
          <w:rFonts w:ascii="Times New Roman" w:hAnsi="Times New Roman" w:cs="Times New Roman"/>
          <w:sz w:val="24"/>
          <w:szCs w:val="24"/>
          <w:lang w:eastAsia="sk-SK"/>
        </w:rPr>
      </w:pPr>
    </w:p>
    <w:p w14:paraId="3315F914" w14:textId="2BEB81EB" w:rsidR="00A91E3D" w:rsidRPr="00882087" w:rsidRDefault="00A91E3D" w:rsidP="00A91E3D">
      <w:pPr>
        <w:pStyle w:val="Odsekzoznamu"/>
        <w:spacing w:after="0" w:line="240" w:lineRule="auto"/>
        <w:jc w:val="both"/>
        <w:rPr>
          <w:rFonts w:ascii="Times New Roman" w:hAnsi="Times New Roman" w:cs="Times New Roman"/>
          <w:bCs/>
          <w:sz w:val="24"/>
          <w:szCs w:val="24"/>
          <w:shd w:val="clear" w:color="auto" w:fill="FFFFFF"/>
        </w:rPr>
      </w:pPr>
      <w:r w:rsidRPr="00882087">
        <w:rPr>
          <w:rFonts w:ascii="Times New Roman" w:hAnsi="Times New Roman" w:cs="Times New Roman"/>
          <w:sz w:val="24"/>
          <w:szCs w:val="24"/>
          <w:lang w:eastAsia="cs-CZ"/>
        </w:rPr>
        <w:t xml:space="preserve">Smernica </w:t>
      </w:r>
      <w:r w:rsidRPr="00882087">
        <w:rPr>
          <w:rFonts w:ascii="Times New Roman" w:hAnsi="Times New Roman" w:cs="Times New Roman"/>
          <w:sz w:val="24"/>
          <w:szCs w:val="24"/>
          <w:u w:val="single"/>
          <w:lang w:eastAsia="cs-CZ"/>
        </w:rPr>
        <w:t>2009/65/ES</w:t>
      </w:r>
      <w:r w:rsidRPr="00882087">
        <w:rPr>
          <w:rFonts w:ascii="Times New Roman" w:hAnsi="Times New Roman" w:cs="Times New Roman"/>
          <w:sz w:val="24"/>
          <w:szCs w:val="24"/>
          <w:lang w:eastAsia="cs-CZ"/>
        </w:rPr>
        <w:t xml:space="preserve"> </w:t>
      </w:r>
      <w:r w:rsidR="00376132" w:rsidRPr="00882087">
        <w:rPr>
          <w:rFonts w:ascii="Times New Roman" w:hAnsi="Times New Roman" w:cs="Times New Roman"/>
          <w:sz w:val="24"/>
          <w:szCs w:val="24"/>
          <w:lang w:eastAsia="cs-CZ"/>
        </w:rPr>
        <w:t xml:space="preserve">v platnom znení </w:t>
      </w:r>
      <w:r w:rsidRPr="00882087">
        <w:rPr>
          <w:rFonts w:ascii="Times New Roman" w:hAnsi="Times New Roman" w:cs="Times New Roman"/>
          <w:sz w:val="24"/>
          <w:szCs w:val="24"/>
          <w:lang w:eastAsia="cs-CZ"/>
        </w:rPr>
        <w:t xml:space="preserve">bola prebratá </w:t>
      </w:r>
      <w:r w:rsidRPr="00882087">
        <w:rPr>
          <w:rFonts w:ascii="Times New Roman" w:hAnsi="Times New Roman" w:cs="Times New Roman"/>
          <w:sz w:val="24"/>
          <w:szCs w:val="24"/>
        </w:rPr>
        <w:t>do zákona č. 203/2011 Z.</w:t>
      </w:r>
      <w:r w:rsidR="001A0FD2" w:rsidRPr="00882087">
        <w:rPr>
          <w:rFonts w:ascii="Times New Roman" w:hAnsi="Times New Roman" w:cs="Times New Roman"/>
          <w:sz w:val="24"/>
          <w:szCs w:val="24"/>
        </w:rPr>
        <w:t xml:space="preserve"> </w:t>
      </w:r>
      <w:r w:rsidRPr="00882087">
        <w:rPr>
          <w:rFonts w:ascii="Times New Roman" w:hAnsi="Times New Roman" w:cs="Times New Roman"/>
          <w:sz w:val="24"/>
          <w:szCs w:val="24"/>
        </w:rPr>
        <w:t>z. o</w:t>
      </w:r>
      <w:r w:rsidR="001A0FD2" w:rsidRPr="00882087">
        <w:rPr>
          <w:rFonts w:ascii="Times New Roman" w:hAnsi="Times New Roman" w:cs="Times New Roman"/>
          <w:sz w:val="24"/>
          <w:szCs w:val="24"/>
        </w:rPr>
        <w:t> </w:t>
      </w:r>
      <w:r w:rsidRPr="00882087">
        <w:rPr>
          <w:rFonts w:ascii="Times New Roman" w:hAnsi="Times New Roman" w:cs="Times New Roman"/>
          <w:sz w:val="24"/>
          <w:szCs w:val="24"/>
        </w:rPr>
        <w:t xml:space="preserve">kolektívnom investovaní </w:t>
      </w:r>
      <w:r w:rsidRPr="00882087">
        <w:rPr>
          <w:rFonts w:ascii="Times New Roman" w:hAnsi="Times New Roman" w:cs="Times New Roman"/>
          <w:sz w:val="24"/>
          <w:szCs w:val="24"/>
          <w:lang w:eastAsia="cs-CZ"/>
        </w:rPr>
        <w:t>v znení neskorších predpisov,</w:t>
      </w:r>
      <w:r w:rsidRPr="00882087">
        <w:rPr>
          <w:rFonts w:ascii="Times New Roman" w:hAnsi="Times New Roman" w:cs="Times New Roman"/>
          <w:sz w:val="24"/>
          <w:szCs w:val="24"/>
        </w:rPr>
        <w:t xml:space="preserve"> do zákona č.</w:t>
      </w:r>
      <w:r w:rsidRPr="00882087">
        <w:rPr>
          <w:rFonts w:ascii="Times New Roman" w:hAnsi="Times New Roman" w:cs="Times New Roman"/>
          <w:sz w:val="24"/>
          <w:szCs w:val="24"/>
          <w:lang w:eastAsia="cs-CZ"/>
        </w:rPr>
        <w:t xml:space="preserve"> 566/2001 Z.</w:t>
      </w:r>
      <w:r w:rsidR="001A0FD2" w:rsidRPr="00882087">
        <w:rPr>
          <w:rFonts w:ascii="Times New Roman" w:hAnsi="Times New Roman" w:cs="Times New Roman"/>
          <w:sz w:val="24"/>
          <w:szCs w:val="24"/>
          <w:lang w:eastAsia="cs-CZ"/>
        </w:rPr>
        <w:t xml:space="preserve"> </w:t>
      </w:r>
      <w:r w:rsidRPr="00882087">
        <w:rPr>
          <w:rFonts w:ascii="Times New Roman" w:hAnsi="Times New Roman" w:cs="Times New Roman"/>
          <w:sz w:val="24"/>
          <w:szCs w:val="24"/>
          <w:lang w:eastAsia="cs-CZ"/>
        </w:rPr>
        <w:t>z. o cenných papieroch a investičných službách a o zmene a doplnení niektorých zákonov (zákon o cenných papieroch) v znení neskorších predpisov, do zákona č. 747/2004 Z.</w:t>
      </w:r>
      <w:r w:rsidR="001A0FD2" w:rsidRPr="00882087">
        <w:rPr>
          <w:rFonts w:ascii="Times New Roman" w:hAnsi="Times New Roman" w:cs="Times New Roman"/>
          <w:sz w:val="24"/>
          <w:szCs w:val="24"/>
          <w:lang w:eastAsia="cs-CZ"/>
        </w:rPr>
        <w:t> </w:t>
      </w:r>
      <w:r w:rsidRPr="00882087">
        <w:rPr>
          <w:rFonts w:ascii="Times New Roman" w:hAnsi="Times New Roman" w:cs="Times New Roman"/>
          <w:sz w:val="24"/>
          <w:szCs w:val="24"/>
          <w:lang w:eastAsia="cs-CZ"/>
        </w:rPr>
        <w:t>z. o dohľade nad finančným trhom a o zmene niektorých zákonov v znení neskorších predpisov, do zákona č. 250/2007 Z.</w:t>
      </w:r>
      <w:r w:rsidR="001A0FD2" w:rsidRPr="00882087">
        <w:rPr>
          <w:rFonts w:ascii="Times New Roman" w:hAnsi="Times New Roman" w:cs="Times New Roman"/>
          <w:sz w:val="24"/>
          <w:szCs w:val="24"/>
          <w:lang w:eastAsia="cs-CZ"/>
        </w:rPr>
        <w:t xml:space="preserve"> </w:t>
      </w:r>
      <w:r w:rsidRPr="00882087">
        <w:rPr>
          <w:rFonts w:ascii="Times New Roman" w:hAnsi="Times New Roman" w:cs="Times New Roman"/>
          <w:sz w:val="24"/>
          <w:szCs w:val="24"/>
          <w:lang w:eastAsia="cs-CZ"/>
        </w:rPr>
        <w:t xml:space="preserve">z. </w:t>
      </w:r>
      <w:r w:rsidRPr="00882087">
        <w:rPr>
          <w:rFonts w:ascii="Times New Roman" w:hAnsi="Times New Roman" w:cs="Times New Roman"/>
          <w:bCs/>
          <w:sz w:val="24"/>
          <w:szCs w:val="24"/>
          <w:shd w:val="clear" w:color="auto" w:fill="FFFFFF"/>
        </w:rPr>
        <w:t>o ochrane spotrebiteľa a o zmene zákona Slovenskej národnej rady č. </w:t>
      </w:r>
      <w:hyperlink r:id="rId9" w:tooltip="Odkaz na predpis alebo ustanovenie" w:history="1">
        <w:r w:rsidRPr="00882087">
          <w:rPr>
            <w:rStyle w:val="Hypertextovprepojenie"/>
            <w:rFonts w:ascii="Times New Roman" w:hAnsi="Times New Roman" w:cs="Times New Roman"/>
            <w:bCs/>
            <w:iCs/>
            <w:color w:val="auto"/>
            <w:sz w:val="24"/>
            <w:szCs w:val="24"/>
            <w:u w:val="none"/>
            <w:shd w:val="clear" w:color="auto" w:fill="FFFFFF"/>
          </w:rPr>
          <w:t>372/1990 Zb.</w:t>
        </w:r>
      </w:hyperlink>
      <w:r w:rsidRPr="00882087">
        <w:rPr>
          <w:rFonts w:ascii="Times New Roman" w:hAnsi="Times New Roman" w:cs="Times New Roman"/>
          <w:bCs/>
          <w:sz w:val="24"/>
          <w:szCs w:val="24"/>
          <w:shd w:val="clear" w:color="auto" w:fill="FFFFFF"/>
        </w:rPr>
        <w:t xml:space="preserve"> o priestupkoch v znení neskorších predpisov v znení neskorších predpisov, </w:t>
      </w:r>
      <w:r w:rsidRPr="00882087">
        <w:rPr>
          <w:rFonts w:ascii="Times New Roman" w:hAnsi="Times New Roman" w:cs="Times New Roman"/>
          <w:sz w:val="24"/>
          <w:szCs w:val="24"/>
          <w:lang w:eastAsia="cs-CZ"/>
        </w:rPr>
        <w:t xml:space="preserve">do zákona č. </w:t>
      </w:r>
      <w:r w:rsidRPr="00882087">
        <w:rPr>
          <w:rFonts w:ascii="Times New Roman" w:hAnsi="Times New Roman" w:cs="Times New Roman"/>
          <w:sz w:val="24"/>
          <w:szCs w:val="24"/>
        </w:rPr>
        <w:t xml:space="preserve"> 244/2002 Z. z. o rozhodcovskom konaní </w:t>
      </w:r>
      <w:r w:rsidRPr="00882087">
        <w:rPr>
          <w:rFonts w:ascii="Times New Roman" w:hAnsi="Times New Roman" w:cs="Times New Roman"/>
          <w:bCs/>
          <w:sz w:val="24"/>
          <w:szCs w:val="24"/>
          <w:shd w:val="clear" w:color="auto" w:fill="FFFFFF"/>
        </w:rPr>
        <w:t xml:space="preserve">v znení neskorších predpisov a do zákona č. </w:t>
      </w:r>
      <w:r w:rsidRPr="00882087">
        <w:rPr>
          <w:rFonts w:ascii="Times New Roman" w:hAnsi="Times New Roman" w:cs="Times New Roman"/>
          <w:sz w:val="24"/>
          <w:szCs w:val="24"/>
        </w:rPr>
        <w:t>420/2004 Z.</w:t>
      </w:r>
      <w:r w:rsidR="001A0FD2" w:rsidRPr="00882087">
        <w:rPr>
          <w:rFonts w:ascii="Times New Roman" w:hAnsi="Times New Roman" w:cs="Times New Roman"/>
          <w:sz w:val="24"/>
          <w:szCs w:val="24"/>
        </w:rPr>
        <w:t xml:space="preserve"> </w:t>
      </w:r>
      <w:r w:rsidRPr="00882087">
        <w:rPr>
          <w:rFonts w:ascii="Times New Roman" w:hAnsi="Times New Roman" w:cs="Times New Roman"/>
          <w:sz w:val="24"/>
          <w:szCs w:val="24"/>
        </w:rPr>
        <w:t xml:space="preserve">z. o mediácii a o doplnení niektorých zákonov </w:t>
      </w:r>
      <w:r w:rsidRPr="00882087">
        <w:rPr>
          <w:rFonts w:ascii="Times New Roman" w:hAnsi="Times New Roman" w:cs="Times New Roman"/>
          <w:bCs/>
          <w:sz w:val="24"/>
          <w:szCs w:val="24"/>
          <w:shd w:val="clear" w:color="auto" w:fill="FFFFFF"/>
        </w:rPr>
        <w:t>v znení neskorších predpisov</w:t>
      </w:r>
      <w:r w:rsidR="00376132" w:rsidRPr="00882087">
        <w:rPr>
          <w:rFonts w:ascii="Times New Roman" w:hAnsi="Times New Roman" w:cs="Times New Roman"/>
          <w:bCs/>
          <w:sz w:val="24"/>
          <w:szCs w:val="24"/>
          <w:shd w:val="clear" w:color="auto" w:fill="FFFFFF"/>
        </w:rPr>
        <w:t xml:space="preserve"> do opatrenia Národnej banky Slovenska z 26. júla 2011 č. 6/2011 o náležitostiach žiadosti o udelenie predchádzajúceho súhlasu Národnej banky Slovenska podľa zákona o kolektívnom investovaní v znení neskorších predpisov, do opatrenia Národnej banky Slovenska z 26. júla 2011 č. 7/2011 o vlastných zdrojoch správcovskej spoločnosti</w:t>
      </w:r>
      <w:r w:rsidRPr="00882087">
        <w:rPr>
          <w:rFonts w:ascii="Times New Roman" w:hAnsi="Times New Roman" w:cs="Times New Roman"/>
          <w:bCs/>
          <w:sz w:val="24"/>
          <w:szCs w:val="24"/>
          <w:shd w:val="clear" w:color="auto" w:fill="FFFFFF"/>
        </w:rPr>
        <w:t>.</w:t>
      </w:r>
    </w:p>
    <w:p w14:paraId="56EAAF7F" w14:textId="262445F6" w:rsidR="003067F9" w:rsidRPr="00882087" w:rsidRDefault="003067F9" w:rsidP="00A91E3D">
      <w:pPr>
        <w:pStyle w:val="Odsekzoznamu"/>
        <w:spacing w:after="0" w:line="240" w:lineRule="auto"/>
        <w:jc w:val="both"/>
        <w:rPr>
          <w:rFonts w:ascii="Times New Roman" w:hAnsi="Times New Roman" w:cs="Times New Roman"/>
          <w:bCs/>
          <w:sz w:val="24"/>
          <w:szCs w:val="24"/>
          <w:shd w:val="clear" w:color="auto" w:fill="FFFFFF"/>
        </w:rPr>
      </w:pPr>
    </w:p>
    <w:p w14:paraId="0AA2E47D" w14:textId="5FE8CFFD" w:rsidR="003067F9" w:rsidRPr="00882087" w:rsidRDefault="003067F9" w:rsidP="00A91E3D">
      <w:pPr>
        <w:pStyle w:val="Odsekzoznamu"/>
        <w:spacing w:after="0" w:line="240" w:lineRule="auto"/>
        <w:jc w:val="both"/>
        <w:rPr>
          <w:rFonts w:ascii="Times New Roman" w:hAnsi="Times New Roman" w:cs="Times New Roman"/>
          <w:bCs/>
          <w:sz w:val="24"/>
          <w:szCs w:val="24"/>
          <w:shd w:val="clear" w:color="auto" w:fill="FFFFFF"/>
        </w:rPr>
      </w:pPr>
      <w:r w:rsidRPr="00882087">
        <w:rPr>
          <w:rFonts w:ascii="Times New Roman" w:hAnsi="Times New Roman" w:cs="Times New Roman"/>
          <w:bCs/>
          <w:sz w:val="24"/>
          <w:szCs w:val="24"/>
          <w:shd w:val="clear" w:color="auto" w:fill="FFFFFF"/>
        </w:rPr>
        <w:t xml:space="preserve">Smernica </w:t>
      </w:r>
      <w:r w:rsidRPr="00882087">
        <w:rPr>
          <w:rFonts w:ascii="Times New Roman" w:hAnsi="Times New Roman" w:cs="Times New Roman"/>
          <w:bCs/>
          <w:sz w:val="24"/>
          <w:szCs w:val="24"/>
          <w:u w:val="single"/>
          <w:shd w:val="clear" w:color="auto" w:fill="FFFFFF"/>
        </w:rPr>
        <w:t>2015/2366</w:t>
      </w:r>
      <w:r w:rsidRPr="00882087">
        <w:rPr>
          <w:rFonts w:ascii="Times New Roman" w:hAnsi="Times New Roman" w:cs="Times New Roman"/>
          <w:bCs/>
          <w:sz w:val="24"/>
          <w:szCs w:val="24"/>
          <w:shd w:val="clear" w:color="auto" w:fill="FFFFFF"/>
        </w:rPr>
        <w:t xml:space="preserve"> bola prebratá do zákona č. 492/2009 Z. z. o platobných službách a o zmene a doplnení niektorých zákonov v znení neskorších predpisov, do zákona č.</w:t>
      </w:r>
      <w:r w:rsidR="001A0FD2" w:rsidRPr="00882087">
        <w:rPr>
          <w:rFonts w:ascii="Times New Roman" w:hAnsi="Times New Roman" w:cs="Times New Roman"/>
          <w:bCs/>
          <w:sz w:val="24"/>
          <w:szCs w:val="24"/>
          <w:shd w:val="clear" w:color="auto" w:fill="FFFFFF"/>
        </w:rPr>
        <w:t> </w:t>
      </w:r>
      <w:r w:rsidRPr="00882087">
        <w:rPr>
          <w:rFonts w:ascii="Times New Roman" w:hAnsi="Times New Roman" w:cs="Times New Roman"/>
          <w:bCs/>
          <w:sz w:val="24"/>
          <w:szCs w:val="24"/>
          <w:shd w:val="clear" w:color="auto" w:fill="FFFFFF"/>
        </w:rPr>
        <w:t>747/2004 Z. z. o dohľade nad finančným trhom a o zmene a doplnení niektorých zákonov v znení neskorších predpisov, do zákona č. 483/2001 Z. z. o bankách a o zmene a doplnení niektorých zákonov v znení neskorších predpisov, do zákona Národnej rady Slovenskej republiky č. 566/1992 Zb. o Národnej banke Slovenska v znení neskorších predpisov, do zákona č. 160/2015 Z. z. Civilný</w:t>
      </w:r>
      <w:r w:rsidR="000F37F8" w:rsidRPr="00882087">
        <w:rPr>
          <w:rFonts w:ascii="Times New Roman" w:hAnsi="Times New Roman" w:cs="Times New Roman"/>
          <w:bCs/>
          <w:sz w:val="24"/>
          <w:szCs w:val="24"/>
          <w:shd w:val="clear" w:color="auto" w:fill="FFFFFF"/>
        </w:rPr>
        <w:t xml:space="preserve"> sporový poriadok, do zákona č. </w:t>
      </w:r>
      <w:r w:rsidRPr="00882087">
        <w:rPr>
          <w:rFonts w:ascii="Times New Roman" w:hAnsi="Times New Roman" w:cs="Times New Roman"/>
          <w:bCs/>
          <w:sz w:val="24"/>
          <w:szCs w:val="24"/>
          <w:shd w:val="clear" w:color="auto" w:fill="FFFFFF"/>
        </w:rPr>
        <w:t>162/2015 Z. z. Správny súdny poriadok, do zákona č. 391/2015 Z. z. o alternatívnom riešení spotrebiteľských sporov a o zmene a doplnení niektorých zákonov, do zákona č. 351/2011 Z. z. o elektronických komunikáciách, do zákona č. 266/2005 Z. z. o ochrane spotrebiteľa pri finančných službách na diaľku a o zmene a doplnení niektorých zákonov a do zákona č. 460/1992 Zb. Ústava Slovenskej republiky.</w:t>
      </w:r>
    </w:p>
    <w:p w14:paraId="6EB97B3D" w14:textId="77777777" w:rsidR="00A91E3D" w:rsidRPr="00882087" w:rsidRDefault="00A91E3D" w:rsidP="00A91E3D">
      <w:pPr>
        <w:pStyle w:val="Odsekzoznamu"/>
        <w:spacing w:after="0" w:line="240" w:lineRule="auto"/>
        <w:jc w:val="both"/>
        <w:rPr>
          <w:rFonts w:ascii="Times New Roman" w:hAnsi="Times New Roman" w:cs="Times New Roman"/>
          <w:bCs/>
          <w:sz w:val="24"/>
          <w:szCs w:val="24"/>
          <w:shd w:val="clear" w:color="auto" w:fill="FFFFFF"/>
        </w:rPr>
      </w:pPr>
    </w:p>
    <w:p w14:paraId="152A2950" w14:textId="77777777" w:rsidR="00FC287C" w:rsidRPr="00882087" w:rsidRDefault="00FC287C" w:rsidP="00FC287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882087">
        <w:rPr>
          <w:rFonts w:ascii="Times New Roman" w:eastAsia="Times New Roman" w:hAnsi="Times New Roman" w:cs="Times New Roman"/>
          <w:b/>
          <w:bCs/>
          <w:sz w:val="24"/>
          <w:szCs w:val="24"/>
          <w:lang w:eastAsia="sk-SK"/>
        </w:rPr>
        <w:t>Návrh zákona je zlučiteľný s právom Európskej únie:</w:t>
      </w:r>
    </w:p>
    <w:p w14:paraId="0D7FA2CE" w14:textId="77777777" w:rsidR="00FC287C" w:rsidRPr="00882087" w:rsidRDefault="00FC287C" w:rsidP="00FC287C">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882087">
        <w:rPr>
          <w:rFonts w:ascii="Times New Roman" w:eastAsia="Times New Roman" w:hAnsi="Times New Roman" w:cs="Times New Roman"/>
          <w:sz w:val="24"/>
          <w:szCs w:val="24"/>
          <w:lang w:eastAsia="sk-SK"/>
        </w:rPr>
        <w:t>úplne.</w:t>
      </w:r>
    </w:p>
    <w:p w14:paraId="749569E9" w14:textId="77777777" w:rsidR="00FE77D3" w:rsidRPr="00882087" w:rsidRDefault="00FE77D3">
      <w:pPr>
        <w:rPr>
          <w:rFonts w:ascii="Times New Roman" w:hAnsi="Times New Roman" w:cs="Times New Roman"/>
          <w:sz w:val="24"/>
          <w:szCs w:val="24"/>
        </w:rPr>
      </w:pPr>
    </w:p>
    <w:sectPr w:rsidR="00FE77D3" w:rsidRPr="0088208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3DF4" w14:textId="77777777" w:rsidR="00EE10BF" w:rsidRDefault="00EE10BF" w:rsidP="00C4408B">
      <w:pPr>
        <w:spacing w:after="0" w:line="240" w:lineRule="auto"/>
      </w:pPr>
      <w:r>
        <w:separator/>
      </w:r>
    </w:p>
  </w:endnote>
  <w:endnote w:type="continuationSeparator" w:id="0">
    <w:p w14:paraId="1216388B" w14:textId="77777777" w:rsidR="00EE10BF" w:rsidRDefault="00EE10BF" w:rsidP="00C4408B">
      <w:pPr>
        <w:spacing w:after="0" w:line="240" w:lineRule="auto"/>
      </w:pPr>
      <w:r>
        <w:continuationSeparator/>
      </w:r>
    </w:p>
  </w:endnote>
  <w:endnote w:type="continuationNotice" w:id="1">
    <w:p w14:paraId="53C99E67" w14:textId="77777777" w:rsidR="00EE10BF" w:rsidRDefault="00EE1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94682"/>
      <w:docPartObj>
        <w:docPartGallery w:val="Page Numbers (Bottom of Page)"/>
        <w:docPartUnique/>
      </w:docPartObj>
    </w:sdtPr>
    <w:sdtEndPr>
      <w:rPr>
        <w:rFonts w:ascii="Times New Roman" w:hAnsi="Times New Roman" w:cs="Times New Roman"/>
        <w:sz w:val="24"/>
        <w:szCs w:val="24"/>
      </w:rPr>
    </w:sdtEndPr>
    <w:sdtContent>
      <w:p w14:paraId="3676FF63" w14:textId="6EC8BBCC" w:rsidR="00EE10BF" w:rsidRPr="00C4408B" w:rsidRDefault="00EE10BF">
        <w:pPr>
          <w:pStyle w:val="Pta"/>
          <w:jc w:val="right"/>
          <w:rPr>
            <w:rFonts w:ascii="Times New Roman" w:hAnsi="Times New Roman" w:cs="Times New Roman"/>
            <w:sz w:val="24"/>
            <w:szCs w:val="24"/>
          </w:rPr>
        </w:pPr>
        <w:r w:rsidRPr="00C4408B">
          <w:rPr>
            <w:rFonts w:ascii="Times New Roman" w:hAnsi="Times New Roman" w:cs="Times New Roman"/>
            <w:sz w:val="24"/>
            <w:szCs w:val="24"/>
          </w:rPr>
          <w:fldChar w:fldCharType="begin"/>
        </w:r>
        <w:r w:rsidRPr="00C4408B">
          <w:rPr>
            <w:rFonts w:ascii="Times New Roman" w:hAnsi="Times New Roman" w:cs="Times New Roman"/>
            <w:sz w:val="24"/>
            <w:szCs w:val="24"/>
          </w:rPr>
          <w:instrText>PAGE   \* MERGEFORMAT</w:instrText>
        </w:r>
        <w:r w:rsidRPr="00C4408B">
          <w:rPr>
            <w:rFonts w:ascii="Times New Roman" w:hAnsi="Times New Roman" w:cs="Times New Roman"/>
            <w:sz w:val="24"/>
            <w:szCs w:val="24"/>
          </w:rPr>
          <w:fldChar w:fldCharType="separate"/>
        </w:r>
        <w:r w:rsidR="00DC0F96">
          <w:rPr>
            <w:rFonts w:ascii="Times New Roman" w:hAnsi="Times New Roman" w:cs="Times New Roman"/>
            <w:noProof/>
            <w:sz w:val="24"/>
            <w:szCs w:val="24"/>
          </w:rPr>
          <w:t>1</w:t>
        </w:r>
        <w:r w:rsidRPr="00C4408B">
          <w:rPr>
            <w:rFonts w:ascii="Times New Roman" w:hAnsi="Times New Roman" w:cs="Times New Roman"/>
            <w:sz w:val="24"/>
            <w:szCs w:val="24"/>
          </w:rPr>
          <w:fldChar w:fldCharType="end"/>
        </w:r>
      </w:p>
    </w:sdtContent>
  </w:sdt>
  <w:p w14:paraId="5799057B" w14:textId="77777777" w:rsidR="00EE10BF" w:rsidRDefault="00EE10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30048" w14:textId="77777777" w:rsidR="00EE10BF" w:rsidRDefault="00EE10BF" w:rsidP="00C4408B">
      <w:pPr>
        <w:spacing w:after="0" w:line="240" w:lineRule="auto"/>
      </w:pPr>
      <w:r>
        <w:separator/>
      </w:r>
    </w:p>
  </w:footnote>
  <w:footnote w:type="continuationSeparator" w:id="0">
    <w:p w14:paraId="3EDB4CC2" w14:textId="77777777" w:rsidR="00EE10BF" w:rsidRDefault="00EE10BF" w:rsidP="00C4408B">
      <w:pPr>
        <w:spacing w:after="0" w:line="240" w:lineRule="auto"/>
      </w:pPr>
      <w:r>
        <w:continuationSeparator/>
      </w:r>
    </w:p>
  </w:footnote>
  <w:footnote w:type="continuationNotice" w:id="1">
    <w:p w14:paraId="2897D23C" w14:textId="77777777" w:rsidR="00EE10BF" w:rsidRDefault="00EE10B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64723"/>
    <w:multiLevelType w:val="hybridMultilevel"/>
    <w:tmpl w:val="6E6E0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512E5"/>
    <w:multiLevelType w:val="hybridMultilevel"/>
    <w:tmpl w:val="04102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F7215EE"/>
    <w:multiLevelType w:val="hybridMultilevel"/>
    <w:tmpl w:val="2D4C2E7A"/>
    <w:lvl w:ilvl="0" w:tplc="291A588A">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A"/>
    <w:rsid w:val="00001FA5"/>
    <w:rsid w:val="00031A15"/>
    <w:rsid w:val="00060915"/>
    <w:rsid w:val="00070450"/>
    <w:rsid w:val="000749FA"/>
    <w:rsid w:val="0008583C"/>
    <w:rsid w:val="000966F7"/>
    <w:rsid w:val="00096AAA"/>
    <w:rsid w:val="000A25FD"/>
    <w:rsid w:val="000A2DF2"/>
    <w:rsid w:val="000B03E2"/>
    <w:rsid w:val="000B55DC"/>
    <w:rsid w:val="000B75C6"/>
    <w:rsid w:val="000C5828"/>
    <w:rsid w:val="000D5A2E"/>
    <w:rsid w:val="000D6250"/>
    <w:rsid w:val="000E0215"/>
    <w:rsid w:val="000F37F8"/>
    <w:rsid w:val="00112163"/>
    <w:rsid w:val="001155FC"/>
    <w:rsid w:val="00144626"/>
    <w:rsid w:val="00153A48"/>
    <w:rsid w:val="00157566"/>
    <w:rsid w:val="00162679"/>
    <w:rsid w:val="001652ED"/>
    <w:rsid w:val="00190910"/>
    <w:rsid w:val="001A0FD2"/>
    <w:rsid w:val="001A45EA"/>
    <w:rsid w:val="001C1B33"/>
    <w:rsid w:val="001C51C8"/>
    <w:rsid w:val="001E75AF"/>
    <w:rsid w:val="001F76F8"/>
    <w:rsid w:val="00203072"/>
    <w:rsid w:val="00206CE6"/>
    <w:rsid w:val="00206E90"/>
    <w:rsid w:val="002119D1"/>
    <w:rsid w:val="00227F46"/>
    <w:rsid w:val="002368B5"/>
    <w:rsid w:val="00263193"/>
    <w:rsid w:val="002756D7"/>
    <w:rsid w:val="0028065B"/>
    <w:rsid w:val="00281E30"/>
    <w:rsid w:val="0029505D"/>
    <w:rsid w:val="0029721F"/>
    <w:rsid w:val="002A1E93"/>
    <w:rsid w:val="002A6C7C"/>
    <w:rsid w:val="003067F9"/>
    <w:rsid w:val="00310BD7"/>
    <w:rsid w:val="00321DED"/>
    <w:rsid w:val="003236C4"/>
    <w:rsid w:val="00324745"/>
    <w:rsid w:val="003313D7"/>
    <w:rsid w:val="00331902"/>
    <w:rsid w:val="0034186D"/>
    <w:rsid w:val="00366A1F"/>
    <w:rsid w:val="0037035C"/>
    <w:rsid w:val="0037545C"/>
    <w:rsid w:val="00376132"/>
    <w:rsid w:val="003823FF"/>
    <w:rsid w:val="00383198"/>
    <w:rsid w:val="003852A4"/>
    <w:rsid w:val="003A68BE"/>
    <w:rsid w:val="003A7079"/>
    <w:rsid w:val="003C28ED"/>
    <w:rsid w:val="003D26AE"/>
    <w:rsid w:val="003D66D3"/>
    <w:rsid w:val="003E1691"/>
    <w:rsid w:val="003E1F36"/>
    <w:rsid w:val="003F4A13"/>
    <w:rsid w:val="00400597"/>
    <w:rsid w:val="00420E4F"/>
    <w:rsid w:val="00421C1D"/>
    <w:rsid w:val="00424A9C"/>
    <w:rsid w:val="00430B39"/>
    <w:rsid w:val="00452619"/>
    <w:rsid w:val="00454131"/>
    <w:rsid w:val="0046235E"/>
    <w:rsid w:val="0048044A"/>
    <w:rsid w:val="00491B03"/>
    <w:rsid w:val="00492483"/>
    <w:rsid w:val="004976EE"/>
    <w:rsid w:val="004A27BF"/>
    <w:rsid w:val="004A64C1"/>
    <w:rsid w:val="004C724E"/>
    <w:rsid w:val="004C7A61"/>
    <w:rsid w:val="004E44C2"/>
    <w:rsid w:val="00500B5E"/>
    <w:rsid w:val="005054E2"/>
    <w:rsid w:val="00526796"/>
    <w:rsid w:val="00545C2B"/>
    <w:rsid w:val="00545F60"/>
    <w:rsid w:val="005727FF"/>
    <w:rsid w:val="00573428"/>
    <w:rsid w:val="00593DF2"/>
    <w:rsid w:val="005C1285"/>
    <w:rsid w:val="005C3DF0"/>
    <w:rsid w:val="005D058B"/>
    <w:rsid w:val="005D7CA5"/>
    <w:rsid w:val="005F011A"/>
    <w:rsid w:val="005F2A3E"/>
    <w:rsid w:val="00613F1F"/>
    <w:rsid w:val="006374BB"/>
    <w:rsid w:val="00640AAD"/>
    <w:rsid w:val="006419F9"/>
    <w:rsid w:val="006457F5"/>
    <w:rsid w:val="00647DE8"/>
    <w:rsid w:val="0066120D"/>
    <w:rsid w:val="00661EEE"/>
    <w:rsid w:val="00677E30"/>
    <w:rsid w:val="00693C75"/>
    <w:rsid w:val="006A0004"/>
    <w:rsid w:val="006A3A36"/>
    <w:rsid w:val="006B2F95"/>
    <w:rsid w:val="006D1AFE"/>
    <w:rsid w:val="006D24D4"/>
    <w:rsid w:val="006D7811"/>
    <w:rsid w:val="006E384A"/>
    <w:rsid w:val="006F2597"/>
    <w:rsid w:val="00703A5A"/>
    <w:rsid w:val="00704262"/>
    <w:rsid w:val="00711476"/>
    <w:rsid w:val="00717F51"/>
    <w:rsid w:val="00741BA7"/>
    <w:rsid w:val="00747158"/>
    <w:rsid w:val="00762CBB"/>
    <w:rsid w:val="007828B6"/>
    <w:rsid w:val="007906FF"/>
    <w:rsid w:val="00797CD2"/>
    <w:rsid w:val="007A5D57"/>
    <w:rsid w:val="007A5E5D"/>
    <w:rsid w:val="007B44D4"/>
    <w:rsid w:val="007B5725"/>
    <w:rsid w:val="007C25A2"/>
    <w:rsid w:val="007D096C"/>
    <w:rsid w:val="007E4D20"/>
    <w:rsid w:val="007F5E90"/>
    <w:rsid w:val="008027F8"/>
    <w:rsid w:val="00802AA5"/>
    <w:rsid w:val="008077B4"/>
    <w:rsid w:val="00821354"/>
    <w:rsid w:val="00822C4E"/>
    <w:rsid w:val="00830342"/>
    <w:rsid w:val="00840906"/>
    <w:rsid w:val="008422B8"/>
    <w:rsid w:val="00851397"/>
    <w:rsid w:val="008545C6"/>
    <w:rsid w:val="00882087"/>
    <w:rsid w:val="008A22A7"/>
    <w:rsid w:val="008B1FB9"/>
    <w:rsid w:val="008D0EE3"/>
    <w:rsid w:val="00902C5A"/>
    <w:rsid w:val="00933B19"/>
    <w:rsid w:val="00957886"/>
    <w:rsid w:val="00964067"/>
    <w:rsid w:val="0096548B"/>
    <w:rsid w:val="00966B70"/>
    <w:rsid w:val="00975A7E"/>
    <w:rsid w:val="009A3135"/>
    <w:rsid w:val="009B130A"/>
    <w:rsid w:val="009C04AA"/>
    <w:rsid w:val="009C6860"/>
    <w:rsid w:val="009E472E"/>
    <w:rsid w:val="00A0539B"/>
    <w:rsid w:val="00A142A1"/>
    <w:rsid w:val="00A23908"/>
    <w:rsid w:val="00A5791A"/>
    <w:rsid w:val="00A6678A"/>
    <w:rsid w:val="00A91E3D"/>
    <w:rsid w:val="00AB7846"/>
    <w:rsid w:val="00AC4665"/>
    <w:rsid w:val="00AD0B1F"/>
    <w:rsid w:val="00AD3D43"/>
    <w:rsid w:val="00AE762B"/>
    <w:rsid w:val="00AF0705"/>
    <w:rsid w:val="00AF118E"/>
    <w:rsid w:val="00AF20F9"/>
    <w:rsid w:val="00AF4FE1"/>
    <w:rsid w:val="00AF5511"/>
    <w:rsid w:val="00B00EB7"/>
    <w:rsid w:val="00B11CB7"/>
    <w:rsid w:val="00B1399D"/>
    <w:rsid w:val="00B33547"/>
    <w:rsid w:val="00B375F3"/>
    <w:rsid w:val="00B42189"/>
    <w:rsid w:val="00B4704E"/>
    <w:rsid w:val="00B64C78"/>
    <w:rsid w:val="00B852D3"/>
    <w:rsid w:val="00B93B56"/>
    <w:rsid w:val="00B95454"/>
    <w:rsid w:val="00BB1DDF"/>
    <w:rsid w:val="00BB4E67"/>
    <w:rsid w:val="00BC1B0B"/>
    <w:rsid w:val="00BD50F9"/>
    <w:rsid w:val="00BD614F"/>
    <w:rsid w:val="00BE7CAB"/>
    <w:rsid w:val="00BF61D8"/>
    <w:rsid w:val="00C02C4C"/>
    <w:rsid w:val="00C0332F"/>
    <w:rsid w:val="00C34C8A"/>
    <w:rsid w:val="00C4408B"/>
    <w:rsid w:val="00C516E1"/>
    <w:rsid w:val="00C604D2"/>
    <w:rsid w:val="00C85DA0"/>
    <w:rsid w:val="00C86C8A"/>
    <w:rsid w:val="00CA4621"/>
    <w:rsid w:val="00CB1A7A"/>
    <w:rsid w:val="00CC4402"/>
    <w:rsid w:val="00CD43A1"/>
    <w:rsid w:val="00CF76F7"/>
    <w:rsid w:val="00D020EB"/>
    <w:rsid w:val="00D14FD6"/>
    <w:rsid w:val="00D2667D"/>
    <w:rsid w:val="00D42A7F"/>
    <w:rsid w:val="00D519DA"/>
    <w:rsid w:val="00D67546"/>
    <w:rsid w:val="00D927F4"/>
    <w:rsid w:val="00D9297E"/>
    <w:rsid w:val="00D95BAC"/>
    <w:rsid w:val="00DA1539"/>
    <w:rsid w:val="00DA57D0"/>
    <w:rsid w:val="00DA5F66"/>
    <w:rsid w:val="00DC0017"/>
    <w:rsid w:val="00DC046F"/>
    <w:rsid w:val="00DC0F4E"/>
    <w:rsid w:val="00DC0F96"/>
    <w:rsid w:val="00DC733D"/>
    <w:rsid w:val="00DD7D3D"/>
    <w:rsid w:val="00DE510E"/>
    <w:rsid w:val="00DE539C"/>
    <w:rsid w:val="00DF77BD"/>
    <w:rsid w:val="00E03237"/>
    <w:rsid w:val="00E06695"/>
    <w:rsid w:val="00E1604E"/>
    <w:rsid w:val="00E25D36"/>
    <w:rsid w:val="00E3335B"/>
    <w:rsid w:val="00E43F17"/>
    <w:rsid w:val="00E624F1"/>
    <w:rsid w:val="00E7659F"/>
    <w:rsid w:val="00EB09DC"/>
    <w:rsid w:val="00ED29B3"/>
    <w:rsid w:val="00EE10BF"/>
    <w:rsid w:val="00EE3B2A"/>
    <w:rsid w:val="00EE400E"/>
    <w:rsid w:val="00F15AB7"/>
    <w:rsid w:val="00F2168D"/>
    <w:rsid w:val="00F314EF"/>
    <w:rsid w:val="00F3165D"/>
    <w:rsid w:val="00F432C0"/>
    <w:rsid w:val="00F43F25"/>
    <w:rsid w:val="00F45F0B"/>
    <w:rsid w:val="00F53D97"/>
    <w:rsid w:val="00F80ADB"/>
    <w:rsid w:val="00F9215F"/>
    <w:rsid w:val="00FB1AA4"/>
    <w:rsid w:val="00FB7EF9"/>
    <w:rsid w:val="00FC287C"/>
    <w:rsid w:val="00FC6C38"/>
    <w:rsid w:val="00FD0381"/>
    <w:rsid w:val="00FE03BB"/>
    <w:rsid w:val="00FE2B7D"/>
    <w:rsid w:val="00FE6751"/>
    <w:rsid w:val="00FE77D3"/>
    <w:rsid w:val="00FF0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4A9B"/>
  <w15:docId w15:val="{9908D2B7-CF96-40FC-807C-D78F335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1A45EA"/>
  </w:style>
  <w:style w:type="character" w:styleId="Hypertextovprepojenie">
    <w:name w:val="Hyperlink"/>
    <w:basedOn w:val="Predvolenpsmoodseku"/>
    <w:uiPriority w:val="99"/>
    <w:semiHidden/>
    <w:unhideWhenUsed/>
    <w:rsid w:val="001A45EA"/>
    <w:rPr>
      <w:color w:val="0000FF"/>
      <w:u w:val="single"/>
    </w:rPr>
  </w:style>
  <w:style w:type="paragraph" w:styleId="Odsekzoznamu">
    <w:name w:val="List Paragraph"/>
    <w:aliases w:val="Odstavec cíl se seznamem,Odstavec se seznamem1"/>
    <w:basedOn w:val="Normlny"/>
    <w:link w:val="OdsekzoznamuChar"/>
    <w:uiPriority w:val="34"/>
    <w:qFormat/>
    <w:rsid w:val="001A45EA"/>
    <w:pPr>
      <w:ind w:left="720"/>
      <w:contextualSpacing/>
    </w:pPr>
  </w:style>
  <w:style w:type="character" w:customStyle="1" w:styleId="awspan1">
    <w:name w:val="awspan1"/>
    <w:basedOn w:val="Predvolenpsmoodseku"/>
    <w:rsid w:val="00B11CB7"/>
    <w:rPr>
      <w:rFonts w:cs="Times New Roman"/>
      <w:color w:val="000000"/>
      <w:sz w:val="24"/>
      <w:szCs w:val="24"/>
    </w:rPr>
  </w:style>
  <w:style w:type="character" w:styleId="Zvraznenie">
    <w:name w:val="Emphasis"/>
    <w:basedOn w:val="Predvolenpsmoodseku"/>
    <w:uiPriority w:val="20"/>
    <w:qFormat/>
    <w:rsid w:val="00DC046F"/>
    <w:rPr>
      <w:i/>
      <w:iCs/>
    </w:rPr>
  </w:style>
  <w:style w:type="paragraph" w:styleId="Normlnywebov">
    <w:name w:val="Normal (Web)"/>
    <w:basedOn w:val="Normlny"/>
    <w:uiPriority w:val="99"/>
    <w:semiHidden/>
    <w:unhideWhenUsed/>
    <w:rsid w:val="00DC046F"/>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c02alineaalta">
    <w:name w:val="gmail-c02alineaalta"/>
    <w:basedOn w:val="Normlny"/>
    <w:rsid w:val="009B130A"/>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c08dispositif">
    <w:name w:val="gmail-c08dispositif"/>
    <w:basedOn w:val="Normlny"/>
    <w:rsid w:val="009B130A"/>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90910"/>
    <w:rPr>
      <w:sz w:val="16"/>
      <w:szCs w:val="16"/>
    </w:rPr>
  </w:style>
  <w:style w:type="paragraph" w:styleId="Textkomentra">
    <w:name w:val="annotation text"/>
    <w:basedOn w:val="Normlny"/>
    <w:link w:val="TextkomentraChar"/>
    <w:uiPriority w:val="99"/>
    <w:semiHidden/>
    <w:unhideWhenUsed/>
    <w:rsid w:val="00190910"/>
    <w:pPr>
      <w:spacing w:line="240" w:lineRule="auto"/>
    </w:pPr>
    <w:rPr>
      <w:sz w:val="20"/>
      <w:szCs w:val="20"/>
    </w:rPr>
  </w:style>
  <w:style w:type="character" w:customStyle="1" w:styleId="TextkomentraChar">
    <w:name w:val="Text komentára Char"/>
    <w:basedOn w:val="Predvolenpsmoodseku"/>
    <w:link w:val="Textkomentra"/>
    <w:uiPriority w:val="99"/>
    <w:semiHidden/>
    <w:rsid w:val="00190910"/>
    <w:rPr>
      <w:sz w:val="20"/>
      <w:szCs w:val="20"/>
    </w:rPr>
  </w:style>
  <w:style w:type="paragraph" w:styleId="Predmetkomentra">
    <w:name w:val="annotation subject"/>
    <w:basedOn w:val="Textkomentra"/>
    <w:next w:val="Textkomentra"/>
    <w:link w:val="PredmetkomentraChar"/>
    <w:uiPriority w:val="99"/>
    <w:semiHidden/>
    <w:unhideWhenUsed/>
    <w:rsid w:val="00190910"/>
    <w:rPr>
      <w:b/>
      <w:bCs/>
    </w:rPr>
  </w:style>
  <w:style w:type="character" w:customStyle="1" w:styleId="PredmetkomentraChar">
    <w:name w:val="Predmet komentára Char"/>
    <w:basedOn w:val="TextkomentraChar"/>
    <w:link w:val="Predmetkomentra"/>
    <w:uiPriority w:val="99"/>
    <w:semiHidden/>
    <w:rsid w:val="00190910"/>
    <w:rPr>
      <w:b/>
      <w:bCs/>
      <w:sz w:val="20"/>
      <w:szCs w:val="20"/>
    </w:rPr>
  </w:style>
  <w:style w:type="paragraph" w:styleId="Textbubliny">
    <w:name w:val="Balloon Text"/>
    <w:basedOn w:val="Normlny"/>
    <w:link w:val="TextbublinyChar"/>
    <w:uiPriority w:val="99"/>
    <w:semiHidden/>
    <w:unhideWhenUsed/>
    <w:rsid w:val="0019091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910"/>
    <w:rPr>
      <w:rFonts w:ascii="Segoe UI" w:hAnsi="Segoe UI" w:cs="Segoe UI"/>
      <w:sz w:val="18"/>
      <w:szCs w:val="18"/>
    </w:rPr>
  </w:style>
  <w:style w:type="paragraph" w:styleId="Hlavika">
    <w:name w:val="header"/>
    <w:basedOn w:val="Normlny"/>
    <w:link w:val="HlavikaChar"/>
    <w:uiPriority w:val="99"/>
    <w:unhideWhenUsed/>
    <w:rsid w:val="00C440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408B"/>
  </w:style>
  <w:style w:type="paragraph" w:styleId="Pta">
    <w:name w:val="footer"/>
    <w:basedOn w:val="Normlny"/>
    <w:link w:val="PtaChar"/>
    <w:uiPriority w:val="99"/>
    <w:unhideWhenUsed/>
    <w:rsid w:val="00C4408B"/>
    <w:pPr>
      <w:tabs>
        <w:tab w:val="center" w:pos="4536"/>
        <w:tab w:val="right" w:pos="9072"/>
      </w:tabs>
      <w:spacing w:after="0" w:line="240" w:lineRule="auto"/>
    </w:pPr>
  </w:style>
  <w:style w:type="character" w:customStyle="1" w:styleId="PtaChar">
    <w:name w:val="Päta Char"/>
    <w:basedOn w:val="Predvolenpsmoodseku"/>
    <w:link w:val="Pta"/>
    <w:uiPriority w:val="99"/>
    <w:rsid w:val="00C4408B"/>
  </w:style>
  <w:style w:type="paragraph" w:styleId="Zkladntext">
    <w:name w:val="Body Text"/>
    <w:basedOn w:val="Normlny"/>
    <w:link w:val="ZkladntextChar"/>
    <w:uiPriority w:val="99"/>
    <w:unhideWhenUsed/>
    <w:rsid w:val="003D26AE"/>
    <w:pPr>
      <w:spacing w:after="120" w:line="240" w:lineRule="auto"/>
    </w:pPr>
    <w:rPr>
      <w:rFonts w:ascii="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3D26AE"/>
    <w:rPr>
      <w:rFonts w:ascii="Times New Roman" w:hAnsi="Times New Roman" w:cs="Times New Roman"/>
      <w:sz w:val="24"/>
      <w:szCs w:val="24"/>
      <w:lang w:eastAsia="cs-CZ"/>
    </w:rPr>
  </w:style>
  <w:style w:type="character" w:customStyle="1" w:styleId="OdsekzoznamuChar">
    <w:name w:val="Odsek zoznamu Char"/>
    <w:aliases w:val="Odstavec cíl se seznamem Char,Odstavec se seznamem1 Char"/>
    <w:basedOn w:val="Predvolenpsmoodseku"/>
    <w:link w:val="Odsekzoznamu"/>
    <w:uiPriority w:val="34"/>
    <w:locked/>
    <w:rsid w:val="00FD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87">
      <w:bodyDiv w:val="1"/>
      <w:marLeft w:val="0"/>
      <w:marRight w:val="0"/>
      <w:marTop w:val="0"/>
      <w:marBottom w:val="0"/>
      <w:divBdr>
        <w:top w:val="none" w:sz="0" w:space="0" w:color="auto"/>
        <w:left w:val="none" w:sz="0" w:space="0" w:color="auto"/>
        <w:bottom w:val="none" w:sz="0" w:space="0" w:color="auto"/>
        <w:right w:val="none" w:sz="0" w:space="0" w:color="auto"/>
      </w:divBdr>
    </w:div>
    <w:div w:id="151721829">
      <w:bodyDiv w:val="1"/>
      <w:marLeft w:val="0"/>
      <w:marRight w:val="0"/>
      <w:marTop w:val="0"/>
      <w:marBottom w:val="0"/>
      <w:divBdr>
        <w:top w:val="none" w:sz="0" w:space="0" w:color="auto"/>
        <w:left w:val="none" w:sz="0" w:space="0" w:color="auto"/>
        <w:bottom w:val="none" w:sz="0" w:space="0" w:color="auto"/>
        <w:right w:val="none" w:sz="0" w:space="0" w:color="auto"/>
      </w:divBdr>
    </w:div>
    <w:div w:id="452945780">
      <w:bodyDiv w:val="1"/>
      <w:marLeft w:val="0"/>
      <w:marRight w:val="0"/>
      <w:marTop w:val="0"/>
      <w:marBottom w:val="0"/>
      <w:divBdr>
        <w:top w:val="none" w:sz="0" w:space="0" w:color="auto"/>
        <w:left w:val="none" w:sz="0" w:space="0" w:color="auto"/>
        <w:bottom w:val="none" w:sz="0" w:space="0" w:color="auto"/>
        <w:right w:val="none" w:sz="0" w:space="0" w:color="auto"/>
      </w:divBdr>
    </w:div>
    <w:div w:id="789325907">
      <w:bodyDiv w:val="1"/>
      <w:marLeft w:val="0"/>
      <w:marRight w:val="0"/>
      <w:marTop w:val="0"/>
      <w:marBottom w:val="0"/>
      <w:divBdr>
        <w:top w:val="none" w:sz="0" w:space="0" w:color="auto"/>
        <w:left w:val="none" w:sz="0" w:space="0" w:color="auto"/>
        <w:bottom w:val="none" w:sz="0" w:space="0" w:color="auto"/>
        <w:right w:val="none" w:sz="0" w:space="0" w:color="auto"/>
      </w:divBdr>
    </w:div>
    <w:div w:id="1137456382">
      <w:bodyDiv w:val="1"/>
      <w:marLeft w:val="0"/>
      <w:marRight w:val="0"/>
      <w:marTop w:val="0"/>
      <w:marBottom w:val="0"/>
      <w:divBdr>
        <w:top w:val="none" w:sz="0" w:space="0" w:color="auto"/>
        <w:left w:val="none" w:sz="0" w:space="0" w:color="auto"/>
        <w:bottom w:val="none" w:sz="0" w:space="0" w:color="auto"/>
        <w:right w:val="none" w:sz="0" w:space="0" w:color="auto"/>
      </w:divBdr>
    </w:div>
    <w:div w:id="1212420100">
      <w:bodyDiv w:val="1"/>
      <w:marLeft w:val="0"/>
      <w:marRight w:val="0"/>
      <w:marTop w:val="0"/>
      <w:marBottom w:val="0"/>
      <w:divBdr>
        <w:top w:val="none" w:sz="0" w:space="0" w:color="auto"/>
        <w:left w:val="none" w:sz="0" w:space="0" w:color="auto"/>
        <w:bottom w:val="none" w:sz="0" w:space="0" w:color="auto"/>
        <w:right w:val="none" w:sz="0" w:space="0" w:color="auto"/>
      </w:divBdr>
    </w:div>
    <w:div w:id="1237351565">
      <w:bodyDiv w:val="1"/>
      <w:marLeft w:val="0"/>
      <w:marRight w:val="0"/>
      <w:marTop w:val="0"/>
      <w:marBottom w:val="0"/>
      <w:divBdr>
        <w:top w:val="none" w:sz="0" w:space="0" w:color="auto"/>
        <w:left w:val="none" w:sz="0" w:space="0" w:color="auto"/>
        <w:bottom w:val="none" w:sz="0" w:space="0" w:color="auto"/>
        <w:right w:val="none" w:sz="0" w:space="0" w:color="auto"/>
      </w:divBdr>
    </w:div>
    <w:div w:id="1575628961">
      <w:bodyDiv w:val="1"/>
      <w:marLeft w:val="0"/>
      <w:marRight w:val="0"/>
      <w:marTop w:val="0"/>
      <w:marBottom w:val="0"/>
      <w:divBdr>
        <w:top w:val="none" w:sz="0" w:space="0" w:color="auto"/>
        <w:left w:val="none" w:sz="0" w:space="0" w:color="auto"/>
        <w:bottom w:val="none" w:sz="0" w:space="0" w:color="auto"/>
        <w:right w:val="none" w:sz="0" w:space="0" w:color="auto"/>
      </w:divBdr>
      <w:divsChild>
        <w:div w:id="1246257514">
          <w:marLeft w:val="0"/>
          <w:marRight w:val="0"/>
          <w:marTop w:val="200"/>
          <w:marBottom w:val="200"/>
          <w:divBdr>
            <w:top w:val="single" w:sz="8" w:space="0" w:color="000000"/>
            <w:left w:val="single" w:sz="8" w:space="0" w:color="000000"/>
            <w:bottom w:val="single" w:sz="8" w:space="0" w:color="000000"/>
            <w:right w:val="single" w:sz="8" w:space="0" w:color="000000"/>
          </w:divBdr>
          <w:divsChild>
            <w:div w:id="2019771552">
              <w:marLeft w:val="0"/>
              <w:marRight w:val="0"/>
              <w:marTop w:val="0"/>
              <w:marBottom w:val="0"/>
              <w:divBdr>
                <w:top w:val="none" w:sz="0" w:space="0" w:color="auto"/>
                <w:left w:val="none" w:sz="0" w:space="0" w:color="auto"/>
                <w:bottom w:val="none" w:sz="0" w:space="0" w:color="auto"/>
                <w:right w:val="none" w:sz="0" w:space="0" w:color="auto"/>
              </w:divBdr>
            </w:div>
            <w:div w:id="1562908705">
              <w:marLeft w:val="0"/>
              <w:marRight w:val="0"/>
              <w:marTop w:val="0"/>
              <w:marBottom w:val="0"/>
              <w:divBdr>
                <w:top w:val="none" w:sz="0" w:space="0" w:color="auto"/>
                <w:left w:val="none" w:sz="0" w:space="0" w:color="auto"/>
                <w:bottom w:val="none" w:sz="0" w:space="0" w:color="auto"/>
                <w:right w:val="none" w:sz="0" w:space="0" w:color="auto"/>
              </w:divBdr>
              <w:divsChild>
                <w:div w:id="1439638040">
                  <w:marLeft w:val="0"/>
                  <w:marRight w:val="0"/>
                  <w:marTop w:val="0"/>
                  <w:marBottom w:val="0"/>
                  <w:divBdr>
                    <w:top w:val="none" w:sz="0" w:space="0" w:color="auto"/>
                    <w:left w:val="none" w:sz="0" w:space="0" w:color="auto"/>
                    <w:bottom w:val="none" w:sz="0" w:space="0" w:color="auto"/>
                    <w:right w:val="none" w:sz="0" w:space="0" w:color="auto"/>
                  </w:divBdr>
                </w:div>
                <w:div w:id="402411772">
                  <w:marLeft w:val="0"/>
                  <w:marRight w:val="0"/>
                  <w:marTop w:val="0"/>
                  <w:marBottom w:val="0"/>
                  <w:divBdr>
                    <w:top w:val="none" w:sz="0" w:space="0" w:color="auto"/>
                    <w:left w:val="none" w:sz="0" w:space="0" w:color="auto"/>
                    <w:bottom w:val="none" w:sz="0" w:space="0" w:color="auto"/>
                    <w:right w:val="none" w:sz="0" w:space="0" w:color="auto"/>
                  </w:divBdr>
                </w:div>
                <w:div w:id="1747923190">
                  <w:marLeft w:val="0"/>
                  <w:marRight w:val="0"/>
                  <w:marTop w:val="0"/>
                  <w:marBottom w:val="0"/>
                  <w:divBdr>
                    <w:top w:val="none" w:sz="0" w:space="0" w:color="auto"/>
                    <w:left w:val="none" w:sz="0" w:space="0" w:color="auto"/>
                    <w:bottom w:val="none" w:sz="0" w:space="0" w:color="auto"/>
                    <w:right w:val="none" w:sz="0" w:space="0" w:color="auto"/>
                  </w:divBdr>
                </w:div>
                <w:div w:id="1874152532">
                  <w:marLeft w:val="0"/>
                  <w:marRight w:val="0"/>
                  <w:marTop w:val="0"/>
                  <w:marBottom w:val="0"/>
                  <w:divBdr>
                    <w:top w:val="none" w:sz="0" w:space="0" w:color="auto"/>
                    <w:left w:val="none" w:sz="0" w:space="0" w:color="auto"/>
                    <w:bottom w:val="none" w:sz="0" w:space="0" w:color="auto"/>
                    <w:right w:val="none" w:sz="0" w:space="0" w:color="auto"/>
                  </w:divBdr>
                </w:div>
                <w:div w:id="1521747052">
                  <w:marLeft w:val="0"/>
                  <w:marRight w:val="0"/>
                  <w:marTop w:val="0"/>
                  <w:marBottom w:val="0"/>
                  <w:divBdr>
                    <w:top w:val="none" w:sz="0" w:space="0" w:color="auto"/>
                    <w:left w:val="none" w:sz="0" w:space="0" w:color="auto"/>
                    <w:bottom w:val="none" w:sz="0" w:space="0" w:color="auto"/>
                    <w:right w:val="none" w:sz="0" w:space="0" w:color="auto"/>
                  </w:divBdr>
                </w:div>
                <w:div w:id="595795166">
                  <w:marLeft w:val="0"/>
                  <w:marRight w:val="0"/>
                  <w:marTop w:val="0"/>
                  <w:marBottom w:val="0"/>
                  <w:divBdr>
                    <w:top w:val="none" w:sz="0" w:space="0" w:color="auto"/>
                    <w:left w:val="none" w:sz="0" w:space="0" w:color="auto"/>
                    <w:bottom w:val="none" w:sz="0" w:space="0" w:color="auto"/>
                    <w:right w:val="none" w:sz="0" w:space="0" w:color="auto"/>
                  </w:divBdr>
                </w:div>
                <w:div w:id="2009020374">
                  <w:marLeft w:val="0"/>
                  <w:marRight w:val="0"/>
                  <w:marTop w:val="0"/>
                  <w:marBottom w:val="0"/>
                  <w:divBdr>
                    <w:top w:val="none" w:sz="0" w:space="0" w:color="auto"/>
                    <w:left w:val="none" w:sz="0" w:space="0" w:color="auto"/>
                    <w:bottom w:val="none" w:sz="0" w:space="0" w:color="auto"/>
                    <w:right w:val="none" w:sz="0" w:space="0" w:color="auto"/>
                  </w:divBdr>
                </w:div>
                <w:div w:id="352003855">
                  <w:marLeft w:val="0"/>
                  <w:marRight w:val="0"/>
                  <w:marTop w:val="0"/>
                  <w:marBottom w:val="0"/>
                  <w:divBdr>
                    <w:top w:val="none" w:sz="0" w:space="0" w:color="auto"/>
                    <w:left w:val="none" w:sz="0" w:space="0" w:color="auto"/>
                    <w:bottom w:val="none" w:sz="0" w:space="0" w:color="auto"/>
                    <w:right w:val="none" w:sz="0" w:space="0" w:color="auto"/>
                  </w:divBdr>
                </w:div>
                <w:div w:id="143477547">
                  <w:marLeft w:val="0"/>
                  <w:marRight w:val="0"/>
                  <w:marTop w:val="0"/>
                  <w:marBottom w:val="0"/>
                  <w:divBdr>
                    <w:top w:val="none" w:sz="0" w:space="0" w:color="auto"/>
                    <w:left w:val="none" w:sz="0" w:space="0" w:color="auto"/>
                    <w:bottom w:val="none" w:sz="0" w:space="0" w:color="auto"/>
                    <w:right w:val="none" w:sz="0" w:space="0" w:color="auto"/>
                  </w:divBdr>
                </w:div>
                <w:div w:id="1018967760">
                  <w:marLeft w:val="0"/>
                  <w:marRight w:val="0"/>
                  <w:marTop w:val="0"/>
                  <w:marBottom w:val="0"/>
                  <w:divBdr>
                    <w:top w:val="none" w:sz="0" w:space="0" w:color="auto"/>
                    <w:left w:val="none" w:sz="0" w:space="0" w:color="auto"/>
                    <w:bottom w:val="none" w:sz="0" w:space="0" w:color="auto"/>
                    <w:right w:val="none" w:sz="0" w:space="0" w:color="auto"/>
                  </w:divBdr>
                </w:div>
                <w:div w:id="1509978040">
                  <w:marLeft w:val="0"/>
                  <w:marRight w:val="0"/>
                  <w:marTop w:val="0"/>
                  <w:marBottom w:val="0"/>
                  <w:divBdr>
                    <w:top w:val="none" w:sz="0" w:space="0" w:color="auto"/>
                    <w:left w:val="none" w:sz="0" w:space="0" w:color="auto"/>
                    <w:bottom w:val="none" w:sz="0" w:space="0" w:color="auto"/>
                    <w:right w:val="none" w:sz="0" w:space="0" w:color="auto"/>
                  </w:divBdr>
                </w:div>
                <w:div w:id="550654893">
                  <w:marLeft w:val="0"/>
                  <w:marRight w:val="0"/>
                  <w:marTop w:val="0"/>
                  <w:marBottom w:val="0"/>
                  <w:divBdr>
                    <w:top w:val="none" w:sz="0" w:space="0" w:color="auto"/>
                    <w:left w:val="none" w:sz="0" w:space="0" w:color="auto"/>
                    <w:bottom w:val="none" w:sz="0" w:space="0" w:color="auto"/>
                    <w:right w:val="none" w:sz="0" w:space="0" w:color="auto"/>
                  </w:divBdr>
                </w:div>
                <w:div w:id="1171992351">
                  <w:marLeft w:val="0"/>
                  <w:marRight w:val="0"/>
                  <w:marTop w:val="0"/>
                  <w:marBottom w:val="0"/>
                  <w:divBdr>
                    <w:top w:val="none" w:sz="0" w:space="0" w:color="auto"/>
                    <w:left w:val="none" w:sz="0" w:space="0" w:color="auto"/>
                    <w:bottom w:val="none" w:sz="0" w:space="0" w:color="auto"/>
                    <w:right w:val="none" w:sz="0" w:space="0" w:color="auto"/>
                  </w:divBdr>
                </w:div>
                <w:div w:id="1292055417">
                  <w:marLeft w:val="0"/>
                  <w:marRight w:val="0"/>
                  <w:marTop w:val="0"/>
                  <w:marBottom w:val="0"/>
                  <w:divBdr>
                    <w:top w:val="none" w:sz="0" w:space="0" w:color="auto"/>
                    <w:left w:val="none" w:sz="0" w:space="0" w:color="auto"/>
                    <w:bottom w:val="none" w:sz="0" w:space="0" w:color="auto"/>
                    <w:right w:val="none" w:sz="0" w:space="0" w:color="auto"/>
                  </w:divBdr>
                </w:div>
                <w:div w:id="834495857">
                  <w:marLeft w:val="0"/>
                  <w:marRight w:val="0"/>
                  <w:marTop w:val="0"/>
                  <w:marBottom w:val="0"/>
                  <w:divBdr>
                    <w:top w:val="none" w:sz="0" w:space="0" w:color="auto"/>
                    <w:left w:val="none" w:sz="0" w:space="0" w:color="auto"/>
                    <w:bottom w:val="none" w:sz="0" w:space="0" w:color="auto"/>
                    <w:right w:val="none" w:sz="0" w:space="0" w:color="auto"/>
                  </w:divBdr>
                </w:div>
                <w:div w:id="859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712">
          <w:marLeft w:val="0"/>
          <w:marRight w:val="0"/>
          <w:marTop w:val="200"/>
          <w:marBottom w:val="200"/>
          <w:divBdr>
            <w:top w:val="single" w:sz="8" w:space="0" w:color="000000"/>
            <w:left w:val="single" w:sz="8" w:space="0" w:color="000000"/>
            <w:bottom w:val="single" w:sz="8" w:space="0" w:color="000000"/>
            <w:right w:val="single" w:sz="8" w:space="0" w:color="000000"/>
          </w:divBdr>
          <w:divsChild>
            <w:div w:id="997268095">
              <w:marLeft w:val="0"/>
              <w:marRight w:val="0"/>
              <w:marTop w:val="0"/>
              <w:marBottom w:val="0"/>
              <w:divBdr>
                <w:top w:val="none" w:sz="0" w:space="0" w:color="auto"/>
                <w:left w:val="none" w:sz="0" w:space="0" w:color="auto"/>
                <w:bottom w:val="none" w:sz="0" w:space="0" w:color="auto"/>
                <w:right w:val="none" w:sz="0" w:space="0" w:color="auto"/>
              </w:divBdr>
            </w:div>
            <w:div w:id="2014448117">
              <w:marLeft w:val="0"/>
              <w:marRight w:val="0"/>
              <w:marTop w:val="0"/>
              <w:marBottom w:val="0"/>
              <w:divBdr>
                <w:top w:val="none" w:sz="0" w:space="0" w:color="auto"/>
                <w:left w:val="none" w:sz="0" w:space="0" w:color="auto"/>
                <w:bottom w:val="none" w:sz="0" w:space="0" w:color="auto"/>
                <w:right w:val="none" w:sz="0" w:space="0" w:color="auto"/>
              </w:divBdr>
              <w:divsChild>
                <w:div w:id="136994361">
                  <w:marLeft w:val="0"/>
                  <w:marRight w:val="0"/>
                  <w:marTop w:val="0"/>
                  <w:marBottom w:val="0"/>
                  <w:divBdr>
                    <w:top w:val="none" w:sz="0" w:space="0" w:color="auto"/>
                    <w:left w:val="none" w:sz="0" w:space="0" w:color="auto"/>
                    <w:bottom w:val="none" w:sz="0" w:space="0" w:color="auto"/>
                    <w:right w:val="none" w:sz="0" w:space="0" w:color="auto"/>
                  </w:divBdr>
                </w:div>
                <w:div w:id="1103840420">
                  <w:marLeft w:val="0"/>
                  <w:marRight w:val="0"/>
                  <w:marTop w:val="0"/>
                  <w:marBottom w:val="0"/>
                  <w:divBdr>
                    <w:top w:val="none" w:sz="0" w:space="0" w:color="auto"/>
                    <w:left w:val="none" w:sz="0" w:space="0" w:color="auto"/>
                    <w:bottom w:val="none" w:sz="0" w:space="0" w:color="auto"/>
                    <w:right w:val="none" w:sz="0" w:space="0" w:color="auto"/>
                  </w:divBdr>
                </w:div>
                <w:div w:id="1831169621">
                  <w:marLeft w:val="0"/>
                  <w:marRight w:val="0"/>
                  <w:marTop w:val="0"/>
                  <w:marBottom w:val="0"/>
                  <w:divBdr>
                    <w:top w:val="none" w:sz="0" w:space="0" w:color="auto"/>
                    <w:left w:val="none" w:sz="0" w:space="0" w:color="auto"/>
                    <w:bottom w:val="none" w:sz="0" w:space="0" w:color="auto"/>
                    <w:right w:val="none" w:sz="0" w:space="0" w:color="auto"/>
                  </w:divBdr>
                </w:div>
                <w:div w:id="1308126267">
                  <w:marLeft w:val="0"/>
                  <w:marRight w:val="0"/>
                  <w:marTop w:val="0"/>
                  <w:marBottom w:val="0"/>
                  <w:divBdr>
                    <w:top w:val="none" w:sz="0" w:space="0" w:color="auto"/>
                    <w:left w:val="none" w:sz="0" w:space="0" w:color="auto"/>
                    <w:bottom w:val="none" w:sz="0" w:space="0" w:color="auto"/>
                    <w:right w:val="none" w:sz="0" w:space="0" w:color="auto"/>
                  </w:divBdr>
                </w:div>
                <w:div w:id="1281644739">
                  <w:marLeft w:val="0"/>
                  <w:marRight w:val="0"/>
                  <w:marTop w:val="0"/>
                  <w:marBottom w:val="0"/>
                  <w:divBdr>
                    <w:top w:val="none" w:sz="0" w:space="0" w:color="auto"/>
                    <w:left w:val="none" w:sz="0" w:space="0" w:color="auto"/>
                    <w:bottom w:val="none" w:sz="0" w:space="0" w:color="auto"/>
                    <w:right w:val="none" w:sz="0" w:space="0" w:color="auto"/>
                  </w:divBdr>
                </w:div>
                <w:div w:id="1489705944">
                  <w:marLeft w:val="0"/>
                  <w:marRight w:val="0"/>
                  <w:marTop w:val="0"/>
                  <w:marBottom w:val="0"/>
                  <w:divBdr>
                    <w:top w:val="none" w:sz="0" w:space="0" w:color="auto"/>
                    <w:left w:val="none" w:sz="0" w:space="0" w:color="auto"/>
                    <w:bottom w:val="none" w:sz="0" w:space="0" w:color="auto"/>
                    <w:right w:val="none" w:sz="0" w:space="0" w:color="auto"/>
                  </w:divBdr>
                </w:div>
                <w:div w:id="874586650">
                  <w:marLeft w:val="0"/>
                  <w:marRight w:val="0"/>
                  <w:marTop w:val="0"/>
                  <w:marBottom w:val="0"/>
                  <w:divBdr>
                    <w:top w:val="none" w:sz="0" w:space="0" w:color="auto"/>
                    <w:left w:val="none" w:sz="0" w:space="0" w:color="auto"/>
                    <w:bottom w:val="none" w:sz="0" w:space="0" w:color="auto"/>
                    <w:right w:val="none" w:sz="0" w:space="0" w:color="auto"/>
                  </w:divBdr>
                </w:div>
                <w:div w:id="857233771">
                  <w:marLeft w:val="0"/>
                  <w:marRight w:val="0"/>
                  <w:marTop w:val="0"/>
                  <w:marBottom w:val="0"/>
                  <w:divBdr>
                    <w:top w:val="none" w:sz="0" w:space="0" w:color="auto"/>
                    <w:left w:val="none" w:sz="0" w:space="0" w:color="auto"/>
                    <w:bottom w:val="none" w:sz="0" w:space="0" w:color="auto"/>
                    <w:right w:val="none" w:sz="0" w:space="0" w:color="auto"/>
                  </w:divBdr>
                  <w:divsChild>
                    <w:div w:id="570044893">
                      <w:marLeft w:val="0"/>
                      <w:marRight w:val="0"/>
                      <w:marTop w:val="0"/>
                      <w:marBottom w:val="0"/>
                      <w:divBdr>
                        <w:top w:val="none" w:sz="0" w:space="0" w:color="auto"/>
                        <w:left w:val="none" w:sz="0" w:space="0" w:color="auto"/>
                        <w:bottom w:val="none" w:sz="0" w:space="0" w:color="auto"/>
                        <w:right w:val="none" w:sz="0" w:space="0" w:color="auto"/>
                      </w:divBdr>
                    </w:div>
                    <w:div w:id="801532607">
                      <w:marLeft w:val="0"/>
                      <w:marRight w:val="0"/>
                      <w:marTop w:val="0"/>
                      <w:marBottom w:val="0"/>
                      <w:divBdr>
                        <w:top w:val="none" w:sz="0" w:space="0" w:color="auto"/>
                        <w:left w:val="none" w:sz="0" w:space="0" w:color="auto"/>
                        <w:bottom w:val="none" w:sz="0" w:space="0" w:color="auto"/>
                        <w:right w:val="none" w:sz="0" w:space="0" w:color="auto"/>
                      </w:divBdr>
                    </w:div>
                    <w:div w:id="1823933786">
                      <w:marLeft w:val="0"/>
                      <w:marRight w:val="0"/>
                      <w:marTop w:val="0"/>
                      <w:marBottom w:val="0"/>
                      <w:divBdr>
                        <w:top w:val="none" w:sz="0" w:space="0" w:color="auto"/>
                        <w:left w:val="none" w:sz="0" w:space="0" w:color="auto"/>
                        <w:bottom w:val="none" w:sz="0" w:space="0" w:color="auto"/>
                        <w:right w:val="none" w:sz="0" w:space="0" w:color="auto"/>
                      </w:divBdr>
                    </w:div>
                    <w:div w:id="762994954">
                      <w:marLeft w:val="0"/>
                      <w:marRight w:val="0"/>
                      <w:marTop w:val="0"/>
                      <w:marBottom w:val="0"/>
                      <w:divBdr>
                        <w:top w:val="none" w:sz="0" w:space="0" w:color="auto"/>
                        <w:left w:val="none" w:sz="0" w:space="0" w:color="auto"/>
                        <w:bottom w:val="none" w:sz="0" w:space="0" w:color="auto"/>
                        <w:right w:val="none" w:sz="0" w:space="0" w:color="auto"/>
                      </w:divBdr>
                    </w:div>
                    <w:div w:id="1006901631">
                      <w:marLeft w:val="0"/>
                      <w:marRight w:val="0"/>
                      <w:marTop w:val="0"/>
                      <w:marBottom w:val="0"/>
                      <w:divBdr>
                        <w:top w:val="none" w:sz="0" w:space="0" w:color="auto"/>
                        <w:left w:val="none" w:sz="0" w:space="0" w:color="auto"/>
                        <w:bottom w:val="none" w:sz="0" w:space="0" w:color="auto"/>
                        <w:right w:val="none" w:sz="0" w:space="0" w:color="auto"/>
                      </w:divBdr>
                    </w:div>
                  </w:divsChild>
                </w:div>
                <w:div w:id="1984845639">
                  <w:marLeft w:val="0"/>
                  <w:marRight w:val="0"/>
                  <w:marTop w:val="0"/>
                  <w:marBottom w:val="0"/>
                  <w:divBdr>
                    <w:top w:val="none" w:sz="0" w:space="0" w:color="auto"/>
                    <w:left w:val="none" w:sz="0" w:space="0" w:color="auto"/>
                    <w:bottom w:val="none" w:sz="0" w:space="0" w:color="auto"/>
                    <w:right w:val="none" w:sz="0" w:space="0" w:color="auto"/>
                  </w:divBdr>
                </w:div>
                <w:div w:id="1323898042">
                  <w:marLeft w:val="0"/>
                  <w:marRight w:val="0"/>
                  <w:marTop w:val="0"/>
                  <w:marBottom w:val="0"/>
                  <w:divBdr>
                    <w:top w:val="none" w:sz="0" w:space="0" w:color="auto"/>
                    <w:left w:val="none" w:sz="0" w:space="0" w:color="auto"/>
                    <w:bottom w:val="none" w:sz="0" w:space="0" w:color="auto"/>
                    <w:right w:val="none" w:sz="0" w:space="0" w:color="auto"/>
                  </w:divBdr>
                </w:div>
                <w:div w:id="798260656">
                  <w:marLeft w:val="0"/>
                  <w:marRight w:val="0"/>
                  <w:marTop w:val="0"/>
                  <w:marBottom w:val="0"/>
                  <w:divBdr>
                    <w:top w:val="none" w:sz="0" w:space="0" w:color="auto"/>
                    <w:left w:val="none" w:sz="0" w:space="0" w:color="auto"/>
                    <w:bottom w:val="none" w:sz="0" w:space="0" w:color="auto"/>
                    <w:right w:val="none" w:sz="0" w:space="0" w:color="auto"/>
                  </w:divBdr>
                </w:div>
                <w:div w:id="1772044063">
                  <w:marLeft w:val="0"/>
                  <w:marRight w:val="0"/>
                  <w:marTop w:val="0"/>
                  <w:marBottom w:val="0"/>
                  <w:divBdr>
                    <w:top w:val="none" w:sz="0" w:space="0" w:color="auto"/>
                    <w:left w:val="none" w:sz="0" w:space="0" w:color="auto"/>
                    <w:bottom w:val="none" w:sz="0" w:space="0" w:color="auto"/>
                    <w:right w:val="none" w:sz="0" w:space="0" w:color="auto"/>
                  </w:divBdr>
                </w:div>
                <w:div w:id="450512629">
                  <w:marLeft w:val="0"/>
                  <w:marRight w:val="0"/>
                  <w:marTop w:val="0"/>
                  <w:marBottom w:val="0"/>
                  <w:divBdr>
                    <w:top w:val="none" w:sz="0" w:space="0" w:color="auto"/>
                    <w:left w:val="none" w:sz="0" w:space="0" w:color="auto"/>
                    <w:bottom w:val="none" w:sz="0" w:space="0" w:color="auto"/>
                    <w:right w:val="none" w:sz="0" w:space="0" w:color="auto"/>
                  </w:divBdr>
                </w:div>
                <w:div w:id="805582631">
                  <w:marLeft w:val="0"/>
                  <w:marRight w:val="0"/>
                  <w:marTop w:val="0"/>
                  <w:marBottom w:val="0"/>
                  <w:divBdr>
                    <w:top w:val="none" w:sz="0" w:space="0" w:color="auto"/>
                    <w:left w:val="none" w:sz="0" w:space="0" w:color="auto"/>
                    <w:bottom w:val="none" w:sz="0" w:space="0" w:color="auto"/>
                    <w:right w:val="none" w:sz="0" w:space="0" w:color="auto"/>
                  </w:divBdr>
                </w:div>
                <w:div w:id="1582449039">
                  <w:marLeft w:val="0"/>
                  <w:marRight w:val="0"/>
                  <w:marTop w:val="0"/>
                  <w:marBottom w:val="0"/>
                  <w:divBdr>
                    <w:top w:val="none" w:sz="0" w:space="0" w:color="auto"/>
                    <w:left w:val="none" w:sz="0" w:space="0" w:color="auto"/>
                    <w:bottom w:val="none" w:sz="0" w:space="0" w:color="auto"/>
                    <w:right w:val="none" w:sz="0" w:space="0" w:color="auto"/>
                  </w:divBdr>
                </w:div>
                <w:div w:id="365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3897">
          <w:marLeft w:val="0"/>
          <w:marRight w:val="0"/>
          <w:marTop w:val="200"/>
          <w:marBottom w:val="200"/>
          <w:divBdr>
            <w:top w:val="single" w:sz="8" w:space="0" w:color="000000"/>
            <w:left w:val="single" w:sz="8" w:space="0" w:color="000000"/>
            <w:bottom w:val="single" w:sz="8" w:space="0" w:color="000000"/>
            <w:right w:val="single" w:sz="8" w:space="0" w:color="000000"/>
          </w:divBdr>
          <w:divsChild>
            <w:div w:id="183446295">
              <w:marLeft w:val="0"/>
              <w:marRight w:val="0"/>
              <w:marTop w:val="0"/>
              <w:marBottom w:val="0"/>
              <w:divBdr>
                <w:top w:val="none" w:sz="0" w:space="0" w:color="auto"/>
                <w:left w:val="none" w:sz="0" w:space="0" w:color="auto"/>
                <w:bottom w:val="none" w:sz="0" w:space="0" w:color="auto"/>
                <w:right w:val="none" w:sz="0" w:space="0" w:color="auto"/>
              </w:divBdr>
            </w:div>
            <w:div w:id="1816215414">
              <w:marLeft w:val="0"/>
              <w:marRight w:val="0"/>
              <w:marTop w:val="0"/>
              <w:marBottom w:val="0"/>
              <w:divBdr>
                <w:top w:val="none" w:sz="0" w:space="0" w:color="auto"/>
                <w:left w:val="none" w:sz="0" w:space="0" w:color="auto"/>
                <w:bottom w:val="none" w:sz="0" w:space="0" w:color="auto"/>
                <w:right w:val="none" w:sz="0" w:space="0" w:color="auto"/>
              </w:divBdr>
              <w:divsChild>
                <w:div w:id="730422277">
                  <w:marLeft w:val="0"/>
                  <w:marRight w:val="0"/>
                  <w:marTop w:val="0"/>
                  <w:marBottom w:val="0"/>
                  <w:divBdr>
                    <w:top w:val="none" w:sz="0" w:space="0" w:color="auto"/>
                    <w:left w:val="none" w:sz="0" w:space="0" w:color="auto"/>
                    <w:bottom w:val="none" w:sz="0" w:space="0" w:color="auto"/>
                    <w:right w:val="none" w:sz="0" w:space="0" w:color="auto"/>
                  </w:divBdr>
                </w:div>
                <w:div w:id="1643272966">
                  <w:marLeft w:val="0"/>
                  <w:marRight w:val="0"/>
                  <w:marTop w:val="0"/>
                  <w:marBottom w:val="0"/>
                  <w:divBdr>
                    <w:top w:val="none" w:sz="0" w:space="0" w:color="auto"/>
                    <w:left w:val="none" w:sz="0" w:space="0" w:color="auto"/>
                    <w:bottom w:val="none" w:sz="0" w:space="0" w:color="auto"/>
                    <w:right w:val="none" w:sz="0" w:space="0" w:color="auto"/>
                  </w:divBdr>
                </w:div>
                <w:div w:id="466165788">
                  <w:marLeft w:val="0"/>
                  <w:marRight w:val="0"/>
                  <w:marTop w:val="0"/>
                  <w:marBottom w:val="0"/>
                  <w:divBdr>
                    <w:top w:val="none" w:sz="0" w:space="0" w:color="auto"/>
                    <w:left w:val="none" w:sz="0" w:space="0" w:color="auto"/>
                    <w:bottom w:val="none" w:sz="0" w:space="0" w:color="auto"/>
                    <w:right w:val="none" w:sz="0" w:space="0" w:color="auto"/>
                  </w:divBdr>
                </w:div>
                <w:div w:id="1804813624">
                  <w:marLeft w:val="0"/>
                  <w:marRight w:val="0"/>
                  <w:marTop w:val="0"/>
                  <w:marBottom w:val="0"/>
                  <w:divBdr>
                    <w:top w:val="none" w:sz="0" w:space="0" w:color="auto"/>
                    <w:left w:val="none" w:sz="0" w:space="0" w:color="auto"/>
                    <w:bottom w:val="none" w:sz="0" w:space="0" w:color="auto"/>
                    <w:right w:val="none" w:sz="0" w:space="0" w:color="auto"/>
                  </w:divBdr>
                </w:div>
                <w:div w:id="2138718749">
                  <w:marLeft w:val="0"/>
                  <w:marRight w:val="0"/>
                  <w:marTop w:val="0"/>
                  <w:marBottom w:val="0"/>
                  <w:divBdr>
                    <w:top w:val="none" w:sz="0" w:space="0" w:color="auto"/>
                    <w:left w:val="none" w:sz="0" w:space="0" w:color="auto"/>
                    <w:bottom w:val="none" w:sz="0" w:space="0" w:color="auto"/>
                    <w:right w:val="none" w:sz="0" w:space="0" w:color="auto"/>
                  </w:divBdr>
                </w:div>
                <w:div w:id="2134978130">
                  <w:marLeft w:val="0"/>
                  <w:marRight w:val="0"/>
                  <w:marTop w:val="0"/>
                  <w:marBottom w:val="0"/>
                  <w:divBdr>
                    <w:top w:val="none" w:sz="0" w:space="0" w:color="auto"/>
                    <w:left w:val="none" w:sz="0" w:space="0" w:color="auto"/>
                    <w:bottom w:val="none" w:sz="0" w:space="0" w:color="auto"/>
                    <w:right w:val="none" w:sz="0" w:space="0" w:color="auto"/>
                  </w:divBdr>
                </w:div>
                <w:div w:id="229577305">
                  <w:marLeft w:val="0"/>
                  <w:marRight w:val="0"/>
                  <w:marTop w:val="0"/>
                  <w:marBottom w:val="0"/>
                  <w:divBdr>
                    <w:top w:val="none" w:sz="0" w:space="0" w:color="auto"/>
                    <w:left w:val="none" w:sz="0" w:space="0" w:color="auto"/>
                    <w:bottom w:val="none" w:sz="0" w:space="0" w:color="auto"/>
                    <w:right w:val="none" w:sz="0" w:space="0" w:color="auto"/>
                  </w:divBdr>
                </w:div>
                <w:div w:id="2103799897">
                  <w:marLeft w:val="0"/>
                  <w:marRight w:val="0"/>
                  <w:marTop w:val="0"/>
                  <w:marBottom w:val="0"/>
                  <w:divBdr>
                    <w:top w:val="none" w:sz="0" w:space="0" w:color="auto"/>
                    <w:left w:val="none" w:sz="0" w:space="0" w:color="auto"/>
                    <w:bottom w:val="none" w:sz="0" w:space="0" w:color="auto"/>
                    <w:right w:val="none" w:sz="0" w:space="0" w:color="auto"/>
                  </w:divBdr>
                </w:div>
                <w:div w:id="987133181">
                  <w:marLeft w:val="0"/>
                  <w:marRight w:val="0"/>
                  <w:marTop w:val="0"/>
                  <w:marBottom w:val="0"/>
                  <w:divBdr>
                    <w:top w:val="none" w:sz="0" w:space="0" w:color="auto"/>
                    <w:left w:val="none" w:sz="0" w:space="0" w:color="auto"/>
                    <w:bottom w:val="none" w:sz="0" w:space="0" w:color="auto"/>
                    <w:right w:val="none" w:sz="0" w:space="0" w:color="auto"/>
                  </w:divBdr>
                </w:div>
                <w:div w:id="1066488103">
                  <w:marLeft w:val="0"/>
                  <w:marRight w:val="0"/>
                  <w:marTop w:val="0"/>
                  <w:marBottom w:val="0"/>
                  <w:divBdr>
                    <w:top w:val="none" w:sz="0" w:space="0" w:color="auto"/>
                    <w:left w:val="none" w:sz="0" w:space="0" w:color="auto"/>
                    <w:bottom w:val="none" w:sz="0" w:space="0" w:color="auto"/>
                    <w:right w:val="none" w:sz="0" w:space="0" w:color="auto"/>
                  </w:divBdr>
                </w:div>
                <w:div w:id="1810245834">
                  <w:marLeft w:val="0"/>
                  <w:marRight w:val="0"/>
                  <w:marTop w:val="0"/>
                  <w:marBottom w:val="0"/>
                  <w:divBdr>
                    <w:top w:val="none" w:sz="0" w:space="0" w:color="auto"/>
                    <w:left w:val="none" w:sz="0" w:space="0" w:color="auto"/>
                    <w:bottom w:val="none" w:sz="0" w:space="0" w:color="auto"/>
                    <w:right w:val="none" w:sz="0" w:space="0" w:color="auto"/>
                  </w:divBdr>
                </w:div>
                <w:div w:id="1770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6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90/37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7_dolozka-zlucitelnosti"/>
    <f:field ref="objsubject" par="" edit="true" text=""/>
    <f:field ref="objcreatedby" par="" text="Poloma, Tomáš, Ing."/>
    <f:field ref="objcreatedat" par="" text="20.4.2021 15:25:56"/>
    <f:field ref="objchangedby" par="" text="Administrator, System"/>
    <f:field ref="objmodifiedat" par="" text="20.4.2021 15:25: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2809</Words>
  <Characters>16013</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worknbde</dc:creator>
  <cp:lastModifiedBy>Poloma Tomas</cp:lastModifiedBy>
  <cp:revision>2</cp:revision>
  <cp:lastPrinted>2021-06-01T08:53:00Z</cp:lastPrinted>
  <dcterms:created xsi:type="dcterms:W3CDTF">2021-06-01T11:25:00Z</dcterms:created>
  <dcterms:modified xsi:type="dcterms:W3CDTF">2021-06-01T11:25:00Z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Doložka zlučiteľnosti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COO.2145.1000.3.4330777</vt:lpwstr>
  </property>
  <property fmtid="{D5CDD505-2E9C-101B-9397-08002B2CF9AE}" pid="152" name="FSC#FSCFOLIO@1.1001:docpropproject">
    <vt:lpwstr/>
  </property>
</Properties>
</file>