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1BF2" w14:textId="77777777" w:rsidR="008E2DDD" w:rsidRPr="008E2DDD" w:rsidRDefault="008E2DDD" w:rsidP="008E2DDD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E2DD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(Návrh)</w:t>
      </w:r>
    </w:p>
    <w:p w14:paraId="12B60D6D" w14:textId="77777777" w:rsidR="008E2DDD" w:rsidRPr="008E2DDD" w:rsidRDefault="008E2DDD" w:rsidP="008E2DDD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D2DC179" w14:textId="77777777" w:rsidR="008E2DDD" w:rsidRPr="008E2DDD" w:rsidRDefault="008E2DDD" w:rsidP="008E2DDD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E2D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OPATRENIE</w:t>
      </w:r>
    </w:p>
    <w:p w14:paraId="0F64259D" w14:textId="77777777" w:rsidR="008E2DDD" w:rsidRPr="008E2DDD" w:rsidRDefault="008E2DDD" w:rsidP="008E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DDD">
        <w:rPr>
          <w:rFonts w:ascii="Times New Roman" w:eastAsia="Times New Roman" w:hAnsi="Times New Roman" w:cs="Times New Roman"/>
          <w:b/>
          <w:sz w:val="24"/>
          <w:szCs w:val="24"/>
        </w:rPr>
        <w:t xml:space="preserve">Národnej banky Slovenska </w:t>
      </w:r>
    </w:p>
    <w:p w14:paraId="1003A5D2" w14:textId="77777777" w:rsidR="008E2DDD" w:rsidRPr="008E2DDD" w:rsidRDefault="006635F6" w:rsidP="008E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  .... 20</w:t>
      </w:r>
      <w:r w:rsidR="001D56C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E2DDD" w:rsidRPr="008E2DD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6FD1C16" w14:textId="77777777" w:rsidR="008E2DDD" w:rsidRPr="008E2DDD" w:rsidRDefault="008E2DDD" w:rsidP="008E2D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72B7E09" w14:textId="77777777" w:rsidR="001D56CD" w:rsidRPr="001D56CD" w:rsidRDefault="001D56CD" w:rsidP="001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predkladaní výkazov pobočkou zahraničnej</w:t>
      </w:r>
    </w:p>
    <w:p w14:paraId="0A8F1DD4" w14:textId="77777777" w:rsidR="001D56CD" w:rsidRPr="008E2DDD" w:rsidRDefault="001D56CD" w:rsidP="001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poisťovne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 w:rsidRPr="001D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pobočkou zahraničnej zaisťovne</w:t>
      </w:r>
    </w:p>
    <w:p w14:paraId="2F77F97A" w14:textId="77777777" w:rsidR="008E2DDD" w:rsidRPr="008E2DDD" w:rsidRDefault="008E2DDD" w:rsidP="001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7E49" w14:textId="77777777" w:rsidR="007547E0" w:rsidRPr="008E2DDD" w:rsidRDefault="007547E0" w:rsidP="008E2DDD">
      <w:pPr>
        <w:pStyle w:val="Default"/>
        <w:jc w:val="center"/>
      </w:pPr>
    </w:p>
    <w:p w14:paraId="2FBB7C81" w14:textId="77777777" w:rsidR="008E2DDD" w:rsidRDefault="001D56CD" w:rsidP="008E2DDD">
      <w:pPr>
        <w:pStyle w:val="Default"/>
        <w:ind w:firstLine="540"/>
        <w:jc w:val="both"/>
      </w:pPr>
      <w:r>
        <w:t xml:space="preserve">Národná banka Slovenska podľa § 21 ods. 6 a § 79 ods. 11 zákona č. 39/2015 Z. z. o poisťovníctve a o zmene a doplnení niektorých zákonov a § 35 ods. 2 zákona č. 747/2004 Z. z. o dohľade nad finančným trhom a o zmene a doplnení niektorých zákonov v znení neskorších predpisov ustanovuje: </w:t>
      </w:r>
      <w:r w:rsidR="008E2DDD" w:rsidRPr="008E2DDD">
        <w:t xml:space="preserve"> </w:t>
      </w:r>
    </w:p>
    <w:p w14:paraId="46A42D5D" w14:textId="77777777" w:rsidR="007C29A1" w:rsidRDefault="007C29A1" w:rsidP="008E2DDD">
      <w:pPr>
        <w:pStyle w:val="Default"/>
        <w:ind w:firstLine="540"/>
        <w:jc w:val="both"/>
      </w:pPr>
    </w:p>
    <w:p w14:paraId="236D3416" w14:textId="77777777" w:rsidR="00F01802" w:rsidRPr="00F01802" w:rsidRDefault="00F01802" w:rsidP="00F01802">
      <w:pPr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bookmarkStart w:id="0" w:name="_Ref367453472"/>
      <w:r w:rsidRPr="00F01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Čl. </w:t>
      </w:r>
      <w:bookmarkEnd w:id="0"/>
      <w:r w:rsidRPr="00F01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</w:p>
    <w:p w14:paraId="2F73E7AA" w14:textId="6E2E810B" w:rsidR="007547E0" w:rsidRDefault="001D2160" w:rsidP="00053E54">
      <w:pPr>
        <w:pStyle w:val="Default"/>
        <w:numPr>
          <w:ilvl w:val="0"/>
          <w:numId w:val="12"/>
        </w:numPr>
        <w:jc w:val="both"/>
      </w:pPr>
      <w:r>
        <w:t xml:space="preserve">Výkazy predkladané </w:t>
      </w:r>
      <w:r w:rsidR="00053E54">
        <w:t>p</w:t>
      </w:r>
      <w:r>
        <w:t>obočkou zahraničnej poisťovne</w:t>
      </w:r>
      <w:r w:rsidR="00053E54">
        <w:t xml:space="preserve"> a </w:t>
      </w:r>
      <w:r>
        <w:t>pobočkou zahraničnej zaisťovne</w:t>
      </w:r>
      <w:r w:rsidR="00053E54">
        <w:t xml:space="preserve"> </w:t>
      </w:r>
      <w:r>
        <w:t>sú tieto:</w:t>
      </w:r>
    </w:p>
    <w:p w14:paraId="1BC85CAC" w14:textId="108D4A79" w:rsidR="00446BC6" w:rsidRDefault="00446BC6" w:rsidP="00053E54">
      <w:pPr>
        <w:pStyle w:val="Defaul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6396"/>
      </w:tblGrid>
      <w:tr w:rsidR="00446BC6" w14:paraId="1E9069CA" w14:textId="77777777" w:rsidTr="00600886">
        <w:tc>
          <w:tcPr>
            <w:tcW w:w="2666" w:type="dxa"/>
            <w:tcBorders>
              <w:bottom w:val="single" w:sz="4" w:space="0" w:color="auto"/>
            </w:tcBorders>
          </w:tcPr>
          <w:p w14:paraId="737F1731" w14:textId="49875203" w:rsidR="00446BC6" w:rsidRDefault="00446BC6" w:rsidP="00053E54">
            <w:pPr>
              <w:pStyle w:val="Default"/>
              <w:jc w:val="both"/>
            </w:pPr>
            <w:r w:rsidRPr="00446BC6">
              <w:t>Označenie výkazu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14:paraId="6DA99A46" w14:textId="3C24F49E" w:rsidR="00446BC6" w:rsidRDefault="00446BC6" w:rsidP="00053E54">
            <w:pPr>
              <w:pStyle w:val="Default"/>
              <w:jc w:val="both"/>
            </w:pPr>
            <w:r w:rsidRPr="00446BC6">
              <w:t>Názov výkazu</w:t>
            </w:r>
          </w:p>
        </w:tc>
      </w:tr>
      <w:tr w:rsidR="00446BC6" w14:paraId="4DC1F3D7" w14:textId="77777777" w:rsidTr="00600886">
        <w:tc>
          <w:tcPr>
            <w:tcW w:w="2666" w:type="dxa"/>
            <w:tcBorders>
              <w:top w:val="single" w:sz="4" w:space="0" w:color="auto"/>
            </w:tcBorders>
          </w:tcPr>
          <w:p w14:paraId="253735B0" w14:textId="6FA2DCB9" w:rsidR="00446BC6" w:rsidRDefault="00446BC6" w:rsidP="00446BC6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46BC6">
              <w:t>S.01.02.0</w:t>
            </w:r>
            <w:r w:rsidR="00594594">
              <w:t>7</w:t>
            </w:r>
          </w:p>
        </w:tc>
        <w:tc>
          <w:tcPr>
            <w:tcW w:w="6396" w:type="dxa"/>
            <w:tcBorders>
              <w:top w:val="single" w:sz="4" w:space="0" w:color="auto"/>
            </w:tcBorders>
          </w:tcPr>
          <w:p w14:paraId="52136978" w14:textId="2F7D8BD1" w:rsidR="00446BC6" w:rsidRDefault="00446BC6" w:rsidP="00053E54">
            <w:pPr>
              <w:pStyle w:val="Default"/>
              <w:jc w:val="both"/>
            </w:pPr>
            <w:r w:rsidRPr="00446BC6">
              <w:t>Základné informácie – všeobecné</w:t>
            </w:r>
          </w:p>
        </w:tc>
      </w:tr>
      <w:tr w:rsidR="00446BC6" w14:paraId="61DF45EC" w14:textId="77777777" w:rsidTr="00600886">
        <w:tc>
          <w:tcPr>
            <w:tcW w:w="2666" w:type="dxa"/>
          </w:tcPr>
          <w:p w14:paraId="24B45161" w14:textId="02682F5A" w:rsidR="00446BC6" w:rsidRDefault="00446BC6" w:rsidP="00446BC6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>
              <w:t xml:space="preserve">S.01.03.01 </w:t>
            </w:r>
          </w:p>
        </w:tc>
        <w:tc>
          <w:tcPr>
            <w:tcW w:w="6396" w:type="dxa"/>
          </w:tcPr>
          <w:p w14:paraId="34A2BAA6" w14:textId="71ED3D2D" w:rsidR="00446BC6" w:rsidRDefault="00446BC6" w:rsidP="00053E54">
            <w:pPr>
              <w:pStyle w:val="Default"/>
              <w:jc w:val="both"/>
            </w:pPr>
            <w:r>
              <w:t>Základné informácie – oddelene spravované fondy (RFF) a portfóliá, na ktoré sa uplatňuje párovacia korekcia (MAP)</w:t>
            </w:r>
          </w:p>
        </w:tc>
      </w:tr>
      <w:tr w:rsidR="00446BC6" w14:paraId="1FC79F7F" w14:textId="77777777" w:rsidTr="00600886">
        <w:tc>
          <w:tcPr>
            <w:tcW w:w="2666" w:type="dxa"/>
          </w:tcPr>
          <w:p w14:paraId="4D8A63D9" w14:textId="3EA92C40" w:rsidR="00446BC6" w:rsidRDefault="00446BC6" w:rsidP="00446BC6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>
              <w:t>S.02.01.07</w:t>
            </w:r>
          </w:p>
        </w:tc>
        <w:tc>
          <w:tcPr>
            <w:tcW w:w="6396" w:type="dxa"/>
          </w:tcPr>
          <w:p w14:paraId="51255200" w14:textId="275462F1" w:rsidR="00446BC6" w:rsidRDefault="00446BC6" w:rsidP="00053E54">
            <w:pPr>
              <w:pStyle w:val="Default"/>
              <w:jc w:val="both"/>
            </w:pPr>
            <w:r>
              <w:t>Súvaha</w:t>
            </w:r>
          </w:p>
        </w:tc>
      </w:tr>
      <w:tr w:rsidR="00446BC6" w14:paraId="4BFE3B0A" w14:textId="77777777" w:rsidTr="00600886">
        <w:tc>
          <w:tcPr>
            <w:tcW w:w="2666" w:type="dxa"/>
          </w:tcPr>
          <w:p w14:paraId="483E8847" w14:textId="60272D16" w:rsidR="00446BC6" w:rsidRDefault="00446BC6" w:rsidP="00446BC6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2461B1">
              <w:t>S.02.02.01</w:t>
            </w:r>
          </w:p>
        </w:tc>
        <w:tc>
          <w:tcPr>
            <w:tcW w:w="6396" w:type="dxa"/>
          </w:tcPr>
          <w:p w14:paraId="21FEEE07" w14:textId="6B647E22" w:rsidR="00446BC6" w:rsidRDefault="00446BC6" w:rsidP="00446BC6">
            <w:pPr>
              <w:pStyle w:val="Default"/>
              <w:jc w:val="both"/>
            </w:pPr>
            <w:r>
              <w:t>Aktíva a záväzky podľa meny</w:t>
            </w:r>
          </w:p>
        </w:tc>
      </w:tr>
      <w:tr w:rsidR="00446BC6" w14:paraId="0B702F49" w14:textId="77777777" w:rsidTr="00600886">
        <w:tc>
          <w:tcPr>
            <w:tcW w:w="2666" w:type="dxa"/>
          </w:tcPr>
          <w:p w14:paraId="732BC6D2" w14:textId="59F98FEA" w:rsidR="00446BC6" w:rsidRDefault="00446BC6" w:rsidP="00446BC6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2461B1">
              <w:t>S.02.03.07</w:t>
            </w:r>
          </w:p>
        </w:tc>
        <w:tc>
          <w:tcPr>
            <w:tcW w:w="6396" w:type="dxa"/>
          </w:tcPr>
          <w:p w14:paraId="71775E79" w14:textId="1EEBA4F6" w:rsidR="00446BC6" w:rsidRDefault="000B3D94" w:rsidP="00446BC6">
            <w:pPr>
              <w:pStyle w:val="Default"/>
              <w:jc w:val="both"/>
            </w:pPr>
            <w:r w:rsidRPr="000B3D94">
              <w:t>Ďalšie informácie o súvahe pobočky</w:t>
            </w:r>
          </w:p>
        </w:tc>
      </w:tr>
      <w:tr w:rsidR="00446BC6" w14:paraId="54D812F9" w14:textId="77777777" w:rsidTr="00600886">
        <w:tc>
          <w:tcPr>
            <w:tcW w:w="2666" w:type="dxa"/>
          </w:tcPr>
          <w:p w14:paraId="69D2C993" w14:textId="5612E590" w:rsidR="00446BC6" w:rsidRDefault="00446BC6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2461B1">
              <w:t>S.03.01.01</w:t>
            </w:r>
          </w:p>
        </w:tc>
        <w:tc>
          <w:tcPr>
            <w:tcW w:w="6396" w:type="dxa"/>
          </w:tcPr>
          <w:p w14:paraId="568C063C" w14:textId="3CBE647E" w:rsidR="00446BC6" w:rsidRDefault="00610C20" w:rsidP="00446BC6">
            <w:pPr>
              <w:pStyle w:val="Default"/>
              <w:jc w:val="both"/>
            </w:pPr>
            <w:r>
              <w:t>Podsúvahové položky – všeobecné</w:t>
            </w:r>
          </w:p>
        </w:tc>
      </w:tr>
      <w:tr w:rsidR="00610C20" w14:paraId="573573E0" w14:textId="77777777" w:rsidTr="00600886">
        <w:tc>
          <w:tcPr>
            <w:tcW w:w="2666" w:type="dxa"/>
          </w:tcPr>
          <w:p w14:paraId="005CB8DF" w14:textId="681EE225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S.03.02.01</w:t>
            </w:r>
          </w:p>
        </w:tc>
        <w:tc>
          <w:tcPr>
            <w:tcW w:w="6396" w:type="dxa"/>
          </w:tcPr>
          <w:p w14:paraId="002CF166" w14:textId="142913DA" w:rsidR="00610C20" w:rsidRDefault="00610C20" w:rsidP="00610C20">
            <w:pPr>
              <w:pStyle w:val="Default"/>
              <w:jc w:val="both"/>
            </w:pPr>
            <w:r>
              <w:t>Podsúvahové položky – zoznam neobmedzených záruk, ktoré podnik prijal</w:t>
            </w:r>
          </w:p>
        </w:tc>
      </w:tr>
      <w:tr w:rsidR="00610C20" w14:paraId="23FD5911" w14:textId="77777777" w:rsidTr="00600886">
        <w:tc>
          <w:tcPr>
            <w:tcW w:w="2666" w:type="dxa"/>
          </w:tcPr>
          <w:p w14:paraId="2AAA578C" w14:textId="03D68A0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S.03.03.01</w:t>
            </w:r>
          </w:p>
        </w:tc>
        <w:tc>
          <w:tcPr>
            <w:tcW w:w="6396" w:type="dxa"/>
          </w:tcPr>
          <w:p w14:paraId="63ED5C5D" w14:textId="79E8EABE" w:rsidR="00610C20" w:rsidRDefault="00610C20" w:rsidP="00610C20">
            <w:pPr>
              <w:pStyle w:val="Default"/>
              <w:jc w:val="both"/>
            </w:pPr>
            <w:r>
              <w:t>Podsúvahové položky – zoznam neobmedzených záruk, ktoré podnik poskytol</w:t>
            </w:r>
          </w:p>
        </w:tc>
      </w:tr>
      <w:tr w:rsidR="00610C20" w14:paraId="79D9B8DF" w14:textId="77777777" w:rsidTr="00600886">
        <w:tc>
          <w:tcPr>
            <w:tcW w:w="2666" w:type="dxa"/>
          </w:tcPr>
          <w:p w14:paraId="26E477A3" w14:textId="5878CC55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S.05.01.01</w:t>
            </w:r>
          </w:p>
        </w:tc>
        <w:tc>
          <w:tcPr>
            <w:tcW w:w="6396" w:type="dxa"/>
          </w:tcPr>
          <w:p w14:paraId="25CE63DC" w14:textId="226E4DA3" w:rsidR="00610C20" w:rsidRDefault="00610C20" w:rsidP="00610C20">
            <w:pPr>
              <w:pStyle w:val="Default"/>
              <w:jc w:val="both"/>
            </w:pPr>
            <w:r>
              <w:t>Poistné, poistné plnenia a náklady podľa skupiny činnosti</w:t>
            </w:r>
          </w:p>
        </w:tc>
      </w:tr>
      <w:tr w:rsidR="00610C20" w14:paraId="3CCD5C93" w14:textId="77777777" w:rsidTr="00600886">
        <w:tc>
          <w:tcPr>
            <w:tcW w:w="2666" w:type="dxa"/>
          </w:tcPr>
          <w:p w14:paraId="75D0D45A" w14:textId="2D43CAC5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S.05.02.01</w:t>
            </w:r>
          </w:p>
        </w:tc>
        <w:tc>
          <w:tcPr>
            <w:tcW w:w="6396" w:type="dxa"/>
          </w:tcPr>
          <w:p w14:paraId="676F8850" w14:textId="3DDB338B" w:rsidR="00610C20" w:rsidRDefault="00610C20" w:rsidP="00610C20">
            <w:pPr>
              <w:pStyle w:val="Default"/>
              <w:jc w:val="both"/>
            </w:pPr>
            <w:r>
              <w:t>Poistné, poistné plnenia a náklady podľa krajín</w:t>
            </w:r>
          </w:p>
        </w:tc>
      </w:tr>
      <w:tr w:rsidR="00610C20" w14:paraId="47C253CF" w14:textId="77777777" w:rsidTr="00600886">
        <w:tc>
          <w:tcPr>
            <w:tcW w:w="2666" w:type="dxa"/>
          </w:tcPr>
          <w:p w14:paraId="25C4FE69" w14:textId="1CC6C501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S.06.02.07</w:t>
            </w:r>
          </w:p>
        </w:tc>
        <w:tc>
          <w:tcPr>
            <w:tcW w:w="6396" w:type="dxa"/>
          </w:tcPr>
          <w:p w14:paraId="1160C06A" w14:textId="3211771A" w:rsidR="00610C20" w:rsidRDefault="00610C20" w:rsidP="00610C20">
            <w:pPr>
              <w:pStyle w:val="Default"/>
              <w:jc w:val="both"/>
            </w:pPr>
            <w:r>
              <w:t>Zoznam aktív</w:t>
            </w:r>
          </w:p>
        </w:tc>
      </w:tr>
      <w:tr w:rsidR="00610C20" w14:paraId="3D1D0B04" w14:textId="77777777" w:rsidTr="00600886">
        <w:tc>
          <w:tcPr>
            <w:tcW w:w="2666" w:type="dxa"/>
          </w:tcPr>
          <w:p w14:paraId="5F34B3A4" w14:textId="10807E4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S.06.03.01</w:t>
            </w:r>
          </w:p>
        </w:tc>
        <w:tc>
          <w:tcPr>
            <w:tcW w:w="6396" w:type="dxa"/>
          </w:tcPr>
          <w:p w14:paraId="03DC7FBC" w14:textId="4895A459" w:rsidR="00610C20" w:rsidRDefault="00610C20" w:rsidP="00610C20">
            <w:pPr>
              <w:pStyle w:val="Default"/>
              <w:jc w:val="both"/>
            </w:pPr>
            <w:r>
              <w:t>Podniky kolektívneho investovania – prístup založený na prezretí podkladových expozícií</w:t>
            </w:r>
          </w:p>
        </w:tc>
      </w:tr>
      <w:tr w:rsidR="00610C20" w14:paraId="03C5AE06" w14:textId="77777777" w:rsidTr="00600886">
        <w:tc>
          <w:tcPr>
            <w:tcW w:w="2666" w:type="dxa"/>
          </w:tcPr>
          <w:p w14:paraId="2DE56FC6" w14:textId="2C780A49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S.07.01.01</w:t>
            </w:r>
          </w:p>
        </w:tc>
        <w:tc>
          <w:tcPr>
            <w:tcW w:w="6396" w:type="dxa"/>
          </w:tcPr>
          <w:p w14:paraId="55FDC6EF" w14:textId="178C0C8B" w:rsidR="00610C20" w:rsidRDefault="00610C20" w:rsidP="00610C20">
            <w:pPr>
              <w:pStyle w:val="Default"/>
              <w:jc w:val="both"/>
            </w:pPr>
            <w:r>
              <w:t>Štruktúrované produkty</w:t>
            </w:r>
          </w:p>
        </w:tc>
      </w:tr>
      <w:tr w:rsidR="00610C20" w14:paraId="7ECB9EB8" w14:textId="77777777" w:rsidTr="00600886">
        <w:tc>
          <w:tcPr>
            <w:tcW w:w="2666" w:type="dxa"/>
          </w:tcPr>
          <w:p w14:paraId="406150B6" w14:textId="142F4C5E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S.08.01.01</w:t>
            </w:r>
          </w:p>
        </w:tc>
        <w:tc>
          <w:tcPr>
            <w:tcW w:w="6396" w:type="dxa"/>
          </w:tcPr>
          <w:p w14:paraId="70621BA6" w14:textId="490E3B1E" w:rsidR="00610C20" w:rsidRDefault="00610C20" w:rsidP="00610C20">
            <w:pPr>
              <w:pStyle w:val="Default"/>
              <w:jc w:val="both"/>
            </w:pPr>
            <w:r>
              <w:t>Otvorené deriváty</w:t>
            </w:r>
          </w:p>
        </w:tc>
      </w:tr>
      <w:tr w:rsidR="00610C20" w14:paraId="519F84E2" w14:textId="77777777" w:rsidTr="00600886">
        <w:tc>
          <w:tcPr>
            <w:tcW w:w="2666" w:type="dxa"/>
          </w:tcPr>
          <w:p w14:paraId="3CEE557B" w14:textId="75916E5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S.08.02.01</w:t>
            </w:r>
          </w:p>
        </w:tc>
        <w:tc>
          <w:tcPr>
            <w:tcW w:w="6396" w:type="dxa"/>
          </w:tcPr>
          <w:p w14:paraId="1E522D45" w14:textId="2325F47E" w:rsidR="00610C20" w:rsidRDefault="00610C20" w:rsidP="00610C20">
            <w:pPr>
              <w:pStyle w:val="Default"/>
              <w:jc w:val="both"/>
            </w:pPr>
            <w:r>
              <w:t>Derivátové transakcie</w:t>
            </w:r>
          </w:p>
        </w:tc>
      </w:tr>
      <w:tr w:rsidR="00610C20" w14:paraId="3B8A18CA" w14:textId="77777777" w:rsidTr="00600886">
        <w:tc>
          <w:tcPr>
            <w:tcW w:w="2666" w:type="dxa"/>
          </w:tcPr>
          <w:p w14:paraId="38C6C852" w14:textId="6741EDCB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S.09.01.01</w:t>
            </w:r>
          </w:p>
        </w:tc>
        <w:tc>
          <w:tcPr>
            <w:tcW w:w="6396" w:type="dxa"/>
          </w:tcPr>
          <w:p w14:paraId="3CFFC735" w14:textId="4A58F994" w:rsidR="00610C20" w:rsidRDefault="00610C20" w:rsidP="00610C20">
            <w:pPr>
              <w:pStyle w:val="Default"/>
              <w:jc w:val="both"/>
            </w:pPr>
            <w:r>
              <w:t>Príjmy/zisky a straty v danom období</w:t>
            </w:r>
          </w:p>
        </w:tc>
      </w:tr>
      <w:tr w:rsidR="00610C20" w14:paraId="2DA5B15F" w14:textId="77777777" w:rsidTr="00600886">
        <w:tc>
          <w:tcPr>
            <w:tcW w:w="2666" w:type="dxa"/>
          </w:tcPr>
          <w:p w14:paraId="3BE5E3BC" w14:textId="674C72F7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S.10.01.01</w:t>
            </w:r>
          </w:p>
        </w:tc>
        <w:tc>
          <w:tcPr>
            <w:tcW w:w="6396" w:type="dxa"/>
          </w:tcPr>
          <w:p w14:paraId="7D5E81C7" w14:textId="133F5BA6" w:rsidR="00610C20" w:rsidRDefault="00610C20" w:rsidP="00610C20">
            <w:pPr>
              <w:pStyle w:val="Default"/>
              <w:jc w:val="both"/>
            </w:pPr>
            <w:r>
              <w:t xml:space="preserve">Požičiavanie cenných papierov a </w:t>
            </w:r>
            <w:proofErr w:type="spellStart"/>
            <w:r>
              <w:t>repo</w:t>
            </w:r>
            <w:proofErr w:type="spellEnd"/>
            <w:r>
              <w:t xml:space="preserve"> obchody</w:t>
            </w:r>
          </w:p>
        </w:tc>
      </w:tr>
      <w:tr w:rsidR="00610C20" w14:paraId="17A5B627" w14:textId="77777777" w:rsidTr="00600886">
        <w:tc>
          <w:tcPr>
            <w:tcW w:w="2666" w:type="dxa"/>
          </w:tcPr>
          <w:p w14:paraId="48924993" w14:textId="7AE34EFC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S.11.01.01</w:t>
            </w:r>
          </w:p>
        </w:tc>
        <w:tc>
          <w:tcPr>
            <w:tcW w:w="6396" w:type="dxa"/>
          </w:tcPr>
          <w:p w14:paraId="2F1D71DB" w14:textId="3D7C15FC" w:rsidR="00610C20" w:rsidRDefault="00610C20" w:rsidP="00610C20">
            <w:pPr>
              <w:pStyle w:val="Default"/>
              <w:jc w:val="both"/>
            </w:pPr>
            <w:r>
              <w:t>Aktíva držané ako kolaterál</w:t>
            </w:r>
          </w:p>
        </w:tc>
      </w:tr>
      <w:tr w:rsidR="00610C20" w14:paraId="259A1F83" w14:textId="77777777" w:rsidTr="00600886">
        <w:tc>
          <w:tcPr>
            <w:tcW w:w="2666" w:type="dxa"/>
          </w:tcPr>
          <w:p w14:paraId="4B49B69B" w14:textId="7D5A10E7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S.12.01.01</w:t>
            </w:r>
          </w:p>
        </w:tc>
        <w:tc>
          <w:tcPr>
            <w:tcW w:w="6396" w:type="dxa"/>
          </w:tcPr>
          <w:p w14:paraId="65EF3A3D" w14:textId="199EF27B" w:rsidR="00610C20" w:rsidRDefault="00610C20" w:rsidP="00610C20">
            <w:pPr>
              <w:pStyle w:val="Default"/>
              <w:jc w:val="both"/>
            </w:pPr>
            <w:r>
              <w:t>Technické rezervy životného poistenia a zdravotného poistenia SLT</w:t>
            </w:r>
          </w:p>
        </w:tc>
      </w:tr>
      <w:tr w:rsidR="00610C20" w14:paraId="49646593" w14:textId="77777777" w:rsidTr="00600886">
        <w:tc>
          <w:tcPr>
            <w:tcW w:w="2666" w:type="dxa"/>
          </w:tcPr>
          <w:p w14:paraId="24B7A6E7" w14:textId="03477BC3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S.12.02.01</w:t>
            </w:r>
          </w:p>
        </w:tc>
        <w:tc>
          <w:tcPr>
            <w:tcW w:w="6396" w:type="dxa"/>
          </w:tcPr>
          <w:p w14:paraId="348ABC3E" w14:textId="09E32728" w:rsidR="00610C20" w:rsidRDefault="00610C20" w:rsidP="00610C20">
            <w:pPr>
              <w:pStyle w:val="Default"/>
              <w:jc w:val="both"/>
            </w:pPr>
            <w:r>
              <w:t>Technické rezervy životného poistenia a zdravotného poistenia SLT – podľa krajín</w:t>
            </w:r>
          </w:p>
        </w:tc>
      </w:tr>
      <w:tr w:rsidR="00610C20" w14:paraId="5AA5F838" w14:textId="77777777" w:rsidTr="00600886">
        <w:tc>
          <w:tcPr>
            <w:tcW w:w="2666" w:type="dxa"/>
          </w:tcPr>
          <w:p w14:paraId="2B998415" w14:textId="68639578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S.13.01.01</w:t>
            </w:r>
          </w:p>
        </w:tc>
        <w:tc>
          <w:tcPr>
            <w:tcW w:w="6396" w:type="dxa"/>
          </w:tcPr>
          <w:p w14:paraId="3B6CDEA3" w14:textId="4A6D7FEA" w:rsidR="00610C20" w:rsidRDefault="00610C20" w:rsidP="00610C20">
            <w:pPr>
              <w:pStyle w:val="Default"/>
              <w:jc w:val="both"/>
            </w:pPr>
            <w:r>
              <w:t>Prognózy budúcich hrubých peňažných tokov</w:t>
            </w:r>
          </w:p>
        </w:tc>
      </w:tr>
      <w:tr w:rsidR="00610C20" w14:paraId="32927B16" w14:textId="77777777" w:rsidTr="00600886">
        <w:tc>
          <w:tcPr>
            <w:tcW w:w="2666" w:type="dxa"/>
          </w:tcPr>
          <w:p w14:paraId="2C30507D" w14:textId="4F6A0E3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S.14.01.01</w:t>
            </w:r>
          </w:p>
        </w:tc>
        <w:tc>
          <w:tcPr>
            <w:tcW w:w="6396" w:type="dxa"/>
          </w:tcPr>
          <w:p w14:paraId="548CA493" w14:textId="0DED8584" w:rsidR="00610C20" w:rsidRDefault="00610C20" w:rsidP="00610C20">
            <w:pPr>
              <w:pStyle w:val="Default"/>
              <w:jc w:val="both"/>
            </w:pPr>
            <w:r>
              <w:t>Analýza záväzkov vyplývajúcich zo životného poistenia</w:t>
            </w:r>
          </w:p>
        </w:tc>
      </w:tr>
      <w:tr w:rsidR="00610C20" w14:paraId="49FC65A0" w14:textId="77777777" w:rsidTr="00600886">
        <w:tc>
          <w:tcPr>
            <w:tcW w:w="2666" w:type="dxa"/>
          </w:tcPr>
          <w:p w14:paraId="3888D31C" w14:textId="32AF2001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S.15.01.01</w:t>
            </w:r>
          </w:p>
        </w:tc>
        <w:tc>
          <w:tcPr>
            <w:tcW w:w="6396" w:type="dxa"/>
          </w:tcPr>
          <w:p w14:paraId="7417A406" w14:textId="5106AFCC" w:rsidR="00610C20" w:rsidRDefault="00610C20" w:rsidP="00610C20">
            <w:pPr>
              <w:pStyle w:val="Default"/>
              <w:jc w:val="both"/>
            </w:pPr>
            <w:r>
              <w:t>Opis záruk variabilných anuít</w:t>
            </w:r>
          </w:p>
        </w:tc>
      </w:tr>
      <w:tr w:rsidR="00610C20" w14:paraId="49783B47" w14:textId="77777777" w:rsidTr="00600886">
        <w:tc>
          <w:tcPr>
            <w:tcW w:w="2666" w:type="dxa"/>
          </w:tcPr>
          <w:p w14:paraId="72D3973E" w14:textId="036B94AB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lastRenderedPageBreak/>
              <w:t>S.15.02.01</w:t>
            </w:r>
          </w:p>
        </w:tc>
        <w:tc>
          <w:tcPr>
            <w:tcW w:w="6396" w:type="dxa"/>
          </w:tcPr>
          <w:p w14:paraId="3A5E29D9" w14:textId="6EDFD5B7" w:rsidR="00610C20" w:rsidRDefault="00610C20" w:rsidP="00610C20">
            <w:pPr>
              <w:pStyle w:val="Default"/>
              <w:jc w:val="both"/>
            </w:pPr>
            <w:proofErr w:type="spellStart"/>
            <w:r>
              <w:t>Hedžing</w:t>
            </w:r>
            <w:proofErr w:type="spellEnd"/>
            <w:r>
              <w:t xml:space="preserve"> záruk variabilných anuít</w:t>
            </w:r>
          </w:p>
        </w:tc>
      </w:tr>
      <w:tr w:rsidR="00610C20" w14:paraId="318FA5B8" w14:textId="77777777" w:rsidTr="00600886">
        <w:tc>
          <w:tcPr>
            <w:tcW w:w="2666" w:type="dxa"/>
          </w:tcPr>
          <w:p w14:paraId="1FC5D741" w14:textId="5133107A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S.16.01.01</w:t>
            </w:r>
          </w:p>
        </w:tc>
        <w:tc>
          <w:tcPr>
            <w:tcW w:w="6396" w:type="dxa"/>
          </w:tcPr>
          <w:p w14:paraId="03DF88CC" w14:textId="376D71F7" w:rsidR="00610C20" w:rsidRDefault="00610C20" w:rsidP="00610C20">
            <w:pPr>
              <w:pStyle w:val="Default"/>
              <w:jc w:val="both"/>
            </w:pPr>
            <w:r>
              <w:t>Informácie o anuitách vyplývajúcich zo záväzkov neživotného poistenia</w:t>
            </w:r>
          </w:p>
        </w:tc>
      </w:tr>
      <w:tr w:rsidR="00610C20" w14:paraId="4DEDEA3D" w14:textId="77777777" w:rsidTr="00600886">
        <w:tc>
          <w:tcPr>
            <w:tcW w:w="2666" w:type="dxa"/>
          </w:tcPr>
          <w:p w14:paraId="6ED552BE" w14:textId="2F0C068B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S.17.01.01</w:t>
            </w:r>
          </w:p>
        </w:tc>
        <w:tc>
          <w:tcPr>
            <w:tcW w:w="6396" w:type="dxa"/>
          </w:tcPr>
          <w:p w14:paraId="08D42722" w14:textId="774972B7" w:rsidR="00610C20" w:rsidRDefault="00610C20" w:rsidP="00610C20">
            <w:pPr>
              <w:pStyle w:val="Default"/>
              <w:jc w:val="both"/>
            </w:pPr>
            <w:r>
              <w:t>Technické rezervy neživotného poistenia</w:t>
            </w:r>
          </w:p>
        </w:tc>
      </w:tr>
      <w:tr w:rsidR="00610C20" w14:paraId="7B500BAC" w14:textId="77777777" w:rsidTr="00600886">
        <w:tc>
          <w:tcPr>
            <w:tcW w:w="2666" w:type="dxa"/>
          </w:tcPr>
          <w:p w14:paraId="3B400A6A" w14:textId="7B63BD63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S.17.02.01</w:t>
            </w:r>
          </w:p>
        </w:tc>
        <w:tc>
          <w:tcPr>
            <w:tcW w:w="6396" w:type="dxa"/>
          </w:tcPr>
          <w:p w14:paraId="22DC5FB3" w14:textId="3B9C6928" w:rsidR="00610C20" w:rsidRDefault="00610C20" w:rsidP="00610C20">
            <w:pPr>
              <w:pStyle w:val="Default"/>
              <w:jc w:val="both"/>
            </w:pPr>
            <w:r>
              <w:t>Technické rezervy neživotného poistenia – podľa krajín</w:t>
            </w:r>
          </w:p>
        </w:tc>
      </w:tr>
      <w:tr w:rsidR="00610C20" w14:paraId="072528E0" w14:textId="77777777" w:rsidTr="00600886">
        <w:tc>
          <w:tcPr>
            <w:tcW w:w="2666" w:type="dxa"/>
          </w:tcPr>
          <w:p w14:paraId="48DCC7C9" w14:textId="3C657653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S.18.01.01</w:t>
            </w:r>
          </w:p>
        </w:tc>
        <w:tc>
          <w:tcPr>
            <w:tcW w:w="6396" w:type="dxa"/>
          </w:tcPr>
          <w:p w14:paraId="58E93F10" w14:textId="2151FB9B" w:rsidR="00610C20" w:rsidRDefault="0068799F" w:rsidP="00610C20">
            <w:pPr>
              <w:pStyle w:val="Default"/>
              <w:jc w:val="both"/>
            </w:pPr>
            <w:r>
              <w:t>Prognózy budúcich peňažných tokov (najlepší odhad – neživotné poistenie</w:t>
            </w:r>
          </w:p>
        </w:tc>
      </w:tr>
      <w:tr w:rsidR="00610C20" w14:paraId="725C61B0" w14:textId="77777777" w:rsidTr="00600886">
        <w:tc>
          <w:tcPr>
            <w:tcW w:w="2666" w:type="dxa"/>
          </w:tcPr>
          <w:p w14:paraId="379DC79B" w14:textId="1B7935A2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S.19.01.01</w:t>
            </w:r>
          </w:p>
        </w:tc>
        <w:tc>
          <w:tcPr>
            <w:tcW w:w="6396" w:type="dxa"/>
          </w:tcPr>
          <w:p w14:paraId="3AFF61EC" w14:textId="57735C9F" w:rsidR="00610C20" w:rsidRDefault="0068799F" w:rsidP="00610C20">
            <w:pPr>
              <w:pStyle w:val="Default"/>
              <w:jc w:val="both"/>
            </w:pPr>
            <w:r>
              <w:t>Nároky vyplývajúce z neživotného poistenia</w:t>
            </w:r>
          </w:p>
        </w:tc>
      </w:tr>
      <w:tr w:rsidR="00610C20" w14:paraId="071E271F" w14:textId="77777777" w:rsidTr="00600886">
        <w:tc>
          <w:tcPr>
            <w:tcW w:w="2666" w:type="dxa"/>
          </w:tcPr>
          <w:p w14:paraId="5D1C9DAA" w14:textId="140B3569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S.20.01.01</w:t>
            </w:r>
          </w:p>
        </w:tc>
        <w:tc>
          <w:tcPr>
            <w:tcW w:w="6396" w:type="dxa"/>
          </w:tcPr>
          <w:p w14:paraId="2DD95EFF" w14:textId="589917E9" w:rsidR="00610C20" w:rsidRDefault="0068799F" w:rsidP="00610C20">
            <w:pPr>
              <w:pStyle w:val="Default"/>
              <w:jc w:val="both"/>
            </w:pPr>
            <w:r>
              <w:t>Vývoj distribúcie nákladov na poistné plnenia</w:t>
            </w:r>
          </w:p>
        </w:tc>
      </w:tr>
      <w:tr w:rsidR="00610C20" w14:paraId="0EC5626B" w14:textId="77777777" w:rsidTr="00600886">
        <w:tc>
          <w:tcPr>
            <w:tcW w:w="2666" w:type="dxa"/>
          </w:tcPr>
          <w:p w14:paraId="2ACF7281" w14:textId="0D0CC168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S.21.01.01</w:t>
            </w:r>
          </w:p>
        </w:tc>
        <w:tc>
          <w:tcPr>
            <w:tcW w:w="6396" w:type="dxa"/>
          </w:tcPr>
          <w:p w14:paraId="73689913" w14:textId="01C577E2" w:rsidR="00610C20" w:rsidRDefault="0068799F" w:rsidP="00610C20">
            <w:pPr>
              <w:pStyle w:val="Default"/>
              <w:jc w:val="both"/>
            </w:pPr>
            <w:r>
              <w:t>Rizikový profil rozdeľovania strát</w:t>
            </w:r>
          </w:p>
        </w:tc>
      </w:tr>
      <w:tr w:rsidR="00610C20" w14:paraId="4E140463" w14:textId="77777777" w:rsidTr="00600886">
        <w:tc>
          <w:tcPr>
            <w:tcW w:w="2666" w:type="dxa"/>
          </w:tcPr>
          <w:p w14:paraId="455D67BB" w14:textId="3D647877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S.21.02.01</w:t>
            </w:r>
          </w:p>
        </w:tc>
        <w:tc>
          <w:tcPr>
            <w:tcW w:w="6396" w:type="dxa"/>
          </w:tcPr>
          <w:p w14:paraId="2B614800" w14:textId="7439EDC9" w:rsidR="00610C20" w:rsidRDefault="0068799F" w:rsidP="00610C20">
            <w:pPr>
              <w:pStyle w:val="Default"/>
              <w:jc w:val="both"/>
            </w:pPr>
            <w:r>
              <w:t>Upisovacie riziká neživotného poistenia</w:t>
            </w:r>
          </w:p>
        </w:tc>
      </w:tr>
      <w:tr w:rsidR="00610C20" w14:paraId="0658E3C6" w14:textId="77777777" w:rsidTr="00600886">
        <w:tc>
          <w:tcPr>
            <w:tcW w:w="2666" w:type="dxa"/>
          </w:tcPr>
          <w:p w14:paraId="70F92261" w14:textId="526E4439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S.21.03.01</w:t>
            </w:r>
          </w:p>
        </w:tc>
        <w:tc>
          <w:tcPr>
            <w:tcW w:w="6396" w:type="dxa"/>
          </w:tcPr>
          <w:p w14:paraId="20A8C9F8" w14:textId="66667FA3" w:rsidR="00610C20" w:rsidRDefault="0068799F" w:rsidP="00610C20">
            <w:pPr>
              <w:pStyle w:val="Default"/>
              <w:jc w:val="both"/>
            </w:pPr>
            <w:r>
              <w:t>Rozdelenie upisovacích rizík neživotného poistenia – podľa poistnej sumy</w:t>
            </w:r>
          </w:p>
        </w:tc>
      </w:tr>
      <w:tr w:rsidR="00610C20" w14:paraId="1BA91CAD" w14:textId="77777777" w:rsidTr="00600886">
        <w:tc>
          <w:tcPr>
            <w:tcW w:w="2666" w:type="dxa"/>
          </w:tcPr>
          <w:p w14:paraId="3206BBB2" w14:textId="6B3C141F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S.22.01.01</w:t>
            </w:r>
          </w:p>
        </w:tc>
        <w:tc>
          <w:tcPr>
            <w:tcW w:w="6396" w:type="dxa"/>
          </w:tcPr>
          <w:p w14:paraId="475B7BCC" w14:textId="59259AA0" w:rsidR="00610C20" w:rsidRDefault="0068799F" w:rsidP="00610C20">
            <w:pPr>
              <w:pStyle w:val="Default"/>
              <w:jc w:val="both"/>
            </w:pPr>
            <w:r>
              <w:t>Vplyv opatrení týkajúcich sa dlhodobých záruk a prechodných opatrení</w:t>
            </w:r>
          </w:p>
        </w:tc>
      </w:tr>
      <w:tr w:rsidR="00610C20" w14:paraId="63ACCF02" w14:textId="77777777" w:rsidTr="00600886">
        <w:tc>
          <w:tcPr>
            <w:tcW w:w="2666" w:type="dxa"/>
          </w:tcPr>
          <w:p w14:paraId="41BDCAFA" w14:textId="7ADCEC28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S.22.04.01</w:t>
            </w:r>
          </w:p>
        </w:tc>
        <w:tc>
          <w:tcPr>
            <w:tcW w:w="6396" w:type="dxa"/>
          </w:tcPr>
          <w:p w14:paraId="2920A027" w14:textId="664F3B81" w:rsidR="00610C20" w:rsidRDefault="0068799F" w:rsidP="00610C20">
            <w:pPr>
              <w:pStyle w:val="Default"/>
              <w:jc w:val="both"/>
            </w:pPr>
            <w:r>
              <w:t>Informácie o prechodnom opatrení týkajúcom sa výpočtu úrokových mier</w:t>
            </w:r>
          </w:p>
        </w:tc>
      </w:tr>
      <w:tr w:rsidR="00610C20" w14:paraId="78585D9A" w14:textId="77777777" w:rsidTr="00600886">
        <w:tc>
          <w:tcPr>
            <w:tcW w:w="2666" w:type="dxa"/>
          </w:tcPr>
          <w:p w14:paraId="778E6D92" w14:textId="085CC753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S.22.05.01</w:t>
            </w:r>
          </w:p>
        </w:tc>
        <w:tc>
          <w:tcPr>
            <w:tcW w:w="6396" w:type="dxa"/>
          </w:tcPr>
          <w:p w14:paraId="2E0E5ED2" w14:textId="7A492400" w:rsidR="00610C20" w:rsidRDefault="0068799F" w:rsidP="00610C20">
            <w:pPr>
              <w:pStyle w:val="Default"/>
              <w:jc w:val="both"/>
            </w:pPr>
            <w:r>
              <w:t>Celkový výpočet prechodného opatrenia týkajúceho sa technických rezerv</w:t>
            </w:r>
          </w:p>
        </w:tc>
      </w:tr>
      <w:tr w:rsidR="00610C20" w14:paraId="4D6D748A" w14:textId="77777777" w:rsidTr="00600886">
        <w:tc>
          <w:tcPr>
            <w:tcW w:w="2666" w:type="dxa"/>
          </w:tcPr>
          <w:p w14:paraId="710BC970" w14:textId="6A577A51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S.22.06.01</w:t>
            </w:r>
          </w:p>
        </w:tc>
        <w:tc>
          <w:tcPr>
            <w:tcW w:w="6396" w:type="dxa"/>
          </w:tcPr>
          <w:p w14:paraId="6C3BCE7D" w14:textId="0626974C" w:rsidR="00610C20" w:rsidRDefault="0068799F" w:rsidP="00610C20">
            <w:pPr>
              <w:pStyle w:val="Default"/>
              <w:jc w:val="both"/>
            </w:pPr>
            <w:r>
              <w:t>Najlepší odhad podliehajúci korekcii volatility podľa krajiny a meny</w:t>
            </w:r>
          </w:p>
        </w:tc>
      </w:tr>
      <w:tr w:rsidR="00610C20" w14:paraId="42179709" w14:textId="77777777" w:rsidTr="00600886">
        <w:tc>
          <w:tcPr>
            <w:tcW w:w="2666" w:type="dxa"/>
          </w:tcPr>
          <w:p w14:paraId="7B1CB7F5" w14:textId="38FC53FC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S.23.01.07</w:t>
            </w:r>
          </w:p>
        </w:tc>
        <w:tc>
          <w:tcPr>
            <w:tcW w:w="6396" w:type="dxa"/>
          </w:tcPr>
          <w:p w14:paraId="17CA2C71" w14:textId="099C000E" w:rsidR="00610C20" w:rsidRDefault="0068799F" w:rsidP="00610C20">
            <w:pPr>
              <w:pStyle w:val="Default"/>
              <w:jc w:val="both"/>
            </w:pPr>
            <w:r>
              <w:t>Vlastné zdroje</w:t>
            </w:r>
          </w:p>
        </w:tc>
      </w:tr>
      <w:tr w:rsidR="00610C20" w14:paraId="47F277F6" w14:textId="77777777" w:rsidTr="00600886">
        <w:tc>
          <w:tcPr>
            <w:tcW w:w="2666" w:type="dxa"/>
          </w:tcPr>
          <w:p w14:paraId="1E09FFA6" w14:textId="432ECD3A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S.23.03.07</w:t>
            </w:r>
          </w:p>
        </w:tc>
        <w:tc>
          <w:tcPr>
            <w:tcW w:w="6396" w:type="dxa"/>
          </w:tcPr>
          <w:p w14:paraId="00A152CF" w14:textId="215187D7" w:rsidR="00610C20" w:rsidRDefault="0068799F" w:rsidP="00610C20">
            <w:pPr>
              <w:pStyle w:val="Default"/>
              <w:jc w:val="both"/>
            </w:pPr>
            <w:r>
              <w:t>Ročné pohyby vlastných zdrojov</w:t>
            </w:r>
          </w:p>
        </w:tc>
      </w:tr>
      <w:tr w:rsidR="00610C20" w14:paraId="2EAEF033" w14:textId="77777777" w:rsidTr="00600886">
        <w:tc>
          <w:tcPr>
            <w:tcW w:w="2666" w:type="dxa"/>
          </w:tcPr>
          <w:p w14:paraId="3BF0EB04" w14:textId="75840C6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S.24.01.01</w:t>
            </w:r>
          </w:p>
        </w:tc>
        <w:tc>
          <w:tcPr>
            <w:tcW w:w="6396" w:type="dxa"/>
          </w:tcPr>
          <w:p w14:paraId="2474C4CF" w14:textId="464B5004" w:rsidR="00610C20" w:rsidRDefault="0068799F" w:rsidP="00610C20">
            <w:pPr>
              <w:pStyle w:val="Default"/>
              <w:jc w:val="both"/>
            </w:pPr>
            <w:r>
              <w:t>Účasti v držbe</w:t>
            </w:r>
          </w:p>
        </w:tc>
      </w:tr>
      <w:tr w:rsidR="00610C20" w14:paraId="3218BC83" w14:textId="77777777" w:rsidTr="00600886">
        <w:tc>
          <w:tcPr>
            <w:tcW w:w="2666" w:type="dxa"/>
          </w:tcPr>
          <w:p w14:paraId="08419472" w14:textId="65DBA4B3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482B12">
              <w:t>S.25.01.01</w:t>
            </w:r>
          </w:p>
        </w:tc>
        <w:tc>
          <w:tcPr>
            <w:tcW w:w="6396" w:type="dxa"/>
          </w:tcPr>
          <w:p w14:paraId="56E88A91" w14:textId="62296DF0" w:rsidR="00610C20" w:rsidRDefault="0068799F" w:rsidP="00610C20">
            <w:pPr>
              <w:pStyle w:val="Default"/>
              <w:jc w:val="both"/>
            </w:pPr>
            <w:r>
              <w:t>Kapitálová požiadavka na solventnosť – pre podniky používajúce štandardný vzorec</w:t>
            </w:r>
          </w:p>
        </w:tc>
      </w:tr>
      <w:tr w:rsidR="00610C20" w14:paraId="45E4FC79" w14:textId="77777777" w:rsidTr="00600886">
        <w:tc>
          <w:tcPr>
            <w:tcW w:w="2666" w:type="dxa"/>
          </w:tcPr>
          <w:p w14:paraId="7A04AD47" w14:textId="43EF260F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S.25.02.01</w:t>
            </w:r>
          </w:p>
        </w:tc>
        <w:tc>
          <w:tcPr>
            <w:tcW w:w="6396" w:type="dxa"/>
          </w:tcPr>
          <w:p w14:paraId="207865C5" w14:textId="68860AC2" w:rsidR="00610C20" w:rsidRDefault="0068799F" w:rsidP="00610C20">
            <w:pPr>
              <w:pStyle w:val="Default"/>
              <w:jc w:val="both"/>
            </w:pPr>
            <w:r>
              <w:t>Kapitálová požiadavka na solventnosť – pre podniky používajúce štandardný vzorec a čiastočný vnútorný model</w:t>
            </w:r>
          </w:p>
        </w:tc>
      </w:tr>
      <w:tr w:rsidR="00610C20" w14:paraId="0D2D6A11" w14:textId="77777777" w:rsidTr="00600886">
        <w:tc>
          <w:tcPr>
            <w:tcW w:w="2666" w:type="dxa"/>
          </w:tcPr>
          <w:p w14:paraId="20E477C6" w14:textId="4893EE68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S.25.03.01</w:t>
            </w:r>
          </w:p>
        </w:tc>
        <w:tc>
          <w:tcPr>
            <w:tcW w:w="6396" w:type="dxa"/>
          </w:tcPr>
          <w:p w14:paraId="77D3A352" w14:textId="08D356A7" w:rsidR="00610C20" w:rsidRDefault="0068799F" w:rsidP="00610C20">
            <w:pPr>
              <w:pStyle w:val="Default"/>
              <w:jc w:val="both"/>
            </w:pPr>
            <w:r>
              <w:t>Kapitálová požiadavka na solventnosť – pre podniky používajúce úplné vnútorné modely</w:t>
            </w:r>
          </w:p>
        </w:tc>
      </w:tr>
      <w:tr w:rsidR="00610C20" w14:paraId="5B3FBC67" w14:textId="77777777" w:rsidTr="00600886">
        <w:tc>
          <w:tcPr>
            <w:tcW w:w="2666" w:type="dxa"/>
          </w:tcPr>
          <w:p w14:paraId="224AC999" w14:textId="6E2DE744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S.26.01.01</w:t>
            </w:r>
          </w:p>
        </w:tc>
        <w:tc>
          <w:tcPr>
            <w:tcW w:w="6396" w:type="dxa"/>
          </w:tcPr>
          <w:p w14:paraId="2A24A7A2" w14:textId="2FB2B668" w:rsidR="00610C20" w:rsidRDefault="0068799F" w:rsidP="00610C20">
            <w:pPr>
              <w:pStyle w:val="Default"/>
              <w:jc w:val="both"/>
            </w:pPr>
            <w:r>
              <w:t>Kapitálová požiadavka na solventnosť – trhové riziko</w:t>
            </w:r>
          </w:p>
        </w:tc>
      </w:tr>
      <w:tr w:rsidR="00610C20" w14:paraId="03A194B2" w14:textId="77777777" w:rsidTr="00600886">
        <w:tc>
          <w:tcPr>
            <w:tcW w:w="2666" w:type="dxa"/>
          </w:tcPr>
          <w:p w14:paraId="372BB15B" w14:textId="720E1396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S.26.02.01</w:t>
            </w:r>
          </w:p>
        </w:tc>
        <w:tc>
          <w:tcPr>
            <w:tcW w:w="6396" w:type="dxa"/>
          </w:tcPr>
          <w:p w14:paraId="223FC627" w14:textId="4F000384" w:rsidR="00610C20" w:rsidRDefault="0068799F" w:rsidP="00610C20">
            <w:pPr>
              <w:pStyle w:val="Default"/>
              <w:jc w:val="both"/>
            </w:pPr>
            <w:r>
              <w:t>Kapitálová požiadavka na solventnosť – riziko zlyhania protistrany</w:t>
            </w:r>
          </w:p>
        </w:tc>
      </w:tr>
      <w:tr w:rsidR="00610C20" w14:paraId="34F99D06" w14:textId="77777777" w:rsidTr="00600886">
        <w:tc>
          <w:tcPr>
            <w:tcW w:w="2666" w:type="dxa"/>
          </w:tcPr>
          <w:p w14:paraId="68D231ED" w14:textId="2112534F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S.26.03.01</w:t>
            </w:r>
          </w:p>
        </w:tc>
        <w:tc>
          <w:tcPr>
            <w:tcW w:w="6396" w:type="dxa"/>
          </w:tcPr>
          <w:p w14:paraId="62D232F4" w14:textId="136ED29E" w:rsidR="00610C20" w:rsidRDefault="0068799F" w:rsidP="00610C20">
            <w:pPr>
              <w:pStyle w:val="Default"/>
              <w:jc w:val="both"/>
            </w:pPr>
            <w:r>
              <w:t>Kapitálová požiadavka na solventnosť – upisovacie riziko životného poistenia</w:t>
            </w:r>
          </w:p>
        </w:tc>
      </w:tr>
      <w:tr w:rsidR="00610C20" w14:paraId="7869F11D" w14:textId="77777777" w:rsidTr="00600886">
        <w:tc>
          <w:tcPr>
            <w:tcW w:w="2666" w:type="dxa"/>
          </w:tcPr>
          <w:p w14:paraId="6709B59C" w14:textId="5712D43E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S.26.04.01</w:t>
            </w:r>
          </w:p>
        </w:tc>
        <w:tc>
          <w:tcPr>
            <w:tcW w:w="6396" w:type="dxa"/>
          </w:tcPr>
          <w:p w14:paraId="7A8917FB" w14:textId="21EDFFCE" w:rsidR="00610C20" w:rsidRDefault="0068799F" w:rsidP="00610C20">
            <w:pPr>
              <w:pStyle w:val="Default"/>
              <w:jc w:val="both"/>
            </w:pPr>
            <w:r>
              <w:t>Kapitálová požiadavka na solventnosť – upisovacie riziko zdravotného poistenia</w:t>
            </w:r>
          </w:p>
        </w:tc>
      </w:tr>
      <w:tr w:rsidR="00610C20" w14:paraId="748ABD84" w14:textId="77777777" w:rsidTr="00600886">
        <w:tc>
          <w:tcPr>
            <w:tcW w:w="2666" w:type="dxa"/>
          </w:tcPr>
          <w:p w14:paraId="1353EC56" w14:textId="0865208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S.26.05.01</w:t>
            </w:r>
          </w:p>
        </w:tc>
        <w:tc>
          <w:tcPr>
            <w:tcW w:w="6396" w:type="dxa"/>
          </w:tcPr>
          <w:p w14:paraId="159E4A07" w14:textId="6AEBEB6F" w:rsidR="00610C20" w:rsidRDefault="0068799F" w:rsidP="00610C20">
            <w:pPr>
              <w:pStyle w:val="Default"/>
              <w:jc w:val="both"/>
            </w:pPr>
            <w:r>
              <w:t>Kapitálová požiadavka na solventnosť – upisovacie riziko neživotného poistenia</w:t>
            </w:r>
          </w:p>
        </w:tc>
      </w:tr>
      <w:tr w:rsidR="00610C20" w14:paraId="6BFF27FB" w14:textId="77777777" w:rsidTr="00600886">
        <w:tc>
          <w:tcPr>
            <w:tcW w:w="2666" w:type="dxa"/>
          </w:tcPr>
          <w:p w14:paraId="09955C08" w14:textId="2A9C770A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S.26.06.01</w:t>
            </w:r>
          </w:p>
        </w:tc>
        <w:tc>
          <w:tcPr>
            <w:tcW w:w="6396" w:type="dxa"/>
          </w:tcPr>
          <w:p w14:paraId="41F841C0" w14:textId="596016BB" w:rsidR="00610C20" w:rsidRDefault="0068799F" w:rsidP="00610C20">
            <w:pPr>
              <w:pStyle w:val="Default"/>
              <w:jc w:val="both"/>
            </w:pPr>
            <w:r>
              <w:t>Kapitálová požiadavka na solventnosť – operačné riziko</w:t>
            </w:r>
          </w:p>
        </w:tc>
      </w:tr>
      <w:tr w:rsidR="00610C20" w14:paraId="52FD1AA9" w14:textId="77777777" w:rsidTr="00600886">
        <w:tc>
          <w:tcPr>
            <w:tcW w:w="2666" w:type="dxa"/>
          </w:tcPr>
          <w:p w14:paraId="36ADC218" w14:textId="4F8F786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S.26.07.01</w:t>
            </w:r>
          </w:p>
        </w:tc>
        <w:tc>
          <w:tcPr>
            <w:tcW w:w="6396" w:type="dxa"/>
          </w:tcPr>
          <w:p w14:paraId="42FBDA93" w14:textId="18FA7ECF" w:rsidR="00610C20" w:rsidRDefault="0068799F" w:rsidP="00610C20">
            <w:pPr>
              <w:pStyle w:val="Default"/>
              <w:jc w:val="both"/>
            </w:pPr>
            <w:r>
              <w:t>Kapitálová požiadavka na solventnosť – zjednodušenia</w:t>
            </w:r>
          </w:p>
        </w:tc>
      </w:tr>
      <w:tr w:rsidR="00610C20" w14:paraId="36C40FE3" w14:textId="77777777" w:rsidTr="00600886">
        <w:tc>
          <w:tcPr>
            <w:tcW w:w="2666" w:type="dxa"/>
          </w:tcPr>
          <w:p w14:paraId="52F49664" w14:textId="4E09C82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S.27.01.01</w:t>
            </w:r>
          </w:p>
        </w:tc>
        <w:tc>
          <w:tcPr>
            <w:tcW w:w="6396" w:type="dxa"/>
          </w:tcPr>
          <w:p w14:paraId="0C3A61BC" w14:textId="2BF2632F" w:rsidR="00610C20" w:rsidRDefault="0068799F" w:rsidP="00610C20">
            <w:pPr>
              <w:pStyle w:val="Default"/>
              <w:jc w:val="both"/>
            </w:pPr>
            <w:r>
              <w:t>Kapitálová požiadavka na solventnosť – katastrofické riziko neživotného poistenia a zdravotného poistenia</w:t>
            </w:r>
          </w:p>
        </w:tc>
      </w:tr>
      <w:tr w:rsidR="00610C20" w14:paraId="45EB0C67" w14:textId="77777777" w:rsidTr="00600886">
        <w:tc>
          <w:tcPr>
            <w:tcW w:w="2666" w:type="dxa"/>
          </w:tcPr>
          <w:p w14:paraId="66689897" w14:textId="684F57E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S.28.01.01</w:t>
            </w:r>
          </w:p>
        </w:tc>
        <w:tc>
          <w:tcPr>
            <w:tcW w:w="6396" w:type="dxa"/>
          </w:tcPr>
          <w:p w14:paraId="55B2C2E1" w14:textId="496CD599" w:rsidR="00610C20" w:rsidRDefault="0068799F" w:rsidP="00610C20">
            <w:pPr>
              <w:pStyle w:val="Default"/>
              <w:jc w:val="both"/>
            </w:pPr>
            <w:r>
              <w:t>Minimálna kapitálová požiadavka – len činnosť životného alebo len neživotného poistenia alebo zaistenia</w:t>
            </w:r>
          </w:p>
        </w:tc>
      </w:tr>
      <w:tr w:rsidR="00610C20" w14:paraId="741387B8" w14:textId="77777777" w:rsidTr="00600886">
        <w:tc>
          <w:tcPr>
            <w:tcW w:w="2666" w:type="dxa"/>
          </w:tcPr>
          <w:p w14:paraId="65479D03" w14:textId="46EB2DED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S.28.02.01</w:t>
            </w:r>
          </w:p>
        </w:tc>
        <w:tc>
          <w:tcPr>
            <w:tcW w:w="6396" w:type="dxa"/>
          </w:tcPr>
          <w:p w14:paraId="075F74E1" w14:textId="0796BD40" w:rsidR="00610C20" w:rsidRDefault="0068799F" w:rsidP="00610C20">
            <w:pPr>
              <w:pStyle w:val="Default"/>
              <w:jc w:val="both"/>
            </w:pPr>
            <w:r>
              <w:t>Minimálna kapitálová požiadavka – činnosť životného aj neživotného poistenia</w:t>
            </w:r>
          </w:p>
        </w:tc>
      </w:tr>
      <w:tr w:rsidR="00610C20" w14:paraId="36FD6B24" w14:textId="77777777" w:rsidTr="00600886">
        <w:tc>
          <w:tcPr>
            <w:tcW w:w="2666" w:type="dxa"/>
          </w:tcPr>
          <w:p w14:paraId="2C4A8F96" w14:textId="474DB91C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S.29.01.07</w:t>
            </w:r>
          </w:p>
        </w:tc>
        <w:tc>
          <w:tcPr>
            <w:tcW w:w="6396" w:type="dxa"/>
          </w:tcPr>
          <w:p w14:paraId="43733D24" w14:textId="63B40FAA" w:rsidR="00610C20" w:rsidRDefault="0068799F" w:rsidP="00610C20">
            <w:pPr>
              <w:pStyle w:val="Default"/>
              <w:jc w:val="both"/>
            </w:pPr>
            <w:r>
              <w:t>Prebytok aktív nad záväzkami</w:t>
            </w:r>
          </w:p>
        </w:tc>
      </w:tr>
      <w:tr w:rsidR="00610C20" w14:paraId="1AD253E9" w14:textId="77777777" w:rsidTr="00600886">
        <w:tc>
          <w:tcPr>
            <w:tcW w:w="2666" w:type="dxa"/>
          </w:tcPr>
          <w:p w14:paraId="33040E7C" w14:textId="0BC3431D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S.29.02.01</w:t>
            </w:r>
          </w:p>
        </w:tc>
        <w:tc>
          <w:tcPr>
            <w:tcW w:w="6396" w:type="dxa"/>
          </w:tcPr>
          <w:p w14:paraId="3DAC6CAF" w14:textId="26992532" w:rsidR="00610C20" w:rsidRDefault="0068799F" w:rsidP="00610C20">
            <w:pPr>
              <w:pStyle w:val="Default"/>
              <w:jc w:val="both"/>
            </w:pPr>
            <w:r>
              <w:t>Prebytok aktív nad záväzkami – vysvetlený investíciami a finančnými záväzkami</w:t>
            </w:r>
          </w:p>
        </w:tc>
      </w:tr>
      <w:tr w:rsidR="00610C20" w14:paraId="5C9464D6" w14:textId="77777777" w:rsidTr="00600886">
        <w:tc>
          <w:tcPr>
            <w:tcW w:w="2666" w:type="dxa"/>
          </w:tcPr>
          <w:p w14:paraId="11E9DF6C" w14:textId="5CF25E24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lastRenderedPageBreak/>
              <w:t>S.29.03.01</w:t>
            </w:r>
          </w:p>
        </w:tc>
        <w:tc>
          <w:tcPr>
            <w:tcW w:w="6396" w:type="dxa"/>
          </w:tcPr>
          <w:p w14:paraId="542CFA8A" w14:textId="4C057B97" w:rsidR="00610C20" w:rsidRDefault="0068799F" w:rsidP="00610C20">
            <w:pPr>
              <w:pStyle w:val="Default"/>
              <w:jc w:val="both"/>
            </w:pPr>
            <w:r>
              <w:t>Prebytok aktív nad záväzkami – vysvetlený technickými rezervami</w:t>
            </w:r>
          </w:p>
        </w:tc>
      </w:tr>
      <w:tr w:rsidR="00610C20" w14:paraId="3DD1F2DD" w14:textId="77777777" w:rsidTr="00600886">
        <w:tc>
          <w:tcPr>
            <w:tcW w:w="2666" w:type="dxa"/>
          </w:tcPr>
          <w:p w14:paraId="43ED4460" w14:textId="5912642B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S.29.04.01</w:t>
            </w:r>
          </w:p>
        </w:tc>
        <w:tc>
          <w:tcPr>
            <w:tcW w:w="6396" w:type="dxa"/>
          </w:tcPr>
          <w:p w14:paraId="00650087" w14:textId="60A6FF4F" w:rsidR="00610C20" w:rsidRDefault="0068799F" w:rsidP="00610C20">
            <w:pPr>
              <w:pStyle w:val="Default"/>
              <w:jc w:val="both"/>
            </w:pPr>
            <w:r>
              <w:t>Podrobná analýza za obdobie – technické toky verzus technické rezervy</w:t>
            </w:r>
          </w:p>
        </w:tc>
      </w:tr>
      <w:tr w:rsidR="00610C20" w14:paraId="22AFDF21" w14:textId="77777777" w:rsidTr="00600886">
        <w:tc>
          <w:tcPr>
            <w:tcW w:w="2666" w:type="dxa"/>
          </w:tcPr>
          <w:p w14:paraId="3A5EEE7D" w14:textId="31999E56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S.30.01.01</w:t>
            </w:r>
          </w:p>
        </w:tc>
        <w:tc>
          <w:tcPr>
            <w:tcW w:w="6396" w:type="dxa"/>
          </w:tcPr>
          <w:p w14:paraId="66F01058" w14:textId="1D5720F9" w:rsidR="00610C20" w:rsidRDefault="0068799F" w:rsidP="00610C20">
            <w:pPr>
              <w:pStyle w:val="Default"/>
              <w:jc w:val="both"/>
            </w:pPr>
            <w:r>
              <w:t>Fakultatívne krytia pre neživotné poistenie a životné poistenie – základné údaje</w:t>
            </w:r>
          </w:p>
        </w:tc>
      </w:tr>
      <w:tr w:rsidR="00610C20" w14:paraId="098D730B" w14:textId="77777777" w:rsidTr="00600886">
        <w:tc>
          <w:tcPr>
            <w:tcW w:w="2666" w:type="dxa"/>
          </w:tcPr>
          <w:p w14:paraId="500FC2B0" w14:textId="6D5C257A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S.30.02.01</w:t>
            </w:r>
          </w:p>
        </w:tc>
        <w:tc>
          <w:tcPr>
            <w:tcW w:w="6396" w:type="dxa"/>
          </w:tcPr>
          <w:p w14:paraId="07ACC1A4" w14:textId="4CCC07B5" w:rsidR="00610C20" w:rsidRDefault="0068799F" w:rsidP="00610C20">
            <w:pPr>
              <w:pStyle w:val="Default"/>
              <w:jc w:val="both"/>
            </w:pPr>
            <w:r>
              <w:t>Fakultatívne krytia pre neživotné a životné poistenie – údaje o podieloch</w:t>
            </w:r>
          </w:p>
        </w:tc>
      </w:tr>
      <w:tr w:rsidR="00610C20" w14:paraId="2F43C86E" w14:textId="77777777" w:rsidTr="00600886">
        <w:tc>
          <w:tcPr>
            <w:tcW w:w="2666" w:type="dxa"/>
          </w:tcPr>
          <w:p w14:paraId="128324E5" w14:textId="0316AA2B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S.30.03.01</w:t>
            </w:r>
          </w:p>
        </w:tc>
        <w:tc>
          <w:tcPr>
            <w:tcW w:w="6396" w:type="dxa"/>
          </w:tcPr>
          <w:p w14:paraId="4C2B2C00" w14:textId="76379DBF" w:rsidR="00610C20" w:rsidRDefault="0068799F" w:rsidP="00610C20">
            <w:pPr>
              <w:pStyle w:val="Default"/>
              <w:jc w:val="both"/>
            </w:pPr>
            <w:r>
              <w:t>Program postúpeného zaistenia – základné údaje</w:t>
            </w:r>
          </w:p>
        </w:tc>
      </w:tr>
      <w:tr w:rsidR="00610C20" w14:paraId="3FD408CC" w14:textId="77777777" w:rsidTr="00600886">
        <w:tc>
          <w:tcPr>
            <w:tcW w:w="2666" w:type="dxa"/>
          </w:tcPr>
          <w:p w14:paraId="47694C81" w14:textId="178AD604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S.30.04.01</w:t>
            </w:r>
          </w:p>
        </w:tc>
        <w:tc>
          <w:tcPr>
            <w:tcW w:w="6396" w:type="dxa"/>
          </w:tcPr>
          <w:p w14:paraId="2DA8CD2D" w14:textId="48EE81C1" w:rsidR="00610C20" w:rsidRDefault="0068799F" w:rsidP="00610C20">
            <w:pPr>
              <w:pStyle w:val="Default"/>
              <w:jc w:val="both"/>
            </w:pPr>
            <w:r>
              <w:t>Program postúpeného zaistenia – údaje o podieloch</w:t>
            </w:r>
          </w:p>
        </w:tc>
      </w:tr>
      <w:tr w:rsidR="00610C20" w14:paraId="3BEBFAD4" w14:textId="77777777" w:rsidTr="00600886">
        <w:tc>
          <w:tcPr>
            <w:tcW w:w="2666" w:type="dxa"/>
          </w:tcPr>
          <w:p w14:paraId="44623E98" w14:textId="4441193E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S.31.01.01</w:t>
            </w:r>
          </w:p>
        </w:tc>
        <w:tc>
          <w:tcPr>
            <w:tcW w:w="6396" w:type="dxa"/>
          </w:tcPr>
          <w:p w14:paraId="080827D0" w14:textId="27AE8000" w:rsidR="00610C20" w:rsidRDefault="0068799F" w:rsidP="00610C20">
            <w:pPr>
              <w:pStyle w:val="Default"/>
              <w:jc w:val="both"/>
            </w:pPr>
            <w:r>
              <w:t>Podiel zaisťovateľov (vrátane finitného zaistenia a SPV)</w:t>
            </w:r>
          </w:p>
        </w:tc>
      </w:tr>
      <w:tr w:rsidR="00610C20" w14:paraId="0A5BA4A3" w14:textId="77777777" w:rsidTr="00600886">
        <w:tc>
          <w:tcPr>
            <w:tcW w:w="2666" w:type="dxa"/>
          </w:tcPr>
          <w:p w14:paraId="67026D8E" w14:textId="10723C70" w:rsidR="00610C20" w:rsidRDefault="00610C20" w:rsidP="00610C20">
            <w:pPr>
              <w:pStyle w:val="Default"/>
              <w:numPr>
                <w:ilvl w:val="0"/>
                <w:numId w:val="23"/>
              </w:numPr>
              <w:ind w:left="459"/>
              <w:jc w:val="both"/>
            </w:pPr>
            <w:r w:rsidRPr="00BD4122">
              <w:t>S.31.02.01</w:t>
            </w:r>
          </w:p>
        </w:tc>
        <w:tc>
          <w:tcPr>
            <w:tcW w:w="6396" w:type="dxa"/>
          </w:tcPr>
          <w:p w14:paraId="6331D8EB" w14:textId="7E50E4FF" w:rsidR="00610C20" w:rsidRDefault="0068799F" w:rsidP="00610C20">
            <w:pPr>
              <w:pStyle w:val="Default"/>
              <w:jc w:val="both"/>
            </w:pPr>
            <w:r>
              <w:t>Účelovo vytvorené subjekty</w:t>
            </w:r>
          </w:p>
        </w:tc>
      </w:tr>
    </w:tbl>
    <w:p w14:paraId="176EBD34" w14:textId="77777777" w:rsidR="00446BC6" w:rsidRDefault="00446BC6" w:rsidP="00053E54">
      <w:pPr>
        <w:pStyle w:val="Default"/>
        <w:jc w:val="both"/>
      </w:pPr>
    </w:p>
    <w:p w14:paraId="5D4D02AC" w14:textId="77777777" w:rsidR="00725F55" w:rsidRDefault="00725F55" w:rsidP="00053E54">
      <w:pPr>
        <w:pStyle w:val="Default"/>
        <w:jc w:val="both"/>
      </w:pPr>
    </w:p>
    <w:p w14:paraId="2905E788" w14:textId="5F7D067C" w:rsidR="00AD3E65" w:rsidRDefault="00725F55" w:rsidP="00CB6385">
      <w:pPr>
        <w:pStyle w:val="Default"/>
        <w:numPr>
          <w:ilvl w:val="0"/>
          <w:numId w:val="12"/>
        </w:numPr>
        <w:jc w:val="both"/>
      </w:pPr>
      <w:r>
        <w:t>V</w:t>
      </w:r>
      <w:r w:rsidR="00AD3E65">
        <w:t>ý</w:t>
      </w:r>
      <w:r>
        <w:t xml:space="preserve">kazy </w:t>
      </w:r>
      <w:r w:rsidR="00AD3E65">
        <w:t>podľa odseku 1 písm. b</w:t>
      </w:r>
      <w:r w:rsidR="00AD3E65">
        <w:rPr>
          <w:lang w:val="en-US"/>
        </w:rPr>
        <w:t>), d), f) a</w:t>
      </w:r>
      <w:r w:rsidR="00AD3E65">
        <w:t xml:space="preserve">ž j), l) až </w:t>
      </w:r>
      <w:proofErr w:type="spellStart"/>
      <w:r w:rsidR="00AD3E65">
        <w:t>kk</w:t>
      </w:r>
      <w:proofErr w:type="spellEnd"/>
      <w:r w:rsidR="00AD3E65">
        <w:t xml:space="preserve">), </w:t>
      </w:r>
      <w:proofErr w:type="spellStart"/>
      <w:r w:rsidR="00AD3E65">
        <w:t>nn</w:t>
      </w:r>
      <w:proofErr w:type="spellEnd"/>
      <w:r w:rsidR="00AD3E65">
        <w:t xml:space="preserve">) až </w:t>
      </w:r>
      <w:proofErr w:type="spellStart"/>
      <w:r w:rsidR="00AD3E65">
        <w:t>aaa</w:t>
      </w:r>
      <w:proofErr w:type="spellEnd"/>
      <w:r w:rsidR="00AD3E65">
        <w:t xml:space="preserve">), ccc) až </w:t>
      </w:r>
      <w:proofErr w:type="spellStart"/>
      <w:r w:rsidR="00AD3E65">
        <w:t>kkk</w:t>
      </w:r>
      <w:proofErr w:type="spellEnd"/>
      <w:r w:rsidR="00AD3E65">
        <w:t xml:space="preserve">)  sa vypracúvajú v štruktúre vzoru výkazov uvedených v prílohe </w:t>
      </w:r>
      <w:r w:rsidR="00AD3E65" w:rsidRPr="00AD3E65">
        <w:t>vykonávacieho nariadenia (EÚ) 2015/2450</w:t>
      </w:r>
      <w:r w:rsidR="00AD3E65">
        <w:t>.</w:t>
      </w:r>
    </w:p>
    <w:p w14:paraId="190893AB" w14:textId="77777777" w:rsidR="00AD3E65" w:rsidRDefault="00AD3E65" w:rsidP="00AD3E65">
      <w:pPr>
        <w:pStyle w:val="Default"/>
        <w:ind w:left="960"/>
        <w:jc w:val="both"/>
      </w:pPr>
    </w:p>
    <w:p w14:paraId="4FB1FE3A" w14:textId="65A9F7A6" w:rsidR="00725F55" w:rsidRDefault="00AD3E65" w:rsidP="00AD3E65">
      <w:pPr>
        <w:pStyle w:val="Default"/>
        <w:numPr>
          <w:ilvl w:val="0"/>
          <w:numId w:val="12"/>
        </w:numPr>
        <w:jc w:val="both"/>
      </w:pPr>
      <w:r>
        <w:t>Vzory výkazov podľa odseku 1 písm.</w:t>
      </w:r>
      <w:r w:rsidR="00594594">
        <w:t xml:space="preserve"> a),</w:t>
      </w:r>
      <w:r>
        <w:t xml:space="preserve"> c), e</w:t>
      </w:r>
      <w:r>
        <w:rPr>
          <w:lang w:val="en-US"/>
        </w:rPr>
        <w:t xml:space="preserve">), k), 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), mm) a </w:t>
      </w:r>
      <w:proofErr w:type="spellStart"/>
      <w:r>
        <w:rPr>
          <w:lang w:val="en-US"/>
        </w:rPr>
        <w:t>bbb</w:t>
      </w:r>
      <w:proofErr w:type="spellEnd"/>
      <w:r>
        <w:t>) sú uvedené v prílohách č</w:t>
      </w:r>
      <w:r w:rsidRPr="00AD3E65">
        <w:t xml:space="preserve">. 1 až </w:t>
      </w:r>
      <w:r w:rsidR="00594594">
        <w:t>7</w:t>
      </w:r>
      <w:r>
        <w:t>.</w:t>
      </w:r>
    </w:p>
    <w:p w14:paraId="0E5EDC30" w14:textId="3D7C49D5" w:rsidR="00D66EBA" w:rsidRDefault="00D66EBA" w:rsidP="00053E54">
      <w:pPr>
        <w:pStyle w:val="Default"/>
        <w:jc w:val="both"/>
      </w:pPr>
    </w:p>
    <w:p w14:paraId="199C95F6" w14:textId="06FF947E" w:rsidR="00D66EBA" w:rsidRPr="00F11A0E" w:rsidRDefault="00D66EBA" w:rsidP="00D66EBA">
      <w:pPr>
        <w:pStyle w:val="Default"/>
        <w:numPr>
          <w:ilvl w:val="0"/>
          <w:numId w:val="12"/>
        </w:numPr>
        <w:jc w:val="both"/>
      </w:pPr>
      <w:r>
        <w:t>Výkazy sa vypracúvajú podľa metodiky definovanej v</w:t>
      </w:r>
      <w:r w:rsidR="000B3D94">
        <w:t xml:space="preserve"> prílohe </w:t>
      </w:r>
      <w:r w:rsidR="00594594">
        <w:t>8</w:t>
      </w:r>
      <w:r w:rsidR="000B3D94">
        <w:t>.</w:t>
      </w:r>
    </w:p>
    <w:p w14:paraId="642937A2" w14:textId="77777777" w:rsidR="00D66EBA" w:rsidRDefault="00D66EBA" w:rsidP="00053E54">
      <w:pPr>
        <w:pStyle w:val="Default"/>
        <w:jc w:val="both"/>
      </w:pPr>
    </w:p>
    <w:p w14:paraId="0A35A00F" w14:textId="6F5C92AC" w:rsidR="00053E54" w:rsidRDefault="00053E54" w:rsidP="00053E54">
      <w:pPr>
        <w:pStyle w:val="Default"/>
        <w:jc w:val="both"/>
      </w:pPr>
      <w:r>
        <w:tab/>
      </w:r>
    </w:p>
    <w:p w14:paraId="0154DC24" w14:textId="77777777" w:rsidR="00D66EBA" w:rsidRDefault="00D66EBA" w:rsidP="00F11A0E">
      <w:pPr>
        <w:pStyle w:val="Default"/>
        <w:jc w:val="both"/>
      </w:pPr>
    </w:p>
    <w:p w14:paraId="021CC2F3" w14:textId="77777777" w:rsidR="00E527D4" w:rsidRDefault="00E527D4" w:rsidP="00E527D4">
      <w:pPr>
        <w:pStyle w:val="ListParagraph"/>
      </w:pPr>
    </w:p>
    <w:p w14:paraId="06F863E3" w14:textId="77777777" w:rsidR="00E527D4" w:rsidRPr="009E3CFF" w:rsidRDefault="00E527D4" w:rsidP="00E527D4">
      <w:pPr>
        <w:pStyle w:val="ListParagraph"/>
        <w:autoSpaceDE w:val="0"/>
        <w:autoSpaceDN w:val="0"/>
        <w:adjustRightInd w:val="0"/>
        <w:ind w:left="960"/>
        <w:jc w:val="both"/>
      </w:pPr>
    </w:p>
    <w:p w14:paraId="2A58C7D3" w14:textId="77777777" w:rsidR="00D015EA" w:rsidRDefault="00D015EA" w:rsidP="00D015EA">
      <w:pPr>
        <w:pStyle w:val="Default"/>
        <w:jc w:val="both"/>
      </w:pPr>
    </w:p>
    <w:p w14:paraId="5A8404CD" w14:textId="77777777" w:rsidR="00D015EA" w:rsidRPr="00322501" w:rsidRDefault="00D015EA" w:rsidP="001D2160">
      <w:pPr>
        <w:widowControl w:val="0"/>
        <w:jc w:val="both"/>
        <w:outlineLvl w:val="0"/>
      </w:pPr>
    </w:p>
    <w:p w14:paraId="70775151" w14:textId="77777777" w:rsidR="007C29A1" w:rsidRDefault="007C29A1" w:rsidP="00634CEB">
      <w:pPr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C7788FD" w14:textId="77777777" w:rsidR="001D56CD" w:rsidRDefault="001D56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00CF265C" w14:textId="4702A8A9" w:rsidR="00634CEB" w:rsidRPr="00634CEB" w:rsidRDefault="00634CEB" w:rsidP="00634CEB">
      <w:pPr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34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Čl. I</w:t>
      </w:r>
      <w:r w:rsidR="00792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</w:p>
    <w:p w14:paraId="25FF3FBC" w14:textId="77777777" w:rsidR="00634CEB" w:rsidRPr="00B67928" w:rsidRDefault="00634CEB" w:rsidP="00053E54">
      <w:pPr>
        <w:pStyle w:val="Default"/>
        <w:jc w:val="both"/>
      </w:pPr>
      <w:r w:rsidRPr="00322501">
        <w:t xml:space="preserve">Toto opatrenie nadobúda účinnosť 1. </w:t>
      </w:r>
      <w:r w:rsidR="001D56CD">
        <w:t>januára</w:t>
      </w:r>
      <w:r w:rsidR="007E0BD5" w:rsidRPr="00322501">
        <w:t xml:space="preserve"> 20</w:t>
      </w:r>
      <w:r w:rsidR="001D56CD">
        <w:t>22</w:t>
      </w:r>
      <w:r w:rsidRPr="00322501">
        <w:t>.</w:t>
      </w:r>
    </w:p>
    <w:p w14:paraId="4C3CDE7F" w14:textId="77777777" w:rsidR="00634CEB" w:rsidRPr="00634CEB" w:rsidRDefault="00634CEB" w:rsidP="00634CE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09340" w14:textId="77777777" w:rsidR="00634CEB" w:rsidRDefault="00634CEB" w:rsidP="00634CE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DEFFE" w14:textId="77777777" w:rsidR="007C29A1" w:rsidRDefault="007C29A1" w:rsidP="00634CE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CB2C7" w14:textId="77777777" w:rsidR="00634CEB" w:rsidRPr="008E2DDD" w:rsidRDefault="001D56CD" w:rsidP="00634CEB">
      <w:pPr>
        <w:pStyle w:val="Default"/>
        <w:jc w:val="center"/>
      </w:pPr>
      <w:r w:rsidRPr="001D56CD">
        <w:rPr>
          <w:b/>
          <w:bCs/>
        </w:rPr>
        <w:t xml:space="preserve">Peter </w:t>
      </w:r>
      <w:proofErr w:type="spellStart"/>
      <w:r w:rsidRPr="001D56CD">
        <w:rPr>
          <w:b/>
          <w:bCs/>
        </w:rPr>
        <w:t>Kažimír</w:t>
      </w:r>
      <w:proofErr w:type="spellEnd"/>
      <w:r w:rsidR="00634CEB" w:rsidRPr="008E2DDD">
        <w:rPr>
          <w:b/>
          <w:bCs/>
        </w:rPr>
        <w:t xml:space="preserve"> </w:t>
      </w:r>
    </w:p>
    <w:p w14:paraId="33A3250E" w14:textId="77777777" w:rsidR="00634CEB" w:rsidRDefault="00634CEB" w:rsidP="00634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E2DDD">
        <w:rPr>
          <w:rFonts w:ascii="Times New Roman" w:hAnsi="Times New Roman" w:cs="Times New Roman"/>
          <w:b/>
          <w:bCs/>
          <w:sz w:val="24"/>
          <w:szCs w:val="24"/>
        </w:rPr>
        <w:t>uvernér</w:t>
      </w:r>
    </w:p>
    <w:p w14:paraId="14D15CBC" w14:textId="77777777" w:rsidR="00634CEB" w:rsidRDefault="00634CEB" w:rsidP="00634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6792" w14:textId="77777777" w:rsidR="00634CEB" w:rsidRPr="009C515F" w:rsidRDefault="00634CEB" w:rsidP="001D56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Vydávajúci útvar:</w:t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odbor </w:t>
      </w:r>
      <w:r w:rsidR="001D56CD" w:rsidRP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dohľadu nad poisťovníctvom a dôchodkovým sporením</w:t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oddelenie </w:t>
      </w:r>
      <w:r w:rsidR="001D56CD" w:rsidRP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finančného dohľadu nad poisťovníctvom</w:t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B952CA0" w14:textId="77777777" w:rsidR="001D56CD" w:rsidRDefault="001D56CD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7C1B7E" w14:textId="773C6F67" w:rsidR="00942FC6" w:rsidRDefault="00634CEB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2FC6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Andrea Gondová</w:t>
      </w:r>
      <w:r w:rsidR="00942F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2F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2F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2FC6"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+421 2 5787 </w:t>
      </w:r>
      <w:r w:rsidR="00942FC6">
        <w:rPr>
          <w:rFonts w:ascii="Times New Roman" w:eastAsia="Times New Roman" w:hAnsi="Times New Roman" w:cs="Times New Roman"/>
          <w:sz w:val="24"/>
          <w:szCs w:val="24"/>
          <w:lang w:eastAsia="sk-SK"/>
        </w:rPr>
        <w:t>3404</w:t>
      </w:r>
    </w:p>
    <w:p w14:paraId="648AAFBD" w14:textId="7E93B36A" w:rsidR="00942FC6" w:rsidRDefault="00942FC6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ab/>
      </w:r>
      <w:hyperlink r:id="rId8" w:history="1">
        <w:r w:rsidRPr="00AD343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k-SK"/>
          </w:rPr>
          <w:t>andrea.gondova@nbs.sk</w:t>
        </w:r>
      </w:hyperlink>
    </w:p>
    <w:p w14:paraId="163298B7" w14:textId="3287E654" w:rsidR="00942FC6" w:rsidRDefault="00942FC6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DAEC5" w14:textId="6C9BF20E" w:rsidR="001D56CD" w:rsidRDefault="00942FC6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56CD" w:rsidRP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>Ing. Claudia Fedorčáková</w:t>
      </w:r>
      <w:r w:rsid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56CD"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+421 2 5787 </w:t>
      </w:r>
      <w:r w:rsid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>3343</w:t>
      </w:r>
    </w:p>
    <w:p w14:paraId="0786A1B3" w14:textId="77777777" w:rsidR="001D56CD" w:rsidRDefault="001D56CD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9" w:history="1">
        <w:r w:rsidRPr="002467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claudia.fedorcakova</w:t>
        </w:r>
        <w:r w:rsidRPr="0024678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k-SK"/>
          </w:rPr>
          <w:t>@nbs.sk</w:t>
        </w:r>
      </w:hyperlink>
    </w:p>
    <w:p w14:paraId="52F5F33E" w14:textId="77777777" w:rsidR="001D56CD" w:rsidRDefault="001D56CD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817999" w14:textId="77777777" w:rsidR="00634CEB" w:rsidRPr="009C515F" w:rsidRDefault="001D56CD" w:rsidP="00634C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34CEB"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>Ing. Iveta Ondrisková</w:t>
      </w:r>
      <w:r w:rsidR="00634CEB"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34CEB"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34CEB"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tel.: +421 2 5787 2931</w:t>
      </w:r>
    </w:p>
    <w:p w14:paraId="4222C7E3" w14:textId="77777777" w:rsidR="00634CEB" w:rsidRDefault="00634CEB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515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56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10" w:history="1">
        <w:r w:rsidR="001D56CD" w:rsidRPr="002467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iveta.ondriskova@nbs.sk</w:t>
        </w:r>
      </w:hyperlink>
    </w:p>
    <w:p w14:paraId="4B5B191E" w14:textId="77777777" w:rsidR="001D56CD" w:rsidRDefault="001D56CD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475B0C3" w14:textId="77777777" w:rsidR="004C5DCB" w:rsidRDefault="001D56CD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ab/>
      </w:r>
    </w:p>
    <w:p w14:paraId="4E74FC39" w14:textId="77777777" w:rsidR="004C5DCB" w:rsidRDefault="004C5DCB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7FE011A4" w14:textId="77777777" w:rsidR="002E6029" w:rsidRDefault="002E6029" w:rsidP="005945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sectPr w:rsidR="002E60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DF82F2" w14:textId="3128A8CA" w:rsidR="001D56CD" w:rsidRDefault="00594594" w:rsidP="005945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Príloha 1</w:t>
      </w:r>
    </w:p>
    <w:p w14:paraId="4BA0588D" w14:textId="0DBC5ACF" w:rsidR="00594594" w:rsidRDefault="00594594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3355"/>
        <w:gridCol w:w="2005"/>
        <w:gridCol w:w="4574"/>
      </w:tblGrid>
      <w:tr w:rsidR="00594594" w:rsidRPr="00F757CE" w14:paraId="37D3D092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4BF6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S.01.02.07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D1F2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DF84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ACA6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7F79F38A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5451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Základné informácie – všeobecné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9B1E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B92C1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7ABB1EBB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F7E3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719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9B8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84710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3CC96AC7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D7AD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D0FD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9F04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5CA8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C0010</w:t>
            </w:r>
          </w:p>
        </w:tc>
      </w:tr>
      <w:tr w:rsidR="00594594" w:rsidRPr="00F757CE" w14:paraId="3587F3E8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34A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poisťovne z tretej krajiny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B4C5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R0010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5DC0F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4AFE3881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D78F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Krajina poisťovne z tretej krajiny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E5F58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R0020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7700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18E29713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904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pobočky poisťovne z tretej krajiny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6883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R0030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2636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58F53C54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62E2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Krajina pobočky poisťovne z tretej krajiny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4DAC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R0040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8398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55450FFA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41C0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kód pobočky poisťovne z tretej krajiny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F376B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R0050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E773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0275D857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C48F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Typ kódu pobočky poisťovne z tretej krajiny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7A84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R0060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E840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25BCD484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92318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Jazyk predkladaných výkazov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45757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R0070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8CAE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29BBAA31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1959B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predloženia výkazov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54A5B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3FE0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R0080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64C5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69792437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CDE5D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Referenčný dátum vykazovania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50FB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R0090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73B0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4EFBEFB2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46CB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Pravidelné predkladanie výkazov/predloženie výkazov ad hoc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BA68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R0100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E764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3493AAB7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76FF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Mena použitá vo výkazoch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D4BD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275C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R0110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FBFF3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40583F5D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F55D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Účtovné štandardy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C42F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F8E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R0120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31E6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7B5E3CB6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A18A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Metóda výpočtu kapitálovej požiadavky na solventnosť skupiny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DAF1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R0130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FEAE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243927CE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1AB6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Použitie parametrov špecifických pre podnik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970E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R0140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ACE2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13C563AD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CB2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Oddelene spravované fondy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3FCF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R0150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C676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7CE76455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B04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Párovacia korekcia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51C2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61A3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R0170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5BBE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6520CACA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08B0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Korekcia volatility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732D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7037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R0180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4C31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4D793591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A32A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Prechodné opatrenie týkajúce sa bezrizikovej úrokovej miery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5ECC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R0190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781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71685C65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8D763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Prechodné opatrenie týkajúce sa technických rezerv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D764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R0200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2FCC8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4EE3D2D5" w14:textId="77777777" w:rsidTr="002E6029">
        <w:trPr>
          <w:trHeight w:val="240"/>
        </w:trPr>
        <w:tc>
          <w:tcPr>
            <w:tcW w:w="2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836E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Prvotné predloženie výkazov alebo opätovné predloženie výkazov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ECCC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R0210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4626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65FF9CF6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039B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Typ pobočky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31D0F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BAC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R0220</w:t>
            </w:r>
          </w:p>
        </w:tc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B86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6F57B5CA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7D22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4D2F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3B0A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F9CB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3395C044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E672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51C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C34C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F953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C0020</w:t>
            </w:r>
          </w:p>
        </w:tc>
      </w:tr>
      <w:tr w:rsidR="00594594" w:rsidRPr="00F757CE" w14:paraId="34AEBF90" w14:textId="77777777" w:rsidTr="002E6029">
        <w:trPr>
          <w:trHeight w:val="2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C5C0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Článok 167 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1072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BA02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R0230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BB57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3C92A432" w14:textId="77777777" w:rsidTr="002860CD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D1AD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3B5EF" w14:textId="77777777" w:rsidR="00594594" w:rsidRPr="00F757CE" w:rsidRDefault="00594594" w:rsidP="0059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74BA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5FAC8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0DA476F5" w14:textId="77777777" w:rsidTr="002860CD">
        <w:trPr>
          <w:trHeight w:val="456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1EE53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0D007" w14:textId="77777777" w:rsidR="00594594" w:rsidRPr="000F4A53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96946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pobočky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55E8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Krajina pobočky</w:t>
            </w:r>
          </w:p>
        </w:tc>
      </w:tr>
      <w:tr w:rsidR="00594594" w:rsidRPr="00F757CE" w14:paraId="3E8ACBD9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480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2921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C91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C0030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DCDC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C0040</w:t>
            </w:r>
          </w:p>
        </w:tc>
      </w:tr>
      <w:tr w:rsidR="00594594" w:rsidRPr="00F757CE" w14:paraId="32F9A418" w14:textId="77777777" w:rsidTr="002E6029">
        <w:trPr>
          <w:trHeight w:val="2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1B45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Krajina 1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254C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9891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E936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94594" w:rsidRPr="00F757CE" w14:paraId="4A23BC4B" w14:textId="77777777" w:rsidTr="002E6029">
        <w:trPr>
          <w:trHeight w:val="24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00A4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…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57D7" w14:textId="77777777" w:rsidR="00594594" w:rsidRPr="00F757CE" w:rsidRDefault="00594594" w:rsidP="0059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898CA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545F" w14:textId="77777777" w:rsidR="00594594" w:rsidRPr="00F757CE" w:rsidRDefault="00594594" w:rsidP="005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0DF46B6D" w14:textId="57631C2A" w:rsidR="00594594" w:rsidRDefault="00594594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DD31F42" w14:textId="32AF47B9" w:rsidR="00594594" w:rsidRDefault="00594594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Príloha 2</w:t>
      </w:r>
    </w:p>
    <w:p w14:paraId="095F5655" w14:textId="297FB15A" w:rsidR="00E403EC" w:rsidRDefault="00E403E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5"/>
        <w:gridCol w:w="1028"/>
        <w:gridCol w:w="2269"/>
        <w:gridCol w:w="2322"/>
      </w:tblGrid>
      <w:tr w:rsidR="00E403EC" w:rsidRPr="00F757CE" w14:paraId="46CD24BB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F0F3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S.02.01.07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59B88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C709E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50CA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1CFF1E0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7017C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Súvaha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0CCEF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D353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20393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362175C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EDF2F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512D9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0E394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768F4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65668BE" w14:textId="77777777" w:rsidTr="002E6029">
        <w:trPr>
          <w:trHeight w:val="78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6D92B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4208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E69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 podľa smernice Solventnosť II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768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 podľa štatutárnej účtovnej závierky</w:t>
            </w:r>
          </w:p>
        </w:tc>
      </w:tr>
      <w:tr w:rsidR="00E403EC" w:rsidRPr="00F757CE" w14:paraId="49CDB7D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D2E57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Aktíva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7C055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591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9E6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C0020</w:t>
            </w:r>
          </w:p>
        </w:tc>
      </w:tr>
      <w:tr w:rsidR="00E403EC" w:rsidRPr="00F757CE" w14:paraId="728819E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B3AE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Goodwill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0EB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BA6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E50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3AB6758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97E0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Obstarávacie náklady prevedené do ďalšieho obdobia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531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E76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6E4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29A8BA3E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7612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Nehmotný majetok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4DD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AE3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17B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9AC8275" w14:textId="77777777" w:rsidTr="002E6029">
        <w:trPr>
          <w:trHeight w:val="27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A74D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Odložené daňové pohľadávky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197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40D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7AA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F730C8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8CE8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Prebytok dôchodkových dávok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884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107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7F8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D0D18F3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7BD3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Nehnuteľnosti, stroje a zariadenia držané na vlastné použitie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0CE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6C5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BDB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BE7E077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0076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Investície (iné ako aktíva držané na zmluvy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poistenia) 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951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A41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C40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A70530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F73E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Nehnuteľnosti (iné ako na vlastné použitie)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E05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22C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F67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0A6441F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F047F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Podiely v prepojených podnikoch vrátane účastí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4FC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R0090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943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4B3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85570B8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00E64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Akcie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BD7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3B5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15E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EDE68F4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4453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Akcie – kótované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D2D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157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49C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5D91EC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36AE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Akcie – nekótované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631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285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DB5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3D06BD5C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A7A3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Dlhopisy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EEE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1A3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907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A101BB8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B38A1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Štátne dlhopisy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59E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852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FBC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E6814D6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498C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Podnikové dlhopisy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25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220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138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33B2513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13B5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Štruktúrované cenné papiere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E8E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0A8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061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9FCBEF3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A34D4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Cenné papiere zabezpečené kolaterálom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643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322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CC8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0B6B4D7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62A93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Podniky kolektívneho investovania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090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C07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8D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3416161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932B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Deriváty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A43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R0190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031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324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3B0030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A2EE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Vklady iné ako peňažné ekvivalenty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2C0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B86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E3B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1B1B882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1C5F7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Iné investície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701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262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6D5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DE37234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02546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Aktíva držané na zmluvy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poistenia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C44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779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CFD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3F265C89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FB79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Úvery a hypotéky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2ED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DEC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192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342527AD" w14:textId="77777777" w:rsidTr="002E6029">
        <w:trPr>
          <w:trHeight w:val="285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C12C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Úvery na poistné zmluvy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80C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7E8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1E1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CB18316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E5DA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    Úvery a hypotéky fyzickým osobám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930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E55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F40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12FA492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A9BA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Iné úvery a hypotéky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0A0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96F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700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344E01E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96CEC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Pohľadávky zo zaistenia vyplývajúce z: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8B8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6C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0F4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3D1D0834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6BEE1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Neživotné poistenie a zdravotné poistenie podobné neživotnému poisteniu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B1B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0D4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2FF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CE84301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8012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Katastrofické riziko neživotného poistenia a zdravotného poistenia – zhrnutie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E97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R0290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332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20F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E858079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6716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Zdravotné poistenie podobné neživotnému poisteniu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9C3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F97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445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C9328DE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E6FE3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Životné poistenie a zdravotné poistenie podobné životnému poisteniu okrem zdravotného poistenia,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poistenia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075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976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4D5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0BCF786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CF2C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Zdravotné poistenie podobné životnému poisteniu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B50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E86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15E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57C0C9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7BA9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Životné poistenie okrem zdravotného poistenia,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poistenia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F42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BDC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633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D3845D2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CDD9E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Životné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poistenie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68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FAF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D49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11253E6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867E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Vklady pri aktívnom zaistení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7DB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DB1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1CB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AF1E6FA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79F8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Pohľadávky z poistenia a voči sprostredkovateľom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E9A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54E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11D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54C4674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F37E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Pohľadávky vyplývajúce zo zaistenia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E73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020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1F2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030370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B2D2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Pohľadávky (z obchodného styku, iné ako poistenie)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049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210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9D8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7A75C7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BE73A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Peňažné prostriedky a peňažné ekvivalenty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742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R0410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204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A25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1A24881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F76E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Všetky ostatné aktíva, inde neuvedené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36D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R0420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988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172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876FB93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30B7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 Aktíva celkom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AA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CDA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B65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26E87568" w14:textId="77777777" w:rsidTr="002E6029">
        <w:trPr>
          <w:trHeight w:val="11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DE815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D318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5E2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 podľa smernice Solventnosť II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103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 podľa štatutárnej účtovnej závierky</w:t>
            </w:r>
          </w:p>
        </w:tc>
      </w:tr>
      <w:tr w:rsidR="00E403EC" w:rsidRPr="00F757CE" w14:paraId="75FBB44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DA71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Záväzky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4FBB7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6D1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6AB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C0020</w:t>
            </w:r>
          </w:p>
        </w:tc>
      </w:tr>
      <w:tr w:rsidR="00E403EC" w:rsidRPr="00F757CE" w14:paraId="5C376DFF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1FE6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Technical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provisions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non-life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8A3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C9F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600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3F43B70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ADF8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Technical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provisions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non-life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excluding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health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F73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811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A72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14A71C6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2156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Technické rezervy vypočítané ako celok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BE6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41C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407260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D7A93E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783E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Najlepší odhad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CF0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CD4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59919A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2A6A076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FC80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Riziková marža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B6C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E3D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02265C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BF80F11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B8AA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Technické rezervy – zdravotné poistenie (podobné neživotnému poisteniu)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3DE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BEB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AA5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27D52E44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BBA5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Technické rezervy vypočítané ako celok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72D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BFD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212BC94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4469455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CA425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Najlepší odhad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F72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947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AFFD97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08C285E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3C26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Riziková marža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4B4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R0590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DBF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69FEE7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643B603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57AFC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Technické rezervy – životné poistenie (okrem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poistenia)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F16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172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C3A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6775801E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4A7B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Technické rezervy – zdravotné poistenie (podobné životnému poisteniu)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562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D2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7A5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3D6AE08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0E10F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Technické rezervy vypočítané ako celok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ADF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2C2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622E5C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FD1B687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F4A76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      Najlepší odhad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7DB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92A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2D2E61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0B745D5" w14:textId="77777777" w:rsidTr="002E6029">
        <w:trPr>
          <w:trHeight w:val="252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3F66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Riziková marža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E42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6E10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5A11BE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409D76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EAD9B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Technical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provisions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life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excluding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health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FA1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E61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5CC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46D80A1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37DB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Technické rezervy vypočítané ako celok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9C6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19E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3BA7D8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7891775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4DE5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Najlepší odhad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26E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53A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CD3770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CFB9A0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E940" w14:textId="77777777" w:rsidR="00E403EC" w:rsidRPr="00F757CE" w:rsidRDefault="00E403EC" w:rsidP="00E403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  Riziková marža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1EE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72C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344AF0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0153FF0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BDE3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Technical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provisions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unit-linked</w:t>
            </w:r>
            <w:proofErr w:type="spellEnd"/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8D2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R0690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C2E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A29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7A3B0B6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C628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Technické rezervy vypočítané ako celok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E2E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2AE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A0908C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02F1930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02D7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Najlepší odhad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F24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927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7126FFC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E382517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FA37" w14:textId="77777777" w:rsidR="00E403EC" w:rsidRPr="00F757CE" w:rsidRDefault="00E403EC" w:rsidP="00E403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  Riziková marža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D72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3D8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621153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C9FEF3A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C715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Ostatné technické rezervy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67C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9CB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585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572D4D7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953F2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Podmienené záväzky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368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4A5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6E2F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1719C6B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3F28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Rezervy iné ako technické rezervy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AF8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D19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72BD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098EF44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93F5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Záväzky z dôchodkových dávok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E4B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EC1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2359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240EC83F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C6B1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Vklady od zaisťovateľov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369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00D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A7A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7D927E2B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DCEB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Odložené daňové záväzky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20E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14B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1E3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07E9566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356C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Deriváty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6F8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R0790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0CBF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6DF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D933F65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21B9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Dlhy voči úverovým inštitúciám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B4D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R0800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4E8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9A9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2A3F1F2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3CEBF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Finančné záväzky okrem dlhov voči úverovým inštitúciám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530B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R0810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CF2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ABE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4611F12A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A4C1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Záväzky z poistenia a voči sprostredkovateľom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8A2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R0820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044E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08E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24F351B4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A609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Záväzky zo zaistenia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6F93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R0830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3F1C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CD7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10376A37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1E37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Záväzky (z obchodného styku, iné ako poistenie)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E3D1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R0840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BFD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58C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51BBD9CD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81FE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Všetky ostatné záväzky, inde neuvedené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C816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R0880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D38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AC3A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2CEA4F49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F782D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 Záväzky celkom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13A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R0900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4462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3A38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403EC" w:rsidRPr="00F757CE" w14:paraId="0F5191A4" w14:textId="77777777" w:rsidTr="002E6029">
        <w:trPr>
          <w:trHeight w:val="240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6E4D" w14:textId="77777777" w:rsidR="00E403EC" w:rsidRPr="00F757CE" w:rsidRDefault="00E403EC" w:rsidP="00E4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Prebytok aktív nad záväzkami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3E17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R1000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C215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95A4" w14:textId="77777777" w:rsidR="00E403EC" w:rsidRPr="00F757CE" w:rsidRDefault="00E403EC" w:rsidP="00E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22C3A58F" w14:textId="390CE375" w:rsidR="00E403EC" w:rsidRDefault="00E403E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</w:p>
    <w:p w14:paraId="3E7EE329" w14:textId="24DD65B3" w:rsidR="00CB6385" w:rsidRDefault="00CB6385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br w:type="page"/>
      </w:r>
    </w:p>
    <w:p w14:paraId="5C935AA5" w14:textId="111F64BB" w:rsidR="00CB6385" w:rsidRDefault="00CB6385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lastRenderedPageBreak/>
        <w:t>Pr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íloha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3</w:t>
      </w:r>
    </w:p>
    <w:p w14:paraId="7C682742" w14:textId="42B6FA33" w:rsidR="00CB6385" w:rsidRDefault="00CB6385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2451"/>
        <w:gridCol w:w="1725"/>
        <w:gridCol w:w="1907"/>
        <w:gridCol w:w="2652"/>
        <w:gridCol w:w="1790"/>
        <w:gridCol w:w="1482"/>
      </w:tblGrid>
      <w:tr w:rsidR="00A65272" w:rsidRPr="00F757CE" w14:paraId="225AB078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00B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S.02.03.07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98E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3AF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20C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EAA7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0CE48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49D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3CC615D1" w14:textId="77777777" w:rsidTr="002E6029">
        <w:trPr>
          <w:trHeight w:val="240"/>
        </w:trPr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0A178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Ďalšie informácie o súvahe pobočky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431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F88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6D7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563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CDC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1EE3E52B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FCF5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087B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170C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025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F14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5947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E3A5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75EBADB1" w14:textId="77777777" w:rsidTr="002E6029">
        <w:trPr>
          <w:trHeight w:val="456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6D4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06CB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Čistá hodnota zaťažených aktív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6BB7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40BF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D9D2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C83E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B06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6E51F01C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61C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E5BA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C0010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0ED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910A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050C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8417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1AF5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5C6464F6" w14:textId="77777777" w:rsidTr="002E6029">
        <w:trPr>
          <w:trHeight w:val="45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4A7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Aktíva celkom podľa súvahy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D7CE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B72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36CB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E05D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28B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325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61D989E8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091C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4458D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CE58D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F15F6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39A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EFB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2C1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3B027BAE" w14:textId="77777777" w:rsidTr="002E6029">
        <w:trPr>
          <w:trHeight w:val="240"/>
        </w:trPr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C666A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Zoznam zaťažených aktív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E83F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768E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EBDE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8C06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9D1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41F5A9C6" w14:textId="77777777" w:rsidTr="002E6029">
        <w:trPr>
          <w:trHeight w:val="6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844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Kód zaťažených aktív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928A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kódu zaťažených aktív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78F2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Popis zaťažených aktív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BA52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Hrubá hodnota podľa súvahy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D6E6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Hodnota, ktorá je predmetom predchádzajúcich bezpečnostných záujmov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F9BE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Čistá hodnota zaťažených aktív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ACBE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Popis zaťaženia</w:t>
            </w:r>
          </w:p>
        </w:tc>
      </w:tr>
      <w:tr w:rsidR="00A65272" w:rsidRPr="00F757CE" w14:paraId="6260FF8F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E5FA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C0020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6185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ED98D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AC79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64EA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3F5E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0FB99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C0080</w:t>
            </w:r>
          </w:p>
        </w:tc>
      </w:tr>
      <w:tr w:rsidR="00A65272" w:rsidRPr="00F757CE" w14:paraId="78C261AE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0F2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3A55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A47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93E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499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6BA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820E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0BFB1BBA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396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4BE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0F5AA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6F9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14C6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B68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9D7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2ABA1961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37035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47F96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F91A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2BC4E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EEEF9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2C35D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D98C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693A3515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C5BFB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1797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7B9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DB7F3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6E7BB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4AD7A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FF22C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B6385" w:rsidRPr="00F757CE" w14:paraId="65D8E5E4" w14:textId="77777777" w:rsidTr="002E6029">
        <w:trPr>
          <w:trHeight w:val="240"/>
        </w:trPr>
        <w:tc>
          <w:tcPr>
            <w:tcW w:w="4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3622F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Zoznam prednostných pohľadávok pobočky - splatné z disponibilného majetku pobočky prednostne pred poistnými plneniami pobočky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9311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0E4CC5BF" w14:textId="77777777" w:rsidTr="002E6029">
        <w:trPr>
          <w:trHeight w:val="42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3943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 záväzkov podľa súvahy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AC95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Hrubá hodnota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C9E4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Prednostná pohľadávka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E9AD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Čistá hodnota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84E0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C3D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3D5D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1B55D1B9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E344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C0090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67FD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4F44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D55E" w14:textId="77777777" w:rsidR="00CB6385" w:rsidRPr="00F757CE" w:rsidRDefault="00CB6385" w:rsidP="00CB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C0120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2661E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671D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491B0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2FFF9264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B764E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66ED8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2C82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617A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4E87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5648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B556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65272" w:rsidRPr="00F757CE" w14:paraId="3033B791" w14:textId="77777777" w:rsidTr="002E6029">
        <w:trPr>
          <w:trHeight w:val="24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D15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E7CE6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6748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2C4A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50BE5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1115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11A4" w14:textId="77777777" w:rsidR="00CB6385" w:rsidRPr="00F757CE" w:rsidRDefault="00CB6385" w:rsidP="00CB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00A94DAC" w14:textId="0322CE51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</w:p>
    <w:p w14:paraId="6951B5BE" w14:textId="77777777" w:rsidR="00D96DDC" w:rsidRDefault="00D96DDC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br w:type="page"/>
      </w:r>
    </w:p>
    <w:p w14:paraId="589910B5" w14:textId="3DF2EF10" w:rsidR="00CB6385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lastRenderedPageBreak/>
        <w:t>Pr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íloha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4</w:t>
      </w:r>
    </w:p>
    <w:p w14:paraId="2BCA0697" w14:textId="006B972A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3A92E499" w14:textId="3058A038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63"/>
        <w:gridCol w:w="1552"/>
        <w:gridCol w:w="1029"/>
        <w:gridCol w:w="1452"/>
        <w:gridCol w:w="929"/>
        <w:gridCol w:w="907"/>
        <w:gridCol w:w="885"/>
        <w:gridCol w:w="1167"/>
        <w:gridCol w:w="1274"/>
        <w:gridCol w:w="963"/>
        <w:gridCol w:w="885"/>
        <w:gridCol w:w="735"/>
      </w:tblGrid>
      <w:tr w:rsidR="002E6029" w:rsidRPr="00F757CE" w14:paraId="3522F81F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47E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S.06.02.07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6FC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4A5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CE653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0E9E2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D5A1E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B1A24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ABDCB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3ECDD7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B930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99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FB1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7BD83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78F42005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9588F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Zoznam aktív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4A9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34F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3C48C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EC1203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41FC8AC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10640C9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43EE1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1113F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389685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F33C6A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618F04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B8647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1D9B7A0E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7D4F89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0E05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381B9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7480F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0C84F0C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6316DD95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F3F99A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F6BDE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DF910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CC3C33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2E24E8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4A8A7D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AF855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3BBC4C7" w14:textId="77777777" w:rsidTr="000F4A53">
        <w:trPr>
          <w:trHeight w:val="240"/>
        </w:trPr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0A632F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Informácie o držaných pozíciách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2FD28C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5135E59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43174B4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6FB0DA6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B7B746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FEDD1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736032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3E062D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7FC60A" w14:textId="77777777" w:rsidR="002E6029" w:rsidRPr="00F757CE" w:rsidRDefault="002E6029" w:rsidP="002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DD315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158EC90" w14:textId="77777777" w:rsidTr="000F4A53">
        <w:trPr>
          <w:trHeight w:val="136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FA2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Identifikačný kód aktíva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0BD2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identifikačného kódu aktíva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29A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Portfólio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E2A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fondu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E57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Zodpovedajúce číslo portfólia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1D0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Aktíva držané na zmluvy index-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unit-linked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poistenia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012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Aktíva založené ako kolaterál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728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Krajina úschovy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E5A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Správca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C1E3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23E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Par čiastka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B975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Metóda ocenenia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659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pokr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.)</w:t>
            </w:r>
          </w:p>
        </w:tc>
      </w:tr>
      <w:tr w:rsidR="002E6029" w:rsidRPr="00F757CE" w14:paraId="21E0448E" w14:textId="77777777" w:rsidTr="000F4A53">
        <w:trPr>
          <w:trHeight w:val="2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108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C0040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D81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F9E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611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C0070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913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A72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C0090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312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530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136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560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E47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A39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BFA31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BF9A6A9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2D2F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53AC8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EF21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69380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97A48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8EF70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A6AAC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F307E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78256A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2E73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ACD25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0E37A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92E7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25BF80F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7B8A3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72649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8A551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F02C5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E1507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D960D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64EFF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57E5F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1D6CB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E0E02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3338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DD5F5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A08D5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210C3CF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48380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9A69E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DE1C2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EA344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E5095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3741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9865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94D9A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DDDB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F825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8C4D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40F2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6E51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989F3CE" w14:textId="77777777" w:rsidTr="000F4A53">
        <w:trPr>
          <w:trHeight w:val="91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A51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 nadobudnutia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CC8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hodnota podľa smernice Solventnosť II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617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Naakumulovaný úrok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CBF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Kaucia zložená ako zábezpeka v súlade s článkom 162 (2)(e)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D17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Potvrdenie, že neexistujú žiadne práva na započítanie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CC36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14C5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9899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0D28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A63D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5B35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D978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9D84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A2295D9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F68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B14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8E0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293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02E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C0410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7D19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FFD4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520F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F04E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B723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9D4F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CD76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0A76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2F553DD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7CA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C05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3B4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91E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F73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76CE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88A1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5987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6C6C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486F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9FD2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0C78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49A6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3E511F6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9F205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A7DE3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053B4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BEDA7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D00DB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B742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314D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369C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ECB5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DAC73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8FB7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4F64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C69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5E0AB2E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EC23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91A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112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DC9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FF7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77EA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17B2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EFF8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EC9D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151F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2079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9C85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194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07790F39" w14:textId="77777777" w:rsidTr="000F4A53">
        <w:trPr>
          <w:trHeight w:val="240"/>
        </w:trPr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3D20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Informácie o aktívach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8FD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E66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782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5AF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5CF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BA33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1D6D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AD56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F90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7498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B55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F75A92E" w14:textId="77777777" w:rsidTr="000F4A53">
        <w:trPr>
          <w:trHeight w:val="6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A2C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Identifikačný kód aktíva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7429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identifikačného kódu aktíva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1F2C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B429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emitenta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6583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Kód emitenta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3537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kódu emitenta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D6682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Sektor emitenta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60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Skupina emitenta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81C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Kód skupiny emitenta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9655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Type kódu skupiny emitenta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E9F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Krajina emitenta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778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Mena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39A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</w:t>
            </w:r>
            <w:proofErr w:type="spellStart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pokr</w:t>
            </w:r>
            <w:proofErr w:type="spellEnd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.)</w:t>
            </w:r>
          </w:p>
        </w:tc>
      </w:tr>
      <w:tr w:rsidR="002E6029" w:rsidRPr="00F757CE" w14:paraId="6CB1A923" w14:textId="77777777" w:rsidTr="000F4A53">
        <w:trPr>
          <w:trHeight w:val="2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45C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C0040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4EC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979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420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877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DAC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17A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2CB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BB9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BDF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71D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4AA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D03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D870EB5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8C8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687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917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91B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ED8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E65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E44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67B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7F5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44D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CF9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4FC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6996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72312362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C01F5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E36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BB1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44A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14A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73C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371F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86CD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73D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EA6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4295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890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02B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BF7CBA8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5EE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EC3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ABD6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1C1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C699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8739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71C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5BA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E68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2F6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F11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DE0C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318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1D26AF81" w14:textId="77777777" w:rsidTr="000F4A53">
        <w:trPr>
          <w:trHeight w:val="250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D95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CIC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2C0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Investície do infraštruktúry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17B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Podiely v prepojených podnikoch vrátane účastí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856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Externý rating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227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Nominovaný ECAI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7C8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Stupeň kreditnej kvality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61E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Interný rating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5F9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Durácia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214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jednotky podľa smernice Solventnosť II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C9E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Percentuálny podiel ceny jednotky na menovitej hodnote podľa smernice Solventnosť II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7A1B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53106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A74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0EA40652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B7C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C0290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792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EDC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091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A5E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593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80D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039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386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C57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4DF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C0390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E1B26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0F2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950420F" w14:textId="77777777" w:rsidTr="000F4A53">
        <w:trPr>
          <w:trHeight w:val="24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2A8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E2A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965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11E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938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55E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005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F4C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603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D82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1BA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E2330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9CE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3075318" w14:textId="567AEE2C" w:rsidR="00D96DDC" w:rsidRDefault="002E6029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</w:t>
      </w:r>
      <w:r w:rsidR="00D96DDC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6681FAF5" w14:textId="7CC94BA0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Príloha 5</w:t>
      </w:r>
    </w:p>
    <w:p w14:paraId="516745EA" w14:textId="77777777" w:rsidR="00CE06B1" w:rsidRDefault="00CE06B1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pPr w:leftFromText="141" w:rightFromText="141" w:vertAnchor="text" w:tblpY="14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706"/>
        <w:gridCol w:w="706"/>
        <w:gridCol w:w="2092"/>
        <w:gridCol w:w="1905"/>
        <w:gridCol w:w="823"/>
        <w:gridCol w:w="821"/>
      </w:tblGrid>
      <w:tr w:rsidR="002E6029" w:rsidRPr="00F757CE" w14:paraId="61E1B253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7AEB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S.23.01.07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B57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F3EB2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E97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C3F1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C065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BA339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E289A03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F43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Vlastné zdroje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FC88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DE2F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9602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392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27E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7C8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7DD8C978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389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BAD2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830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8C50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EEA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1D6A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A787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3913F72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0239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0017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564B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72A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Trieda 1 – neobmedzené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D71E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Trieda 1 – obmedzené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711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 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93F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 3</w:t>
            </w:r>
          </w:p>
        </w:tc>
      </w:tr>
      <w:tr w:rsidR="002E6029" w:rsidRPr="00F757CE" w14:paraId="1300C6E4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BC96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AA88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0CFD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C0010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26F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C0020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D73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C0030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803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CE5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C0050</w:t>
            </w:r>
          </w:p>
        </w:tc>
      </w:tr>
      <w:tr w:rsidR="002E6029" w:rsidRPr="00F757CE" w14:paraId="6355828B" w14:textId="77777777" w:rsidTr="00F757CE">
        <w:trPr>
          <w:trHeight w:val="528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ACB0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Základné vlastné zdroje pred odpočítaním účastí v inom finančnom sektore, ako sa uvádza v článku 68 delegovaného nariadenia (EÚ) 2015/35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BC03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2F983F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948D5A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A3A2F1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52E06C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1C8118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CFC8F15" w14:textId="77777777" w:rsidTr="00F757CE">
        <w:trPr>
          <w:trHeight w:val="264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DFD2A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Rezerva z precenenia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618F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R0130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740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0DA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A03777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20BDC9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C1B439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0A602D06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9FE75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Suma zodpovedajúca hodnote čistých odložených daňových pohľadávok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3A29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R0160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B39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466D86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88825B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A1B5F2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4EA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14FCFF0B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C016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Odpočty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F2F3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483973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74DF0D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41CBD8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DA0771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006191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186929B7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0F64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Odpočty účastí vo finančných a úverových inštitúciách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3EA5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R0230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2C7F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DB12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148D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DBC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480B33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31EC25C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2234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Celkové základné vlastné zdroje po odpočtoch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1284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R0290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3D7F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9E8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A62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50E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92B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406C71B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326B5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Dodatkové vlastné zdroje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094B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A161BB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D319F7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3BF27E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76A2E5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F7FC71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7E8BAA5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11E4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Akreditívy a záruky podľa článku 96 ods. 2 smernice 2009/138/ES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3E1A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F60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C4E1D2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BC1B2D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DEC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36F825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3D2BCF7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D20C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Akreditívy a záruky iné ako akreditívy a záruky podľa článku 96 ods. 2 smernice 2009/138/ES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EA3F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R0350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283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2123AE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06B414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34C6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EE6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7807351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822C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Iné dodatkové vlastné zdroje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A1A7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R0390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CEC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596958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CF27C7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90D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F5E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090F1C85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4CBA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Celkové dodatkové vlastné zdroje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6C99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R0400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CD8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73C14F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6FC798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31C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E9D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19844F6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5DE21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Dostupné a použiteľné vlastné zdroje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75A3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E7D2C6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31E24D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67844B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EF1F17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2C819F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110A53D4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A685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Celkové dostupné vlastné zdroje určené na splnenie kapitálovej požiadavky na solventnosť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266D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022A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DD40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0FD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9CA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1A7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6EA465FA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EAFD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Celkové dostupné vlastné zdroje určené na splnenie minimálnej kapitálovej požiadavky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C1A4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7F8F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154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9D0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F1E4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BA89D3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8A41D9D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9129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Celkové použiteľné vlastné zdroje určené na splnenie kapitálovej požiadavky na solventnosť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B24E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FAB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839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41A4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99A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83E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655877E7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0F45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Celkové použiteľné vlastné zdroje určené na splnenie minimálnej kapitálovej požiadavky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B75F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R0550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767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4A95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263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1905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F3BD49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68DAE2DE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CD647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Kapitálová požiadavka na solventnosť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510D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R0580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315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0F6C98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69D11F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2C7CC4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5F3E66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197CF799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E5C9B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Minimálna kapitálová požiadavka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366B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98F5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43BFFC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CD0379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AF205A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1CEE6E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74636BB7" w14:textId="77777777" w:rsidTr="00F757CE">
        <w:trPr>
          <w:trHeight w:val="456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36D97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Pomer medzi použiteľnými vlastnými zdrojmi a kapitálovou požiadavkou na solventnosť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01ED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R0620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B21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1380F5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EB15C4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52E5AF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E65D9D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46C54AE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83E6C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Pomer medzi použiteľnými vlastnými zdrojmi a minimálnou kapitálovou požiadavkou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F814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R0640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B55E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51DCDE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37139A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9BDF65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79F46C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0AA816F7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97D1E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19C9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0817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4098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D47B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53DF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77B7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1788971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5C4F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128C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5D18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C0060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3F83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63D7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0857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E4AC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4EA87BC8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D8E43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Rezerva z precenenia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794D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8665A6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9A7920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C99607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315C9D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5EDCB9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6376F70D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18146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Prebytok aktív nad záväzkami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9173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BEE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C480A7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2C69A4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81952D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E8C9D3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7D3357EC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0ABE6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 Iné položky základných vlastných zdrojov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F924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R0730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9E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90C53C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8F5F13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E33F6F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A95503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33CA49B4" w14:textId="77777777" w:rsidTr="00F757CE">
        <w:trPr>
          <w:trHeight w:val="48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0E1E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Úprava na zohľadnenie obmedzených položiek vlastných zdrojov v súvislosti s portfóliami, na ktoré sa uplatňuje párovacia korekcia, a s oddelene spravovanými fondmi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86890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34E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EB96A0A" w14:textId="447FFAE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A25D45A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8506EE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0BBE84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16DED02" w14:textId="77777777" w:rsidTr="00F757CE">
        <w:trPr>
          <w:trHeight w:val="264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A3F6D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Rezerva z precenenia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02BE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R0760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787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077398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8E606C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B9E858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B75CE0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0B6384E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A5958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Očakávané zisky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242D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1BBCD1C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CB892A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FDEBE39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F347B55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0B6C3191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5500706E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ADDC0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Očakávané zisky zahrnuté do budúceho poistného (EPIFP) – životné poistenie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A11A6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R0770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3F3B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7B6A326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341BD78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B29497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9F41CC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2587099D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61504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Očakávané zisky zahrnuté do budúceho poistného (EPIFP) – neživotné poistenie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0E0E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R0780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6BA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CAE19C4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E1F4DF7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1FEEDCD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BF5889F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E6029" w:rsidRPr="00F757CE" w14:paraId="70B3AA9F" w14:textId="77777777" w:rsidTr="00F757CE">
        <w:trPr>
          <w:trHeight w:val="240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89B4F" w14:textId="77777777" w:rsidR="002E6029" w:rsidRPr="00F757CE" w:rsidRDefault="002E6029" w:rsidP="002E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suma očakávaných ziskov zahrnutých do budúceho poistného (EPIFP)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B064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R0790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D72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69074C62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80A3B8B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B9B2B93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2AE36558" w14:textId="77777777" w:rsidR="002E6029" w:rsidRPr="00F757CE" w:rsidRDefault="002E6029" w:rsidP="002E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57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644BB738" w14:textId="47C0DE7F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4D249157" w14:textId="0EE8A354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24EB0B91" w14:textId="77777777" w:rsidR="002E6029" w:rsidRDefault="002E6029"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"C:\\Users\\cfedorcakova\\Desktop\\Projects\\Zakon o poistovnictve\\Pobocka zahranicnej poistovne\\GL_3CB_Annex III_Specific Templates_rev_clean_preklad2.xlsx" "S.23.01.07!R2C1:R37C7" \a \f 4 \h </w:instrText>
      </w:r>
      <w:r>
        <w:rPr>
          <w:lang w:eastAsia="zh-CN"/>
        </w:rPr>
        <w:fldChar w:fldCharType="separate"/>
      </w:r>
    </w:p>
    <w:p w14:paraId="0DCE9680" w14:textId="57CE0ED3" w:rsidR="00D96DDC" w:rsidRDefault="002E6029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fldChar w:fldCharType="end"/>
      </w:r>
      <w:r w:rsidR="00D96DDC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76A610EC" w14:textId="4E814ED3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Príloha 6</w:t>
      </w:r>
    </w:p>
    <w:p w14:paraId="63265AD3" w14:textId="683D3678" w:rsidR="00EB0F15" w:rsidRPr="000F4A53" w:rsidRDefault="00EB0F15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938"/>
        <w:gridCol w:w="1756"/>
        <w:gridCol w:w="1448"/>
        <w:gridCol w:w="1652"/>
        <w:gridCol w:w="1532"/>
        <w:gridCol w:w="1756"/>
      </w:tblGrid>
      <w:tr w:rsidR="00EB0F15" w:rsidRPr="00EB0F15" w14:paraId="5356EE36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74743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S.23.03.07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C3C8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C5D1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CDEC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BF42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2FBA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C9DD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2D3C53C8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8008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Ročné pohyby vlastných zdrojov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9AC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D4DF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6B65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C93F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A61A2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6555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57A82A68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FAB1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4CBD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D2FE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1612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6211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027C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46DC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33A7690D" w14:textId="77777777" w:rsidTr="00EB0F15">
        <w:trPr>
          <w:trHeight w:val="468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FB25E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AB123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A88A0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Zostatok prenesený z minulého obdobia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80DCF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69411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3028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C36286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Zostatok prenesený z minulého obdobia </w:t>
            </w:r>
          </w:p>
        </w:tc>
      </w:tr>
      <w:tr w:rsidR="00EB0F15" w:rsidRPr="00EB0F15" w14:paraId="5E6EB4DA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5DE4E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E3439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390A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EF4E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73F6D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2C5C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B7B0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C0060</w:t>
            </w:r>
          </w:p>
        </w:tc>
      </w:tr>
      <w:tr w:rsidR="00EB0F15" w:rsidRPr="00EB0F15" w14:paraId="032F3FD0" w14:textId="77777777" w:rsidTr="00EB0F15">
        <w:trPr>
          <w:trHeight w:val="468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CE7D6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Suma zodpovedajúca hodnote čistých odložených daňových pohľadávok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6D20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R0900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8BB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CD87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3B825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36D6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08FF3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6F8E0249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BC92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F4BF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2DB6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6F4B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7515C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0A58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A49E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41A5E287" w14:textId="77777777" w:rsidTr="00EB0F15">
        <w:trPr>
          <w:trHeight w:val="696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A8FE7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F522E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0909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Zostatok prenesený z minulého obdobia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6ED0F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Nová sprístupnená suma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11EE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Zníženie dostupnej sumy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A940D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Vyžiadané pre základné vlastné zdroje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E894B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Zostatok prenesený z minulého obdobia </w:t>
            </w:r>
          </w:p>
        </w:tc>
      </w:tr>
      <w:tr w:rsidR="00EB0F15" w:rsidRPr="00EB0F15" w14:paraId="457EABEB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03E9F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F0A9E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135C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8099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C0110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845B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AEE1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C0130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D94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C0060</w:t>
            </w:r>
          </w:p>
        </w:tc>
      </w:tr>
      <w:tr w:rsidR="00EB0F15" w:rsidRPr="00EB0F15" w14:paraId="2DCD811A" w14:textId="77777777" w:rsidTr="00EB0F15">
        <w:trPr>
          <w:trHeight w:val="240"/>
        </w:trPr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6226D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Dodatkové vlastné zdroje – pohyby počas obdobia vykazovania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5B37116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10062965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576EB758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D7C98E3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hideMark/>
          </w:tcPr>
          <w:p w14:paraId="40022836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346F6E89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E81FC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Trieda 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D7B95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R1110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AF792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59DB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FAC7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846C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52528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04F44CE6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0530A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Trieda 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E753B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R1120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4708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B547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478C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AF23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8D0F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B0F15" w:rsidRPr="00EB0F15" w14:paraId="4BB98446" w14:textId="77777777" w:rsidTr="00EB0F15">
        <w:trPr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C755" w14:textId="77777777" w:rsidR="00EB0F15" w:rsidRPr="00EB0F15" w:rsidRDefault="00EB0F15" w:rsidP="00EB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Celkové dodatkové vlastné zdroje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9CF0F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R1200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61B8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9FA4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4194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8CED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A48DA" w14:textId="77777777" w:rsidR="00EB0F15" w:rsidRPr="00EB0F15" w:rsidRDefault="00EB0F15" w:rsidP="00E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0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74D8F6C8" w14:textId="4E02F964" w:rsidR="00D96DDC" w:rsidRDefault="000F4A53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0F4A53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</w:t>
      </w:r>
      <w:r w:rsidR="00D96DDC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4DE20681" w14:textId="72EA82B0" w:rsidR="00D96DDC" w:rsidRDefault="00D96DDC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Príloha 7</w:t>
      </w:r>
    </w:p>
    <w:p w14:paraId="29A49978" w14:textId="2AA04A11" w:rsidR="00D86B01" w:rsidRDefault="00D86B01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7"/>
        <w:gridCol w:w="1328"/>
        <w:gridCol w:w="1409"/>
      </w:tblGrid>
      <w:tr w:rsidR="00D86B01" w:rsidRPr="00D86B01" w14:paraId="50F65A9A" w14:textId="77777777" w:rsidTr="000F4A53">
        <w:trPr>
          <w:trHeight w:val="288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180E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S.29.01.07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974B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F9A7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39D0A0EC" w14:textId="77777777" w:rsidTr="000F4A53">
        <w:trPr>
          <w:trHeight w:val="288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A51B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Prebytok aktív nad záväzkami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CA82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5C4ED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21FB4570" w14:textId="77777777" w:rsidTr="000F4A53">
        <w:trPr>
          <w:trHeight w:val="345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A5BFF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0C71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3DD8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1A5C93EF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3957B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A6794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4EB8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Zmena</w:t>
            </w:r>
          </w:p>
        </w:tc>
      </w:tr>
      <w:tr w:rsidR="00D86B01" w:rsidRPr="00D86B01" w14:paraId="59B2BBEC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3ECF1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5BE4F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CA2C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C0030</w:t>
            </w:r>
          </w:p>
        </w:tc>
      </w:tr>
      <w:tr w:rsidR="00D86B01" w:rsidRPr="00D86B01" w14:paraId="3800C440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02094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zložiek rezervy z precenenia – položky vykázané vo „vlastných zdrojoch“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94EB16D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2AF9460A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0FD4AA9F" w14:textId="77777777" w:rsidTr="000F4A53">
        <w:trPr>
          <w:trHeight w:val="528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5A431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Prebytok aktív nad záväzkami (zmeny základných vlastných zdrojov vysvetlené vo vzoroch analýzy zmeny)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B695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303F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375275F5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23F0B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Vlastné akcie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8C6C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D5CA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6BD2AAC1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40E18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Predpokladané dividendy, rozdeľovanie výnosov a platby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A39B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58EE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3E6B176F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D978A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 Iné položky základných vlastných zdrojov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527D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5894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2731E095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EC5DB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Obmedzené položky vlastných zdrojov v dôsledku oddelenej správy fondov a párovania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35CF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F21C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5C48C09D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187C0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Celková zmena rezerv z precenenia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9F7F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C7AB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684E2A00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2A8A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zmena rezerv z precenenia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9F6D25D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CF118B9" w14:textId="77777777" w:rsidR="00D86B01" w:rsidRPr="00D86B01" w:rsidRDefault="00D86B01" w:rsidP="00D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64DE65C4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E3611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Zmeny v dôsledku investícií a finančných záväzkov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EB83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R0190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E96A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29BE3A35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2FD60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Zmeny v dôsledku technických rezerv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F184C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264D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4303F9EA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BBBC1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Zmeny v kapitálových položkách základných vlastných zdrojov a iných schválených položkách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8CF0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CB5F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4F738F85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77056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</w:t>
            </w:r>
            <w:proofErr w:type="spellStart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Variation</w:t>
            </w:r>
            <w:proofErr w:type="spellEnd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Deferred</w:t>
            </w:r>
            <w:proofErr w:type="spellEnd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Tax</w:t>
            </w:r>
            <w:proofErr w:type="spellEnd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position</w:t>
            </w:r>
            <w:proofErr w:type="spellEnd"/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3D0D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0332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27D4C3DD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5D2FC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Daň z príjmu v období vykazovania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D614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9083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1A32AD3D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AB9B2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Rozdelenie dividend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B549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8044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86B01" w:rsidRPr="00D86B01" w14:paraId="751ADB05" w14:textId="77777777" w:rsidTr="000F4A53">
        <w:trPr>
          <w:trHeight w:val="264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CAC4B" w14:textId="77777777" w:rsidR="00D86B01" w:rsidRPr="00D86B01" w:rsidRDefault="00D86B01" w:rsidP="00D86B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 Iné zmeny prebytku aktív nad záväzkami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7663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R0250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9633" w14:textId="77777777" w:rsidR="00D86B01" w:rsidRPr="00D86B01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6B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62462DDD" w14:textId="7ABA8B55" w:rsidR="00792FDA" w:rsidRDefault="00792FDA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1802DEB" w14:textId="77777777" w:rsidR="00792FDA" w:rsidRDefault="00792FDA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30A11002" w14:textId="77777777" w:rsidR="00792FDA" w:rsidRDefault="00792FDA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sectPr w:rsidR="00792FDA" w:rsidSect="002E60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F936DD" w14:textId="5352F580" w:rsidR="00D86B01" w:rsidRDefault="00792FDA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92FD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Metodika na vypracúvanie výkaz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ov </w:t>
      </w:r>
      <w:r w:rsidRPr="00792FD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podľa odseku 1 písm. a), c), e), k), </w:t>
      </w:r>
      <w:proofErr w:type="spellStart"/>
      <w:r w:rsidRPr="00792FD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ll</w:t>
      </w:r>
      <w:proofErr w:type="spellEnd"/>
      <w:r w:rsidRPr="00792FD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), mm) a </w:t>
      </w:r>
      <w:proofErr w:type="spellStart"/>
      <w:r w:rsidRPr="00792FD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bbb</w:t>
      </w:r>
      <w:proofErr w:type="spellEnd"/>
      <w:r w:rsidRPr="00792FD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)</w:t>
      </w:r>
    </w:p>
    <w:p w14:paraId="0F954B8F" w14:textId="6D8066B7" w:rsidR="00792FDA" w:rsidRDefault="00792FDA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83E7A6C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V súvahe pobočky zahraničnej poisťovne a pobočky zahraničnej zaisťovne sú uvedené len aktíva, ktoré sú k dispozícii podľa týchto kritérií: </w:t>
      </w:r>
    </w:p>
    <w:p w14:paraId="6FEB5693" w14:textId="77777777" w:rsidR="00792FDA" w:rsidRPr="006E55B7" w:rsidRDefault="00792FDA" w:rsidP="00792FDA">
      <w:pPr>
        <w:pStyle w:val="Default"/>
        <w:jc w:val="both"/>
        <w:rPr>
          <w:color w:val="auto"/>
        </w:rPr>
      </w:pPr>
    </w:p>
    <w:p w14:paraId="32654156" w14:textId="77777777" w:rsidR="00792FDA" w:rsidRPr="006E55B7" w:rsidRDefault="00792FDA" w:rsidP="00792FDA">
      <w:pPr>
        <w:pStyle w:val="Default"/>
        <w:numPr>
          <w:ilvl w:val="0"/>
          <w:numId w:val="13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aktíva, ktoré sa rozdeľujú v súlade s článkom 275 ods. 1 písm. a) alebo b) smernice 2009/138/ES spôsobom, pri ktorom sa nerozlišuje medzi pohľadávkami podľa miesta vzniku pohľadávky;</w:t>
      </w:r>
    </w:p>
    <w:p w14:paraId="71884480" w14:textId="77777777" w:rsidR="00792FDA" w:rsidRPr="006E55B7" w:rsidRDefault="00792FDA" w:rsidP="00792FDA">
      <w:pPr>
        <w:pStyle w:val="Default"/>
        <w:numPr>
          <w:ilvl w:val="0"/>
          <w:numId w:val="13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aktíva, ktoré sa rozdeľujú na účely úhrady prednostných pohľadávok pobočky a poistných plnení voči poistníkom pobočky, ktoré majú prednosť pred všetkými ostatnými pohľadávkami. </w:t>
      </w:r>
    </w:p>
    <w:p w14:paraId="13B8CE8D" w14:textId="77777777" w:rsidR="00792FDA" w:rsidRPr="006E55B7" w:rsidRDefault="00792FDA" w:rsidP="00792FDA">
      <w:pPr>
        <w:pStyle w:val="Default"/>
        <w:numPr>
          <w:ilvl w:val="0"/>
          <w:numId w:val="14"/>
        </w:numPr>
        <w:spacing w:after="184"/>
        <w:jc w:val="both"/>
        <w:rPr>
          <w:color w:val="auto"/>
        </w:rPr>
      </w:pPr>
      <w:r w:rsidRPr="006E55B7">
        <w:rPr>
          <w:color w:val="auto"/>
        </w:rPr>
        <w:t xml:space="preserve">Pri predkladaní informácií o súvahe pobočky, vlastných zdrojoch a kapitálových požiadavkách na solventnosť pobočky musia byť uvedené len aktíva, ktoré sú k dispozícii na rozdelenie v prípade likvidácie poisťovne z tretej krajiny na účely úhrady poistných plnení voči poistníkom pobočky. </w:t>
      </w:r>
    </w:p>
    <w:p w14:paraId="33D8A801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>Pri predkladaní informácií o súvahe pobočky musia byť preukázané disponibilné aktíva bez odpočítania prednostných pohľadávok pobočky a akýchkoľvek predchádzajúcich záložných práv a na vzore S.02.03.07 sa vykáže čistá suma disponibilných aktív pobočky a odpočet prednostných pohľadávok pobočky a predchádzajúce záložné práva, pričom sa výslovne uvedú doplňujúce informácie o súvahe pobočky, ako sa stanovuje v prílohe III k týmto usmerneniam.</w:t>
      </w:r>
    </w:p>
    <w:p w14:paraId="19B1EB5C" w14:textId="77777777" w:rsidR="00792FDA" w:rsidRPr="006E55B7" w:rsidRDefault="00792FDA" w:rsidP="00792FDA">
      <w:pPr>
        <w:pStyle w:val="Default"/>
        <w:ind w:left="960"/>
        <w:jc w:val="both"/>
        <w:rPr>
          <w:color w:val="auto"/>
        </w:rPr>
      </w:pPr>
    </w:p>
    <w:p w14:paraId="599ED65A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Pri výpočte vlastné zdroje pobočky sa zohľadnia len aktíva, ktoré sú k dispozícii na rozdelenie v prípade likvidácie poisťovne z tretej krajiny na účely úhrady poistných plnení voči poistníkom pobočky a prednostných pohľadávok pobočky. Tieto aktíva sa majú považovať za disponibilné len vtedy, ak sa rozdeľujú: </w:t>
      </w:r>
    </w:p>
    <w:p w14:paraId="3D9221CC" w14:textId="77777777" w:rsidR="00792FDA" w:rsidRPr="006E55B7" w:rsidRDefault="00792FDA" w:rsidP="00792FDA">
      <w:pPr>
        <w:pStyle w:val="Default"/>
        <w:jc w:val="both"/>
        <w:rPr>
          <w:color w:val="auto"/>
        </w:rPr>
      </w:pPr>
    </w:p>
    <w:p w14:paraId="2A27668D" w14:textId="77777777" w:rsidR="00792FDA" w:rsidRPr="006E55B7" w:rsidRDefault="00792FDA" w:rsidP="00792FDA">
      <w:pPr>
        <w:pStyle w:val="Default"/>
        <w:numPr>
          <w:ilvl w:val="0"/>
          <w:numId w:val="16"/>
        </w:numPr>
        <w:spacing w:after="240"/>
        <w:jc w:val="both"/>
        <w:rPr>
          <w:color w:val="auto"/>
        </w:rPr>
      </w:pPr>
      <w:r w:rsidRPr="006E55B7">
        <w:rPr>
          <w:color w:val="auto"/>
        </w:rPr>
        <w:t xml:space="preserve">v súlade s ustanoveniami článku 275 ods. 1 písm. a) alebo b) smernice 2009/138/ES a spôsobom, pri ktorom sa nerozlišuje medzi pohľadávkami podľa umiestnenia aktív, alebo </w:t>
      </w:r>
    </w:p>
    <w:p w14:paraId="44960816" w14:textId="77777777" w:rsidR="00792FDA" w:rsidRPr="006E55B7" w:rsidRDefault="00792FDA" w:rsidP="00792FDA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6E55B7">
        <w:rPr>
          <w:color w:val="auto"/>
        </w:rPr>
        <w:t>na účely úhrady prednostných pohľadávok pobočky a poistných plnení voči poistníkom pobočky, ktoré majú prednosť pred všetkými ostatnými pohľadávkami.</w:t>
      </w:r>
    </w:p>
    <w:p w14:paraId="4AC11E2A" w14:textId="77777777" w:rsidR="00792FDA" w:rsidRPr="006E55B7" w:rsidRDefault="00792FDA" w:rsidP="00792FDA">
      <w:pPr>
        <w:pStyle w:val="Default"/>
        <w:ind w:left="1320"/>
        <w:jc w:val="both"/>
        <w:rPr>
          <w:color w:val="auto"/>
        </w:rPr>
      </w:pPr>
    </w:p>
    <w:p w14:paraId="6DAF19DB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>Pobočka zahraničnej poisťovne a pobočka zahraničnej zaisťovne sú povinné viesť záznamy, v ktorých sa definuje umiestnenie všetkých aktív pobočky. V prípade likvidácie poisťovne z tretej krajiny je táto poisťovňa povinná poskytnúť dostatočné informácie, ktoré každej osobe poverenej likvidáciou danej poisťovne umožnia prevziať kontrolu nad týmito aktívami.</w:t>
      </w:r>
    </w:p>
    <w:p w14:paraId="717FD646" w14:textId="77777777" w:rsidR="00792FDA" w:rsidRPr="006E55B7" w:rsidRDefault="00792FDA" w:rsidP="00792FDA">
      <w:pPr>
        <w:pStyle w:val="Default"/>
        <w:jc w:val="both"/>
      </w:pPr>
    </w:p>
    <w:p w14:paraId="504C350A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>Poisťovňa z tretej krajiny je povinná viesť prevádzkové účty súvisiace s celou súvahou pobočky – vrátane disponibilných a nedisponibilných aktív a všetkých záväzkov spojených s operáciami pobočky.</w:t>
      </w:r>
    </w:p>
    <w:p w14:paraId="169B92FB" w14:textId="77777777" w:rsidR="00792FDA" w:rsidRPr="006E55B7" w:rsidRDefault="00792FDA" w:rsidP="00792FDA">
      <w:pPr>
        <w:pStyle w:val="Default"/>
        <w:jc w:val="both"/>
        <w:rPr>
          <w:color w:val="4F81BD" w:themeColor="accent1"/>
        </w:rPr>
      </w:pPr>
    </w:p>
    <w:p w14:paraId="6962728F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Poisťovňa z tretej krajiny je povinná poskytnúť dostatočné informácie, aby orgán dohľadu hostiteľského členského štátu mohol posúdiť všetky uvedené skutočnosti: </w:t>
      </w:r>
    </w:p>
    <w:p w14:paraId="00D1CDD1" w14:textId="77777777" w:rsidR="00792FDA" w:rsidRPr="006E55B7" w:rsidRDefault="00792FDA" w:rsidP="00792FDA">
      <w:pPr>
        <w:pStyle w:val="Default"/>
        <w:ind w:left="960"/>
        <w:jc w:val="both"/>
        <w:rPr>
          <w:color w:val="auto"/>
        </w:rPr>
      </w:pPr>
    </w:p>
    <w:p w14:paraId="0BD173B1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lastRenderedPageBreak/>
        <w:t xml:space="preserve">kroky, ktoré musí prijať likvidátor, aby mohol prevziať kontrolu nad aktívami pobočky a vybrať ich, a to, či tieto kroky budú účinné, ak iní veritelia alebo iný likvidátor, ktorý vedie likvidačné konanie voči poisťovni z tretej krajiny, uplatnia konkurenčné pohľadávky týkajúce sa týchto aktív; </w:t>
      </w:r>
    </w:p>
    <w:p w14:paraId="7D4FF995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rýchlosť a jednoduchosť, s akou sa aktíva pobočky môžu previesť mimo jurisdikciu orgánu dohľadu hostiteľského členského štátu a EÚ pred začatím likvidácie; </w:t>
      </w:r>
      <w:r w:rsidRPr="006E55B7">
        <w:rPr>
          <w:color w:val="auto"/>
        </w:rPr>
        <w:tab/>
      </w:r>
    </w:p>
    <w:p w14:paraId="0026BBE3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miera, v akej orgán dohľadu hostiteľského členského štátu môže účinne zabrániť prevodu aktív pobočky mimo EÚ pred začatím akéhokoľvek konania v oblasti likvidácie;</w:t>
      </w:r>
    </w:p>
    <w:p w14:paraId="69029ACD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miera, v akej sa aktíva pobočky môžu použiť na vyrovnanie iných záväzkov ako poistných plnení pobočky pred začatím konania týkajúceho sa likvidácie poisťovne z tretej krajiny alebo v prípade likvidácie poisťovne z tretej krajiny;</w:t>
      </w:r>
    </w:p>
    <w:p w14:paraId="23F9922D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spôsob, akým poisťovňa z tretej krajiny vykonáva kontrolu nad operáciami pobočky, a to, či túto kontrolu uplatňujú osoby zodpovedné za operácie pobočky na rozdiel od osôb, ktoré majú zodpovednosť za iné operácie poisťovne;</w:t>
      </w:r>
    </w:p>
    <w:p w14:paraId="38699932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riziko, že záväzky pobočky nesúvisia s pohľadávkami poistníkov v rámci EÚ, takže fungujú ako mechanizmus pre nesprávne alebo inak nevhodne vykonaný prevod aktív pobočky na iného veriteľa poisťovne, člena rovnakej skupiny alebo tretiu stranu na úkor poistníkov v EÚ; </w:t>
      </w:r>
    </w:p>
    <w:p w14:paraId="4626ECA1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či zmluvné vzťahy medzi poisťovňou z tretej krajiny a tretími stranami umožňujú použiť aktíva pobočky na iné účely než na uspokojovanie záväzkov pobočky;</w:t>
      </w:r>
    </w:p>
    <w:p w14:paraId="5E50B1AE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účinky konkrétnych právnych požiadaviek na použitie aktív pobočky na iné účely než na uspokojovanie záväzkov pobočky;</w:t>
      </w:r>
    </w:p>
    <w:p w14:paraId="58BD4E34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či nepoužitie aktív pobočky na iné účely než na uspokojovanie záväzkov pobočky môže poškodiť dobrú povesť poisťovne z tretej krajiny;</w:t>
      </w:r>
    </w:p>
    <w:p w14:paraId="716E139A" w14:textId="77777777" w:rsidR="00792FDA" w:rsidRPr="006E55B7" w:rsidRDefault="00792FDA" w:rsidP="00792FDA">
      <w:pPr>
        <w:pStyle w:val="Default"/>
        <w:numPr>
          <w:ilvl w:val="0"/>
          <w:numId w:val="18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či existuje nejaké daňové znevýhodnenie alebo zvýhodnenie poisťovne z tretej krajiny vyplývajúce z použitia aktív pobočky na iné účely než na uspokojovanie záväzkov pobočky a</w:t>
      </w:r>
    </w:p>
    <w:p w14:paraId="26F2FEAC" w14:textId="77777777" w:rsidR="00792FDA" w:rsidRPr="006E55B7" w:rsidRDefault="00792FDA" w:rsidP="00792FDA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E55B7">
        <w:rPr>
          <w:color w:val="auto"/>
        </w:rPr>
        <w:t xml:space="preserve">či existujú nejaké devízové obmedzenia, ktoré môžu mať vplyv na použitie aktív pobočky na iné účely než na uspokojovanie záväzkov pobočky. </w:t>
      </w:r>
    </w:p>
    <w:p w14:paraId="5320CC8C" w14:textId="77777777" w:rsidR="00792FDA" w:rsidRPr="006E55B7" w:rsidRDefault="00792FDA" w:rsidP="00792FDA">
      <w:pPr>
        <w:pStyle w:val="Default"/>
        <w:ind w:left="1320"/>
        <w:jc w:val="both"/>
        <w:rPr>
          <w:color w:val="auto"/>
        </w:rPr>
      </w:pPr>
    </w:p>
    <w:p w14:paraId="2C53FC50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Poisťovňa z tretej krajiny je povinná vo vopred stanovených lehotách podľa článku 35 ods. 2 písm. a) bodu i) smernice 2009/138/ES predložiť nasledujúce informácie týkajúce sa operácií pobočky: </w:t>
      </w:r>
    </w:p>
    <w:p w14:paraId="2D0360A8" w14:textId="77777777" w:rsidR="00792FDA" w:rsidRPr="006E55B7" w:rsidRDefault="00792FDA" w:rsidP="00792FDA">
      <w:pPr>
        <w:pStyle w:val="Default"/>
        <w:ind w:left="540"/>
        <w:jc w:val="both"/>
        <w:rPr>
          <w:color w:val="auto"/>
        </w:rPr>
      </w:pPr>
    </w:p>
    <w:p w14:paraId="759FCD77" w14:textId="77777777" w:rsidR="00792FDA" w:rsidRPr="006E55B7" w:rsidRDefault="00792FDA" w:rsidP="00792FDA">
      <w:pPr>
        <w:pStyle w:val="Default"/>
        <w:numPr>
          <w:ilvl w:val="0"/>
          <w:numId w:val="20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pravidelná správa orgánom dohľadu, ktorú tvoria informácie požadované v článku 35 smernice 2009/138/ES a v týchto usmerneniach, týkajúca sa operácií pobočky, v opisnej forme a prípadne s kvantitatívnymi údajmi; </w:t>
      </w:r>
    </w:p>
    <w:p w14:paraId="0E9A5687" w14:textId="77777777" w:rsidR="00792FDA" w:rsidRPr="006E55B7" w:rsidRDefault="00792FDA" w:rsidP="00792FDA">
      <w:pPr>
        <w:pStyle w:val="Default"/>
        <w:numPr>
          <w:ilvl w:val="0"/>
          <w:numId w:val="20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správa pre orgán dohľadu o vlastnom posúdení rizika a solventnosti týkajúca sa operácií pobočky obsahujúca výsledky všetkých bežných vlastných posúdení rizika a solventnosti, ktoré vykonala poisťovňa v súlade s článkom 45 ods. 6 smernice 2009/138/ES a s týmito usmerneniami a bezodkladne po každej </w:t>
      </w:r>
      <w:r w:rsidRPr="006E55B7">
        <w:rPr>
          <w:color w:val="auto"/>
        </w:rPr>
        <w:lastRenderedPageBreak/>
        <w:t xml:space="preserve">podstatnej zmene v jej rizikovom profile v súlade s článkom 45 ods. 5 smernice 2009/138/ES; </w:t>
      </w:r>
    </w:p>
    <w:p w14:paraId="51F63C1A" w14:textId="77777777" w:rsidR="00792FDA" w:rsidRPr="006E55B7" w:rsidRDefault="00792FDA" w:rsidP="00792FDA">
      <w:pPr>
        <w:pStyle w:val="Default"/>
        <w:numPr>
          <w:ilvl w:val="0"/>
          <w:numId w:val="20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vyplnené vzory ročného a štvrťročného vykazovania kvantitatívnych informácií týkajúce sa operácií pobočky, stanovené v usmerneniach č. 44, 45 a 47, v ktorých uvedú podrobnejšie údaje a prípadne doplnia informácie uvedené v pravidelnej správe orgánom dohľadu; </w:t>
      </w:r>
    </w:p>
    <w:p w14:paraId="6E6CA116" w14:textId="77777777" w:rsidR="00792FDA" w:rsidRPr="006E55B7" w:rsidRDefault="00792FDA" w:rsidP="00792FDA">
      <w:pPr>
        <w:pStyle w:val="Default"/>
        <w:numPr>
          <w:ilvl w:val="0"/>
          <w:numId w:val="20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kópia dokumentácie k vykazovaniu na účely dohľadu za celú poisťovňu z tretej krajiny;</w:t>
      </w:r>
    </w:p>
    <w:p w14:paraId="586CBB8E" w14:textId="77777777" w:rsidR="00792FDA" w:rsidRPr="006E55B7" w:rsidRDefault="00792FDA" w:rsidP="00792FDA">
      <w:pPr>
        <w:pStyle w:val="Default"/>
        <w:numPr>
          <w:ilvl w:val="0"/>
          <w:numId w:val="20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súhrn všetkých podstatných námietok, ktoré orgán dohľadu hostiteľského členského štátu predložil poisťovni z tretej krajiny, v úradnom jazyku krajiny, v ktorej sa pobočka nachádza. </w:t>
      </w:r>
    </w:p>
    <w:p w14:paraId="5E642C72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Uvedené požiadavky sa nedotýkajú právomoci orgánu dohľadu hostiteľského  členského štátu požadovať od poisťovne z tretej krajiny, aby pravidelne oznamovala všetky ostatné informácie týkajúce sa operácií pobočky, ktoré v rámci svojich povinností vypracoval správny orgán, riadiaci orgán alebo kontrolný orgán týchto poisťovní alebo ktoré boli vypracované na jeho žiadosť. </w:t>
      </w:r>
    </w:p>
    <w:p w14:paraId="440A06E7" w14:textId="77777777" w:rsidR="00792FDA" w:rsidRPr="006E55B7" w:rsidRDefault="00792FDA" w:rsidP="00792FDA">
      <w:pPr>
        <w:pStyle w:val="Default"/>
        <w:ind w:left="960"/>
        <w:jc w:val="both"/>
        <w:rPr>
          <w:color w:val="auto"/>
        </w:rPr>
      </w:pPr>
    </w:p>
    <w:p w14:paraId="4FB79E90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V pravidelnej správe orgánom dohľadu, ktorú vydala poisťovňa z tretej krajiny a ktorá sa týka operácií pobočky, musí byť dodržaná štruktúra stanovená v prílohe XX k delegovanému nariadeniu Komisie (EÚ) 2015/355 a informácie opísané v technickej prílohe I k týmto usmerneniam v nej musia byť predstavené súvislým a informatívnym spôsobom. </w:t>
      </w:r>
    </w:p>
    <w:p w14:paraId="524AE190" w14:textId="77777777" w:rsidR="00792FDA" w:rsidRPr="006E55B7" w:rsidRDefault="00792FDA" w:rsidP="00792FDA">
      <w:pPr>
        <w:pStyle w:val="Default"/>
        <w:ind w:left="960"/>
        <w:jc w:val="both"/>
        <w:rPr>
          <w:color w:val="auto"/>
        </w:rPr>
      </w:pPr>
    </w:p>
    <w:p w14:paraId="1DBC36B1" w14:textId="77777777" w:rsidR="00792FDA" w:rsidRPr="006E55B7" w:rsidRDefault="00792FDA" w:rsidP="00792FDA">
      <w:pPr>
        <w:pStyle w:val="Default"/>
        <w:numPr>
          <w:ilvl w:val="0"/>
          <w:numId w:val="14"/>
        </w:numPr>
        <w:spacing w:after="184"/>
        <w:jc w:val="both"/>
        <w:rPr>
          <w:color w:val="auto"/>
        </w:rPr>
      </w:pPr>
      <w:r w:rsidRPr="006E55B7">
        <w:rPr>
          <w:color w:val="auto"/>
        </w:rPr>
        <w:t xml:space="preserve">Pobočka zahraničnej poisťovne a pobočka zahraničnej zaisťovne sú povinné zabezpečiť, aby správa o vlastnom posúdení rizika a solventnosti obsahovala: </w:t>
      </w:r>
    </w:p>
    <w:p w14:paraId="588AF4EC" w14:textId="77777777" w:rsidR="00792FDA" w:rsidRPr="006E55B7" w:rsidRDefault="00792FDA" w:rsidP="00792FDA">
      <w:pPr>
        <w:pStyle w:val="Default"/>
        <w:numPr>
          <w:ilvl w:val="0"/>
          <w:numId w:val="21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kvalitatívne a kvantitatívne výsledky vlastného posúdenia rizika a solventnosti a závery, ku ktorým zahraničná poisťovňa a zahraničná zaisťovňa dospeli na základe týchto výsledkov; </w:t>
      </w:r>
    </w:p>
    <w:p w14:paraId="65E2ECA8" w14:textId="77777777" w:rsidR="00792FDA" w:rsidRPr="006E55B7" w:rsidRDefault="00792FDA" w:rsidP="00792FDA">
      <w:pPr>
        <w:pStyle w:val="Default"/>
        <w:numPr>
          <w:ilvl w:val="0"/>
          <w:numId w:val="21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metódy a hlavné predpoklady použité v rámci vlastného posúdenia rizika a solventnosti; </w:t>
      </w:r>
    </w:p>
    <w:p w14:paraId="4D9DCA96" w14:textId="77777777" w:rsidR="00792FDA" w:rsidRPr="006E55B7" w:rsidRDefault="00792FDA" w:rsidP="00792FDA">
      <w:pPr>
        <w:pStyle w:val="Default"/>
        <w:numPr>
          <w:ilvl w:val="0"/>
          <w:numId w:val="21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informácie o celkových potrebách pobočky týkajúcich sa solventnosti a porovnaním medzi týmito potrebami týkajúcimi sa solventnosti, </w:t>
      </w:r>
      <w:proofErr w:type="spellStart"/>
      <w:r w:rsidRPr="006E55B7">
        <w:rPr>
          <w:color w:val="auto"/>
        </w:rPr>
        <w:t>regulatórnymi</w:t>
      </w:r>
      <w:proofErr w:type="spellEnd"/>
      <w:r w:rsidRPr="006E55B7">
        <w:rPr>
          <w:color w:val="auto"/>
        </w:rPr>
        <w:t xml:space="preserve"> kapitálovými požiadavkami a vlastnými zdrojmi pobočky; </w:t>
      </w:r>
    </w:p>
    <w:p w14:paraId="3971C95D" w14:textId="77777777" w:rsidR="00792FDA" w:rsidRPr="006E55B7" w:rsidRDefault="00792FDA" w:rsidP="00792FDA">
      <w:pPr>
        <w:pStyle w:val="Default"/>
        <w:numPr>
          <w:ilvl w:val="0"/>
          <w:numId w:val="21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kvalitatívne informácie týkajúce sa rozsahu, v ktorom kvantifikovateľné riziká pobočky nie sú zohľadnené vo výpočte kapitálovej požiadavky na solventnosť pobočky; </w:t>
      </w:r>
    </w:p>
    <w:p w14:paraId="5D46CBB3" w14:textId="77777777" w:rsidR="00792FDA" w:rsidRPr="006E55B7" w:rsidRDefault="00792FDA" w:rsidP="00792FDA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6E55B7">
        <w:rPr>
          <w:color w:val="auto"/>
        </w:rPr>
        <w:t>v prípade zistenia podstatných odchýlok riadne kvantifikované kvantifikovateľné riziká pobočky, ktoré neboli zohľadnené v kapitálovej požiadavke na solventnosť pobočky.</w:t>
      </w:r>
    </w:p>
    <w:p w14:paraId="000186D8" w14:textId="77777777" w:rsidR="00792FDA" w:rsidRPr="006E55B7" w:rsidRDefault="00792FDA" w:rsidP="00792FDA">
      <w:pPr>
        <w:pStyle w:val="Default"/>
        <w:jc w:val="both"/>
        <w:rPr>
          <w:b/>
          <w:bCs/>
          <w:color w:val="auto"/>
          <w:highlight w:val="lightGray"/>
        </w:rPr>
      </w:pPr>
    </w:p>
    <w:p w14:paraId="559EC6C3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Poisťovňa z tretej krajiny je povinná zabezpečiť, aby údajové body s druhom údajov „peňažné“ v správach poisťovne boli vykázané v mene vykazovania, čo si vyžaduje prepočítanie iných mien do meny vykazovania, pokiaľ v pokynoch prílohy II k </w:t>
      </w:r>
      <w:r w:rsidRPr="006E55B7">
        <w:rPr>
          <w:color w:val="auto"/>
        </w:rPr>
        <w:lastRenderedPageBreak/>
        <w:t xml:space="preserve">vykonávacím technickým predpisom pre vzory na predkladanie informácií alebo v pokynoch prílohy IV k týmto usmerneniam nie je stanovené inak. </w:t>
      </w:r>
    </w:p>
    <w:p w14:paraId="473C0CD2" w14:textId="77777777" w:rsidR="00792FDA" w:rsidRPr="006E55B7" w:rsidRDefault="00792FDA" w:rsidP="00792FDA">
      <w:pPr>
        <w:pStyle w:val="Default"/>
        <w:ind w:left="960"/>
        <w:jc w:val="both"/>
        <w:rPr>
          <w:color w:val="auto"/>
        </w:rPr>
      </w:pPr>
    </w:p>
    <w:p w14:paraId="65C49DCB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Poisťovňa z tretej krajiny pri uvádzaní hodnoty akýchkoľvek aktív alebo záväzkov pobočky vyjadrenej v mene odlišnej od meny vykazovania túto hodnotu prepočíta do meny vykazovania, akoby sa prepočet uskutočnil záverečným kurzom v posledný deň, ku ktorému bol príslušný kurz platný v rámci obdobia vykazovania, na ktoré sa aktíva alebo záväzky pobočky vzťahujú. </w:t>
      </w:r>
    </w:p>
    <w:p w14:paraId="42E655DA" w14:textId="77777777" w:rsidR="00792FDA" w:rsidRPr="006E55B7" w:rsidRDefault="00792FDA" w:rsidP="00792FDA">
      <w:pPr>
        <w:pStyle w:val="Default"/>
        <w:jc w:val="both"/>
        <w:rPr>
          <w:color w:val="auto"/>
        </w:rPr>
      </w:pPr>
    </w:p>
    <w:p w14:paraId="1978759F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Poisťovňa z tretej krajiny pri uvádzaní hodnoty každého príjmu alebo výdavku túto hodnotu prepočíta do meny vykazovania pomocou takého základu na konverziu, aký používa na účely účtovníctva. </w:t>
      </w:r>
    </w:p>
    <w:p w14:paraId="3D451E0B" w14:textId="77777777" w:rsidR="00792FDA" w:rsidRPr="006E55B7" w:rsidRDefault="00792FDA" w:rsidP="00792FDA">
      <w:pPr>
        <w:pStyle w:val="Default"/>
        <w:jc w:val="both"/>
        <w:rPr>
          <w:color w:val="auto"/>
        </w:rPr>
      </w:pPr>
    </w:p>
    <w:p w14:paraId="1F9E5833" w14:textId="77777777" w:rsidR="00792FDA" w:rsidRPr="006E55B7" w:rsidRDefault="00792FDA" w:rsidP="00792FD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E55B7">
        <w:rPr>
          <w:color w:val="auto"/>
        </w:rPr>
        <w:t xml:space="preserve">Poisťovňa z tretej krajiny pri prepočítavaní do meny vykazovania použije výmenný kurz z toho istého zdroja, aký sa použil vo finančných výkazoch poisťovne v prípade individuálneho vykazovania. </w:t>
      </w:r>
    </w:p>
    <w:p w14:paraId="18AA6BF4" w14:textId="77777777" w:rsidR="00792FDA" w:rsidRPr="006E55B7" w:rsidRDefault="00792FDA" w:rsidP="00792FDA">
      <w:pPr>
        <w:pStyle w:val="ListParagraph"/>
      </w:pPr>
    </w:p>
    <w:p w14:paraId="5CFC37CC" w14:textId="77777777" w:rsidR="00792FDA" w:rsidRPr="006E55B7" w:rsidRDefault="00792FDA" w:rsidP="00792FDA">
      <w:pPr>
        <w:pStyle w:val="Default"/>
        <w:ind w:left="960"/>
        <w:jc w:val="both"/>
        <w:rPr>
          <w:color w:val="auto"/>
        </w:rPr>
      </w:pPr>
    </w:p>
    <w:p w14:paraId="52F563E0" w14:textId="77777777" w:rsidR="00792FDA" w:rsidRPr="006E55B7" w:rsidRDefault="00792FDA" w:rsidP="00792FD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E55B7">
        <w:rPr>
          <w:color w:val="000000"/>
        </w:rPr>
        <w:t xml:space="preserve">Poisťovne z tretích krajín za významné informácie považujú tie informácie, ktorých vynechanie alebo nesprávne uvedenie mohli ovplyvniť jeho rozhodovanie alebo úsudok. </w:t>
      </w:r>
    </w:p>
    <w:p w14:paraId="2B056F41" w14:textId="77777777" w:rsidR="00792FDA" w:rsidRPr="006E55B7" w:rsidRDefault="00792FDA" w:rsidP="00792FDA">
      <w:pPr>
        <w:pStyle w:val="ListParagraph"/>
        <w:autoSpaceDE w:val="0"/>
        <w:autoSpaceDN w:val="0"/>
        <w:adjustRightInd w:val="0"/>
        <w:ind w:left="960"/>
        <w:jc w:val="both"/>
        <w:rPr>
          <w:color w:val="000000"/>
        </w:rPr>
      </w:pPr>
    </w:p>
    <w:p w14:paraId="0A89D327" w14:textId="77777777" w:rsidR="00792FDA" w:rsidRPr="006E55B7" w:rsidRDefault="00792FDA" w:rsidP="00792FD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E55B7">
        <w:rPr>
          <w:color w:val="000000"/>
        </w:rPr>
        <w:t xml:space="preserve">Poisťovňa z tretej krajiny poskytne pravidelnú správu orgánom dohľadu týkajúcu sa </w:t>
      </w:r>
      <w:r w:rsidRPr="006E55B7">
        <w:t xml:space="preserve">operácií pobočky, správu pre orgán dohľadu o vlastnom posúdení rizika a solventnosti týkajúcu sa operácií pobočky a príslušné kvantitatívne vzory v elektronickej podobe. </w:t>
      </w:r>
    </w:p>
    <w:p w14:paraId="64763E08" w14:textId="77777777" w:rsidR="00792FDA" w:rsidRPr="006E55B7" w:rsidRDefault="00792FDA" w:rsidP="00792FDA">
      <w:pPr>
        <w:pStyle w:val="ListParagraph"/>
        <w:autoSpaceDE w:val="0"/>
        <w:autoSpaceDN w:val="0"/>
        <w:adjustRightInd w:val="0"/>
        <w:ind w:left="960"/>
        <w:jc w:val="both"/>
      </w:pPr>
    </w:p>
    <w:p w14:paraId="2736A1F5" w14:textId="77777777" w:rsidR="00792FDA" w:rsidRPr="006E55B7" w:rsidRDefault="00792FDA" w:rsidP="00792FD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E55B7">
        <w:t xml:space="preserve">Poisťovňa z tretej krajiny poskytne informácie uvedené v týchto usmerneniach vo formátoch na výmenu údajov a v podobe, ktoré určí orgán dohľadu hostiteľského členského štátu alebo orgán dohľadu nad skupinou, a mala by dodržiavať tieto špecifikácie: </w:t>
      </w:r>
    </w:p>
    <w:p w14:paraId="75F000CD" w14:textId="77777777" w:rsidR="00792FDA" w:rsidRPr="006E55B7" w:rsidRDefault="00792FDA" w:rsidP="00792FDA">
      <w:pPr>
        <w:pStyle w:val="Default"/>
        <w:numPr>
          <w:ilvl w:val="0"/>
          <w:numId w:val="22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údajové body s druhom údajov „peňažné“, sa majú vyjadriť v jednotkách bez desatinných miest, okrem vzorov S.06.02, S.08.01, S.08.02 alebo S.11.01, v ktorých vyjadrujú v jednotkách s dvomi desatinnými miestami; </w:t>
      </w:r>
    </w:p>
    <w:p w14:paraId="135BBFA5" w14:textId="77777777" w:rsidR="00792FDA" w:rsidRPr="006E55B7" w:rsidRDefault="00792FDA" w:rsidP="00792FDA">
      <w:pPr>
        <w:pStyle w:val="Default"/>
        <w:numPr>
          <w:ilvl w:val="0"/>
          <w:numId w:val="22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>údajové body s druhom</w:t>
      </w:r>
      <w:bookmarkStart w:id="1" w:name="_GoBack"/>
      <w:bookmarkEnd w:id="1"/>
      <w:r w:rsidRPr="006E55B7">
        <w:rPr>
          <w:color w:val="auto"/>
        </w:rPr>
        <w:t xml:space="preserve"> údajov „percentuálny podiel“ sa majú vyjadriť v jednotkách so štyrmi desatinnými miestami; </w:t>
      </w:r>
    </w:p>
    <w:p w14:paraId="41D3EA7E" w14:textId="77777777" w:rsidR="00792FDA" w:rsidRPr="006E55B7" w:rsidRDefault="00792FDA" w:rsidP="00792FDA">
      <w:pPr>
        <w:pStyle w:val="Default"/>
        <w:numPr>
          <w:ilvl w:val="0"/>
          <w:numId w:val="22"/>
        </w:numPr>
        <w:spacing w:after="182"/>
        <w:jc w:val="both"/>
        <w:rPr>
          <w:color w:val="auto"/>
        </w:rPr>
      </w:pPr>
      <w:r w:rsidRPr="006E55B7">
        <w:rPr>
          <w:color w:val="auto"/>
        </w:rPr>
        <w:t xml:space="preserve">údajové body s druhom údajov „celé číslo“ sa majú vyjadriť v jednotkách bez desatinných miest. </w:t>
      </w:r>
    </w:p>
    <w:p w14:paraId="79D7BD89" w14:textId="77777777" w:rsidR="00792FDA" w:rsidRPr="006E55B7" w:rsidRDefault="00792FDA" w:rsidP="00792FDA">
      <w:pPr>
        <w:pStyle w:val="ListParagraph"/>
        <w:autoSpaceDE w:val="0"/>
        <w:autoSpaceDN w:val="0"/>
        <w:adjustRightInd w:val="0"/>
        <w:ind w:left="960"/>
        <w:jc w:val="both"/>
      </w:pPr>
    </w:p>
    <w:p w14:paraId="648F21D6" w14:textId="77777777" w:rsidR="00792FDA" w:rsidRPr="006E55B7" w:rsidRDefault="00792FDA" w:rsidP="00792FD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E55B7">
        <w:t xml:space="preserve">Ak významný pokrok ovplyvní informácie získané z poisťovne z tretej krajiny, poisťovňa z tretej krajiny predloží aktualizované informácie čo najskôr po výskyte významného pokroku. Takéto aktualizácie môžu mať podobu zmien pôvodnej správy. </w:t>
      </w:r>
    </w:p>
    <w:p w14:paraId="6211EC53" w14:textId="77777777" w:rsidR="00792FDA" w:rsidRPr="006E55B7" w:rsidRDefault="00792FDA" w:rsidP="00792FDA">
      <w:pPr>
        <w:pStyle w:val="ListParagraph"/>
        <w:autoSpaceDE w:val="0"/>
        <w:autoSpaceDN w:val="0"/>
        <w:adjustRightInd w:val="0"/>
        <w:ind w:left="960"/>
        <w:jc w:val="both"/>
      </w:pPr>
    </w:p>
    <w:p w14:paraId="64A42755" w14:textId="77777777" w:rsidR="00792FDA" w:rsidRPr="006E55B7" w:rsidRDefault="00792FDA" w:rsidP="00792FD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E55B7">
        <w:t xml:space="preserve">Poisťovňa z tretej krajiny za významný pokrok považuje akúkoľvek podstatnú zmenu systému likvidácie, ktorý platí pre pobočku. </w:t>
      </w:r>
    </w:p>
    <w:p w14:paraId="71F17C67" w14:textId="77777777" w:rsidR="00792FDA" w:rsidRPr="006E55B7" w:rsidRDefault="00792FDA" w:rsidP="007E0BD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sectPr w:rsidR="00792FDA" w:rsidRPr="006E55B7" w:rsidSect="0079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9AB4" w14:textId="77777777" w:rsidR="001B796A" w:rsidRDefault="001B796A" w:rsidP="008E2DDD">
      <w:pPr>
        <w:spacing w:after="0" w:line="240" w:lineRule="auto"/>
      </w:pPr>
      <w:r>
        <w:separator/>
      </w:r>
    </w:p>
  </w:endnote>
  <w:endnote w:type="continuationSeparator" w:id="0">
    <w:p w14:paraId="61E8A61E" w14:textId="77777777" w:rsidR="001B796A" w:rsidRDefault="001B796A" w:rsidP="008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C61B" w14:textId="77777777" w:rsidR="001B796A" w:rsidRDefault="001B796A" w:rsidP="008E2DDD">
      <w:pPr>
        <w:spacing w:after="0" w:line="240" w:lineRule="auto"/>
      </w:pPr>
      <w:r>
        <w:separator/>
      </w:r>
    </w:p>
  </w:footnote>
  <w:footnote w:type="continuationSeparator" w:id="0">
    <w:p w14:paraId="5E17CE00" w14:textId="77777777" w:rsidR="001B796A" w:rsidRDefault="001B796A" w:rsidP="008E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29E"/>
    <w:multiLevelType w:val="hybridMultilevel"/>
    <w:tmpl w:val="26B4464A"/>
    <w:lvl w:ilvl="0" w:tplc="F0A0C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930BC"/>
    <w:multiLevelType w:val="hybridMultilevel"/>
    <w:tmpl w:val="E974AC52"/>
    <w:lvl w:ilvl="0" w:tplc="B9AEC9C6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F950DC"/>
    <w:multiLevelType w:val="hybridMultilevel"/>
    <w:tmpl w:val="9A5889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8A8"/>
    <w:multiLevelType w:val="hybridMultilevel"/>
    <w:tmpl w:val="3E18A03C"/>
    <w:lvl w:ilvl="0" w:tplc="6322728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D09"/>
    <w:multiLevelType w:val="hybridMultilevel"/>
    <w:tmpl w:val="7474F7AC"/>
    <w:lvl w:ilvl="0" w:tplc="63FE88E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9E4E7A"/>
    <w:multiLevelType w:val="hybridMultilevel"/>
    <w:tmpl w:val="29A0605C"/>
    <w:lvl w:ilvl="0" w:tplc="EF04071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F22843"/>
    <w:multiLevelType w:val="hybridMultilevel"/>
    <w:tmpl w:val="BB1CA1F2"/>
    <w:lvl w:ilvl="0" w:tplc="A5540DFE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EE4351"/>
    <w:multiLevelType w:val="hybridMultilevel"/>
    <w:tmpl w:val="722A50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459E"/>
    <w:multiLevelType w:val="hybridMultilevel"/>
    <w:tmpl w:val="426A4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06B34"/>
    <w:multiLevelType w:val="hybridMultilevel"/>
    <w:tmpl w:val="671AEDF0"/>
    <w:lvl w:ilvl="0" w:tplc="872639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AD5136"/>
    <w:multiLevelType w:val="hybridMultilevel"/>
    <w:tmpl w:val="83E439E0"/>
    <w:lvl w:ilvl="0" w:tplc="EC3A333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D885280"/>
    <w:multiLevelType w:val="hybridMultilevel"/>
    <w:tmpl w:val="5886774A"/>
    <w:lvl w:ilvl="0" w:tplc="041B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3485727"/>
    <w:multiLevelType w:val="hybridMultilevel"/>
    <w:tmpl w:val="DBA28280"/>
    <w:lvl w:ilvl="0" w:tplc="6B32CDF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84101A"/>
    <w:multiLevelType w:val="hybridMultilevel"/>
    <w:tmpl w:val="FF16B872"/>
    <w:lvl w:ilvl="0" w:tplc="D512A52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3838FC"/>
    <w:multiLevelType w:val="hybridMultilevel"/>
    <w:tmpl w:val="7AFC9178"/>
    <w:lvl w:ilvl="0" w:tplc="A700398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DA6C0D"/>
    <w:multiLevelType w:val="hybridMultilevel"/>
    <w:tmpl w:val="05B0AB0A"/>
    <w:lvl w:ilvl="0" w:tplc="62500AA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67247"/>
    <w:multiLevelType w:val="hybridMultilevel"/>
    <w:tmpl w:val="6324EE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209F"/>
    <w:multiLevelType w:val="hybridMultilevel"/>
    <w:tmpl w:val="3BE2D782"/>
    <w:lvl w:ilvl="0" w:tplc="A484F0A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7920"/>
    <w:multiLevelType w:val="hybridMultilevel"/>
    <w:tmpl w:val="51E0587A"/>
    <w:lvl w:ilvl="0" w:tplc="3088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C47BC"/>
    <w:multiLevelType w:val="hybridMultilevel"/>
    <w:tmpl w:val="8544DFE0"/>
    <w:lvl w:ilvl="0" w:tplc="90441F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E2A65"/>
    <w:multiLevelType w:val="hybridMultilevel"/>
    <w:tmpl w:val="545236CE"/>
    <w:lvl w:ilvl="0" w:tplc="EA08EE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38486E"/>
    <w:multiLevelType w:val="hybridMultilevel"/>
    <w:tmpl w:val="EE62E2FC"/>
    <w:lvl w:ilvl="0" w:tplc="8CF4FFE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B59E0"/>
    <w:multiLevelType w:val="hybridMultilevel"/>
    <w:tmpl w:val="25CA1F2A"/>
    <w:lvl w:ilvl="0" w:tplc="A62EB6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1"/>
  </w:num>
  <w:num w:numId="13">
    <w:abstractNumId w:val="11"/>
  </w:num>
  <w:num w:numId="14">
    <w:abstractNumId w:val="6"/>
  </w:num>
  <w:num w:numId="15">
    <w:abstractNumId w:val="22"/>
  </w:num>
  <w:num w:numId="16">
    <w:abstractNumId w:val="10"/>
  </w:num>
  <w:num w:numId="17">
    <w:abstractNumId w:val="21"/>
  </w:num>
  <w:num w:numId="18">
    <w:abstractNumId w:val="17"/>
  </w:num>
  <w:num w:numId="19">
    <w:abstractNumId w:val="8"/>
  </w:num>
  <w:num w:numId="20">
    <w:abstractNumId w:val="3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DD"/>
    <w:rsid w:val="00042B81"/>
    <w:rsid w:val="00053E54"/>
    <w:rsid w:val="000772D1"/>
    <w:rsid w:val="000B3D94"/>
    <w:rsid w:val="000C5F45"/>
    <w:rsid w:val="000D1525"/>
    <w:rsid w:val="000E2BDB"/>
    <w:rsid w:val="000F4A53"/>
    <w:rsid w:val="001256DE"/>
    <w:rsid w:val="00133C78"/>
    <w:rsid w:val="00144612"/>
    <w:rsid w:val="00151017"/>
    <w:rsid w:val="00166552"/>
    <w:rsid w:val="001A6FBD"/>
    <w:rsid w:val="001B796A"/>
    <w:rsid w:val="001B7D95"/>
    <w:rsid w:val="001C492C"/>
    <w:rsid w:val="001D2160"/>
    <w:rsid w:val="001D56CD"/>
    <w:rsid w:val="001F57BD"/>
    <w:rsid w:val="002173E3"/>
    <w:rsid w:val="0022639C"/>
    <w:rsid w:val="002544E0"/>
    <w:rsid w:val="00255710"/>
    <w:rsid w:val="00284B9B"/>
    <w:rsid w:val="002860CD"/>
    <w:rsid w:val="0029384D"/>
    <w:rsid w:val="00294192"/>
    <w:rsid w:val="002C3D68"/>
    <w:rsid w:val="002D50A9"/>
    <w:rsid w:val="002D5293"/>
    <w:rsid w:val="002E6029"/>
    <w:rsid w:val="002F1990"/>
    <w:rsid w:val="002F279C"/>
    <w:rsid w:val="00311930"/>
    <w:rsid w:val="00313DCC"/>
    <w:rsid w:val="00320C40"/>
    <w:rsid w:val="00322501"/>
    <w:rsid w:val="00352959"/>
    <w:rsid w:val="00377035"/>
    <w:rsid w:val="0038519F"/>
    <w:rsid w:val="003B6C30"/>
    <w:rsid w:val="003C7270"/>
    <w:rsid w:val="003E5C2B"/>
    <w:rsid w:val="00403DCC"/>
    <w:rsid w:val="004203D3"/>
    <w:rsid w:val="00442510"/>
    <w:rsid w:val="00446BC6"/>
    <w:rsid w:val="00457C9E"/>
    <w:rsid w:val="004719B4"/>
    <w:rsid w:val="00474462"/>
    <w:rsid w:val="004A0FB2"/>
    <w:rsid w:val="004A5C57"/>
    <w:rsid w:val="004C5DCB"/>
    <w:rsid w:val="005233B2"/>
    <w:rsid w:val="00525991"/>
    <w:rsid w:val="00532784"/>
    <w:rsid w:val="00594594"/>
    <w:rsid w:val="005A67B6"/>
    <w:rsid w:val="005C49F8"/>
    <w:rsid w:val="005E02CE"/>
    <w:rsid w:val="005E4294"/>
    <w:rsid w:val="00600886"/>
    <w:rsid w:val="006068A7"/>
    <w:rsid w:val="00610C20"/>
    <w:rsid w:val="0062297E"/>
    <w:rsid w:val="006249C5"/>
    <w:rsid w:val="006261D1"/>
    <w:rsid w:val="006321CB"/>
    <w:rsid w:val="00634CEB"/>
    <w:rsid w:val="006635F6"/>
    <w:rsid w:val="0068799F"/>
    <w:rsid w:val="00697F14"/>
    <w:rsid w:val="006C2AC2"/>
    <w:rsid w:val="006C4D20"/>
    <w:rsid w:val="006E55B7"/>
    <w:rsid w:val="006E5F18"/>
    <w:rsid w:val="007127E6"/>
    <w:rsid w:val="00725F55"/>
    <w:rsid w:val="00750C7E"/>
    <w:rsid w:val="007547E0"/>
    <w:rsid w:val="00777604"/>
    <w:rsid w:val="00791438"/>
    <w:rsid w:val="00792FDA"/>
    <w:rsid w:val="007C29A1"/>
    <w:rsid w:val="007C39E7"/>
    <w:rsid w:val="007D03BB"/>
    <w:rsid w:val="007E0BD5"/>
    <w:rsid w:val="00832801"/>
    <w:rsid w:val="00897BCB"/>
    <w:rsid w:val="008A7E04"/>
    <w:rsid w:val="008C7122"/>
    <w:rsid w:val="008E2DDD"/>
    <w:rsid w:val="008E2FC8"/>
    <w:rsid w:val="00912226"/>
    <w:rsid w:val="00913D6B"/>
    <w:rsid w:val="00942FC6"/>
    <w:rsid w:val="009621ED"/>
    <w:rsid w:val="00995B3A"/>
    <w:rsid w:val="00997165"/>
    <w:rsid w:val="009E3CFF"/>
    <w:rsid w:val="009F5A0A"/>
    <w:rsid w:val="00A53149"/>
    <w:rsid w:val="00A60C1E"/>
    <w:rsid w:val="00A65272"/>
    <w:rsid w:val="00A739F2"/>
    <w:rsid w:val="00A809DD"/>
    <w:rsid w:val="00AA68B8"/>
    <w:rsid w:val="00AC0651"/>
    <w:rsid w:val="00AD3E65"/>
    <w:rsid w:val="00B32AF9"/>
    <w:rsid w:val="00B35179"/>
    <w:rsid w:val="00B67928"/>
    <w:rsid w:val="00B81D29"/>
    <w:rsid w:val="00BB7D3D"/>
    <w:rsid w:val="00BD21FB"/>
    <w:rsid w:val="00BF735B"/>
    <w:rsid w:val="00C20098"/>
    <w:rsid w:val="00C62B79"/>
    <w:rsid w:val="00C66BB6"/>
    <w:rsid w:val="00C71481"/>
    <w:rsid w:val="00C8498A"/>
    <w:rsid w:val="00C96CB3"/>
    <w:rsid w:val="00CB4FF2"/>
    <w:rsid w:val="00CB6385"/>
    <w:rsid w:val="00CC7618"/>
    <w:rsid w:val="00CD2D95"/>
    <w:rsid w:val="00CE06B1"/>
    <w:rsid w:val="00CF301E"/>
    <w:rsid w:val="00D015EA"/>
    <w:rsid w:val="00D0391D"/>
    <w:rsid w:val="00D21DE9"/>
    <w:rsid w:val="00D53F1A"/>
    <w:rsid w:val="00D57FD0"/>
    <w:rsid w:val="00D607E4"/>
    <w:rsid w:val="00D66EBA"/>
    <w:rsid w:val="00D86B01"/>
    <w:rsid w:val="00D96DDC"/>
    <w:rsid w:val="00DC2F59"/>
    <w:rsid w:val="00DC302C"/>
    <w:rsid w:val="00DF14CC"/>
    <w:rsid w:val="00E119BC"/>
    <w:rsid w:val="00E14795"/>
    <w:rsid w:val="00E403EC"/>
    <w:rsid w:val="00E527D4"/>
    <w:rsid w:val="00E67ACD"/>
    <w:rsid w:val="00EA17F6"/>
    <w:rsid w:val="00EA765C"/>
    <w:rsid w:val="00EB0F15"/>
    <w:rsid w:val="00EF111F"/>
    <w:rsid w:val="00F01802"/>
    <w:rsid w:val="00F11A0E"/>
    <w:rsid w:val="00F17CD0"/>
    <w:rsid w:val="00F23E3E"/>
    <w:rsid w:val="00F277D4"/>
    <w:rsid w:val="00F30F55"/>
    <w:rsid w:val="00F3375E"/>
    <w:rsid w:val="00F63B86"/>
    <w:rsid w:val="00F757CE"/>
    <w:rsid w:val="00F87BB5"/>
    <w:rsid w:val="00FB304E"/>
    <w:rsid w:val="00FD2578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63E7"/>
  <w15:docId w15:val="{64D1EF3D-9E14-44CC-BB58-A55381D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DD"/>
  </w:style>
  <w:style w:type="paragraph" w:styleId="Heading1">
    <w:name w:val="heading 1"/>
    <w:basedOn w:val="Normal"/>
    <w:next w:val="Normal"/>
    <w:link w:val="Heading1Char"/>
    <w:uiPriority w:val="9"/>
    <w:qFormat/>
    <w:rsid w:val="006C2AC2"/>
    <w:pPr>
      <w:keepNext/>
      <w:keepLines/>
      <w:spacing w:before="240" w:after="12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DD"/>
  </w:style>
  <w:style w:type="paragraph" w:styleId="FootnoteText">
    <w:name w:val="footnote text"/>
    <w:basedOn w:val="Normal"/>
    <w:link w:val="FootnoteTextChar"/>
    <w:uiPriority w:val="99"/>
    <w:semiHidden/>
    <w:unhideWhenUsed/>
    <w:rsid w:val="008E2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DD"/>
    <w:rPr>
      <w:sz w:val="20"/>
      <w:szCs w:val="20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,Footnote call,BVI fnr,SUPERS"/>
    <w:basedOn w:val="DefaultParagraphFont"/>
    <w:unhideWhenUsed/>
    <w:rsid w:val="008E2DD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E2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link w:val="ListParagraph"/>
    <w:uiPriority w:val="1"/>
    <w:locked/>
    <w:rsid w:val="000E2B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83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01"/>
  </w:style>
  <w:style w:type="character" w:styleId="CommentReference">
    <w:name w:val="annotation reference"/>
    <w:basedOn w:val="DefaultParagraphFont"/>
    <w:uiPriority w:val="99"/>
    <w:semiHidden/>
    <w:unhideWhenUsed/>
    <w:rsid w:val="0079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18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6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2AC2"/>
    <w:rPr>
      <w:rFonts w:ascii="Verdana" w:eastAsiaTheme="majorEastAsia" w:hAnsi="Verdana" w:cstheme="majorBidi"/>
      <w:color w:val="0067AC"/>
      <w:sz w:val="32"/>
      <w:szCs w:val="32"/>
    </w:rPr>
  </w:style>
  <w:style w:type="table" w:styleId="TableGrid">
    <w:name w:val="Table Grid"/>
    <w:basedOn w:val="TableNormal"/>
    <w:uiPriority w:val="59"/>
    <w:rsid w:val="0044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gondova@nb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eta.ondriskova@nb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fedorcakova@nb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7337-7F9E-4046-B8AA-EF319070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19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Ondrisková Iveta</dc:creator>
  <cp:lastModifiedBy>Fedorčáková Claudia</cp:lastModifiedBy>
  <cp:revision>19</cp:revision>
  <cp:lastPrinted>2019-02-22T11:13:00Z</cp:lastPrinted>
  <dcterms:created xsi:type="dcterms:W3CDTF">2021-05-17T11:08:00Z</dcterms:created>
  <dcterms:modified xsi:type="dcterms:W3CDTF">2021-05-17T16:02:00Z</dcterms:modified>
</cp:coreProperties>
</file>