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AF5EA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AF5EA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AF5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AF5EA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AF5EA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AF5EA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8C4564" w:rsidRDefault="000F6BDF" w:rsidP="00091263">
            <w:pPr>
              <w:jc w:val="both"/>
              <w:rPr>
                <w:rFonts w:ascii="Times New Roman" w:hAnsi="Times New Roman"/>
                <w:szCs w:val="20"/>
              </w:rPr>
            </w:pPr>
            <w:r w:rsidRPr="008C4564">
              <w:rPr>
                <w:rFonts w:ascii="Times New Roman" w:hAnsi="Times New Roman"/>
                <w:szCs w:val="20"/>
              </w:rPr>
              <w:t>Bez vplyvu</w:t>
            </w:r>
            <w:r w:rsidR="008C4564">
              <w:rPr>
                <w:rFonts w:ascii="Times New Roman" w:hAnsi="Times New Roman"/>
                <w:szCs w:val="20"/>
              </w:rPr>
              <w:t>.</w:t>
            </w:r>
            <w:r w:rsidRPr="008C456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24847" w:rsidRPr="00CD4982" w:rsidTr="00AF5EA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9B3ED7" w:rsidRPr="008C4564" w:rsidRDefault="008C4564" w:rsidP="009B3E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2602F">
              <w:rPr>
                <w:rFonts w:ascii="Times New Roman" w:hAnsi="Times New Roman"/>
                <w:szCs w:val="20"/>
              </w:rPr>
              <w:t>Bez vplyvu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224847" w:rsidRPr="00CD4982" w:rsidTr="00AF5EA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8C4564" w:rsidRDefault="0022701C" w:rsidP="00AF5EA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224847" w:rsidRPr="00CD4982" w:rsidTr="00006115">
        <w:trPr>
          <w:trHeight w:val="493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B00067" w:rsidRDefault="0022701C" w:rsidP="00AF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224847" w:rsidRPr="00CD4982" w:rsidTr="00AF5EA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B00067" w:rsidP="00AF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AF5EA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AF5EA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AF5EA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AF5EA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FB1EA9" w:rsidP="00AF5EA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224847" w:rsidRPr="00CD4982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EE1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AF5EA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AF5EA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AF5EA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Špecifikujete ovplyvnené skupiny obyvateľstva a charakter zmeny v prístupnosti s ohľadom na dostupnosť finančnú, </w:t>
            </w: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lastRenderedPageBreak/>
              <w:t>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AA4CFC">
        <w:trPr>
          <w:trHeight w:val="6383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0A6811" w:rsidRPr="000A6811" w:rsidRDefault="006C42C6" w:rsidP="000A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zariadeniach podmienených odkázanosťou , pričom ide konkrétne o zariadenie pre seniorov, zariadenie opatrovateľskej služby, špecializované zariadenie, domov sociálnych služieb, zariadenie podporovaného bývania, denný stacionár, rehabilitačné stredisko  sa poskytujú sociálne služby pre </w:t>
            </w:r>
            <w:r w:rsidR="000A6811" w:rsidRPr="000A6811">
              <w:rPr>
                <w:rFonts w:ascii="Times New Roman" w:hAnsi="Times New Roman"/>
                <w:sz w:val="24"/>
                <w:szCs w:val="24"/>
              </w:rPr>
              <w:t xml:space="preserve">45 702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prijímateľov sociálnych služieb, kapacita zariadení je </w:t>
            </w:r>
            <w:r w:rsidRPr="006C42C6">
              <w:rPr>
                <w:rFonts w:ascii="Times New Roman" w:hAnsi="Times New Roman"/>
                <w:sz w:val="24"/>
                <w:szCs w:val="24"/>
              </w:rPr>
              <w:t xml:space="preserve">47 520 </w:t>
            </w:r>
            <w:r>
              <w:rPr>
                <w:rFonts w:ascii="Times New Roman" w:hAnsi="Times New Roman"/>
                <w:sz w:val="24"/>
                <w:szCs w:val="24"/>
              </w:rPr>
              <w:t>miest (</w:t>
            </w:r>
            <w:r w:rsidR="000A6811" w:rsidRPr="000A6811">
              <w:rPr>
                <w:rFonts w:ascii="Times New Roman" w:hAnsi="Times New Roman"/>
                <w:sz w:val="24"/>
                <w:szCs w:val="24"/>
              </w:rPr>
              <w:t xml:space="preserve">Správa o sociálnej situácii obyvateľstva SR za rok 2019). </w:t>
            </w:r>
          </w:p>
          <w:p w:rsidR="006C42C6" w:rsidRPr="000A6811" w:rsidRDefault="000A6811" w:rsidP="000A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811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6C42C6">
              <w:rPr>
                <w:rFonts w:ascii="Times New Roman" w:hAnsi="Times New Roman"/>
                <w:sz w:val="24"/>
                <w:szCs w:val="24"/>
              </w:rPr>
              <w:t xml:space="preserve">nariadenia vlády upravuje výšku finančného príspevku z rozpočtovej kapitoly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C42C6">
              <w:rPr>
                <w:rFonts w:ascii="Times New Roman" w:hAnsi="Times New Roman"/>
                <w:sz w:val="24"/>
                <w:szCs w:val="24"/>
              </w:rPr>
              <w:t>inisterstva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práce sociálnych vecí a rodiny SR </w:t>
            </w:r>
            <w:r w:rsidR="006C42C6">
              <w:rPr>
                <w:rFonts w:ascii="Times New Roman" w:hAnsi="Times New Roman"/>
                <w:sz w:val="24"/>
                <w:szCs w:val="24"/>
              </w:rPr>
              <w:t>na poskytovanie sociálnej služby (ambulantnou formou ako aj pobytovou formou) vo vyššie uvedených zariadeniach, ktorých zriaďovateľmi sú obce resp. verejní a neverejní poskytovatelia sociálnych služieb</w:t>
            </w:r>
          </w:p>
          <w:p w:rsidR="00227754" w:rsidRPr="00673E51" w:rsidRDefault="00244248" w:rsidP="000A6811">
            <w:pPr>
              <w:jc w:val="both"/>
            </w:pPr>
            <w:r w:rsidRPr="005854A4">
              <w:rPr>
                <w:rFonts w:ascii="Times New Roman" w:hAnsi="Times New Roman"/>
                <w:sz w:val="24"/>
                <w:szCs w:val="24"/>
              </w:rPr>
              <w:t>V</w:t>
            </w:r>
            <w:r w:rsidR="00E0681F" w:rsidRPr="005854A4">
              <w:rPr>
                <w:rFonts w:ascii="Times New Roman" w:hAnsi="Times New Roman"/>
                <w:sz w:val="24"/>
                <w:szCs w:val="24"/>
              </w:rPr>
              <w:t xml:space="preserve"> rámci </w:t>
            </w:r>
            <w:r w:rsidRPr="005854A4">
              <w:rPr>
                <w:rFonts w:ascii="Times New Roman" w:hAnsi="Times New Roman"/>
                <w:sz w:val="24"/>
                <w:szCs w:val="24"/>
              </w:rPr>
              <w:t xml:space="preserve">nariadenia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vlády SR </w:t>
            </w:r>
            <w:r w:rsidRPr="005854A4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F95F60" w:rsidRPr="005854A4">
              <w:rPr>
                <w:rFonts w:ascii="Times New Roman" w:hAnsi="Times New Roman"/>
                <w:sz w:val="24"/>
                <w:szCs w:val="24"/>
              </w:rPr>
              <w:t xml:space="preserve">realizuje </w:t>
            </w:r>
            <w:r w:rsidRPr="005854A4">
              <w:rPr>
                <w:rFonts w:ascii="Times New Roman" w:hAnsi="Times New Roman"/>
                <w:sz w:val="24"/>
                <w:szCs w:val="24"/>
              </w:rPr>
              <w:t xml:space="preserve">zvýšenie podielu finančnej podpory týchto zariadení, </w:t>
            </w:r>
            <w:r w:rsidR="006C42C6">
              <w:rPr>
                <w:rFonts w:ascii="Times New Roman" w:hAnsi="Times New Roman"/>
                <w:sz w:val="24"/>
                <w:szCs w:val="24"/>
              </w:rPr>
              <w:t xml:space="preserve">čo sa premietne v dostupnosti </w:t>
            </w:r>
            <w:r w:rsidRP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564">
              <w:rPr>
                <w:rFonts w:ascii="Times New Roman" w:hAnsi="Times New Roman"/>
                <w:sz w:val="24"/>
                <w:szCs w:val="24"/>
              </w:rPr>
              <w:t xml:space="preserve">ambulantných a  pobytových </w:t>
            </w:r>
            <w:r w:rsidRPr="005854A4">
              <w:rPr>
                <w:rFonts w:ascii="Times New Roman" w:hAnsi="Times New Roman"/>
                <w:sz w:val="24"/>
                <w:szCs w:val="24"/>
              </w:rPr>
              <w:t>sociálnych služieb.</w:t>
            </w:r>
            <w:r w:rsidR="00F95F60" w:rsidRP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AF5EA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AF5EA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22701C" w:rsidRPr="0029261E" w:rsidRDefault="008C4564" w:rsidP="00EB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Právna </w:t>
            </w:r>
            <w:r w:rsidR="003317C1" w:rsidRPr="0029261E">
              <w:rPr>
                <w:rFonts w:ascii="Times New Roman" w:hAnsi="Times New Roman"/>
                <w:sz w:val="24"/>
                <w:szCs w:val="24"/>
              </w:rPr>
              <w:t>úprava zohľadňuje poskytovanie sociálnych služieb a ich zabezpečovanie, pričom napĺňanie potrieb rozvoja jednotlivých druhov sociálnych služieb v území je primerané potrebám obyvateľov.</w:t>
            </w:r>
            <w:r w:rsidR="00EB226D" w:rsidRPr="00292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Špecifickými cieľovými skupinami je široké spektrum </w:t>
            </w:r>
            <w:r w:rsidR="0029261E">
              <w:rPr>
                <w:rFonts w:ascii="Times New Roman" w:hAnsi="Times New Roman"/>
                <w:sz w:val="24"/>
                <w:szCs w:val="24"/>
              </w:rPr>
              <w:t>prijímateľov sociálnych služieb, ktorí vyžadujú pomoc pri riešení nepriaznivej sociálnej situácie z dôvodu ich ťažkého zdravotného postihnutia, nepriaznivého zdravotného stavu alebo z dôvodu dovŕšenia dôchodkového veku.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7C1" w:rsidRDefault="003317C1" w:rsidP="00E85F04">
            <w:pPr>
              <w:jc w:val="both"/>
            </w:pPr>
          </w:p>
          <w:p w:rsidR="0048567D" w:rsidRPr="00377D28" w:rsidRDefault="0048567D" w:rsidP="003317C1">
            <w:pPr>
              <w:jc w:val="both"/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307E8B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307E8B" w:rsidRPr="00D86BF5" w:rsidRDefault="000F6BDF" w:rsidP="00E512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 xml:space="preserve"> Bez vplyvu. </w:t>
            </w:r>
            <w:r w:rsidR="00307E8B" w:rsidRPr="00462BB5">
              <w:t xml:space="preserve">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CD4982" w:rsidTr="007B003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Pr="00CA6BAF" w:rsidRDefault="009F45DE" w:rsidP="00436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Návrh </w:t>
            </w:r>
            <w:r w:rsidR="004366D8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nariadenia vlády</w:t>
            </w:r>
            <w:r w:rsidR="00930AA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sa</w:t>
            </w:r>
            <w:r w:rsidR="004366D8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ezakladá na odlišnom prístupe medzi mužmi a ženami.</w:t>
            </w:r>
            <w:r w:rsidR="00E51297">
              <w:t xml:space="preserve"> 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994C53" w:rsidTr="00AF5EA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AF5EA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307E8B" w:rsidP="00C63B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Návrh </w:t>
            </w:r>
            <w:r w:rsidR="004366D8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nariadenia vlády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nepriamo </w:t>
            </w: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predpokladá aj vznik nových pracovných príležitostí pre </w:t>
            </w:r>
            <w:r w:rsidR="00C63BF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zamestnancov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poskytujúcich starostlivosť</w:t>
            </w:r>
            <w:r w:rsidR="008C45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o </w:t>
            </w:r>
            <w:r w:rsidR="008C45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prijímateľov sociálnych služieb</w:t>
            </w:r>
            <w:r w:rsidR="00E51297" w:rsidRPr="00E51297">
              <w:t>.</w:t>
            </w:r>
            <w:r w:rsidR="00E5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C53" w:rsidRPr="00994C53" w:rsidTr="00AF5EAF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AF5EA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E51297" w:rsidRDefault="00625BF4" w:rsidP="00994C53">
            <w:pPr>
              <w:spacing w:after="0" w:line="240" w:lineRule="auto"/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Návrh nepredstavuje ohrozenie pre zamestnanosť a nehrozí v jeho dôsledku hromadné prepúšťanie.</w:t>
            </w:r>
          </w:p>
        </w:tc>
      </w:tr>
      <w:tr w:rsidR="00994C53" w:rsidRPr="00994C53" w:rsidTr="00AF5EAF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AF5EA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29261E" w:rsidP="0029261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Návrh vytvára predpoklady na stabilizáciu odmeňovania v zariadeniach sociálnych služieb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podmienených odkázanosťou</w:t>
            </w: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, čím nepriamo podporuje zamestnateľnosť.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AF5EAF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AF5EA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C203F5" w:rsidRDefault="000F6BDF" w:rsidP="000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Bez vplyvu </w:t>
            </w:r>
          </w:p>
        </w:tc>
      </w:tr>
      <w:tr w:rsidR="00994C53" w:rsidRPr="00994C53" w:rsidTr="00AF5EAF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AF5EA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037CD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AF5EAF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AF5EA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CB3623" w:rsidRDefault="00CB3623" w:rsidP="00051176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2F" w:rsidRDefault="0003112F" w:rsidP="001D6749">
      <w:pPr>
        <w:spacing w:after="0" w:line="240" w:lineRule="auto"/>
      </w:pPr>
      <w:r>
        <w:separator/>
      </w:r>
    </w:p>
  </w:endnote>
  <w:endnote w:type="continuationSeparator" w:id="0">
    <w:p w:rsidR="0003112F" w:rsidRDefault="0003112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1D6749" w:rsidRDefault="0029261E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14713B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1D6749" w:rsidRDefault="0029261E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14713B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2F" w:rsidRDefault="0003112F" w:rsidP="001D6749">
      <w:pPr>
        <w:spacing w:after="0" w:line="240" w:lineRule="auto"/>
      </w:pPr>
      <w:r>
        <w:separator/>
      </w:r>
    </w:p>
  </w:footnote>
  <w:footnote w:type="continuationSeparator" w:id="0">
    <w:p w:rsidR="0003112F" w:rsidRDefault="0003112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CD4982" w:rsidRDefault="0029261E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CD4982" w:rsidRDefault="0029261E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0029"/>
    <w:multiLevelType w:val="hybridMultilevel"/>
    <w:tmpl w:val="EA68488A"/>
    <w:lvl w:ilvl="0" w:tplc="D284C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0A8"/>
    <w:multiLevelType w:val="hybridMultilevel"/>
    <w:tmpl w:val="74D24180"/>
    <w:lvl w:ilvl="0" w:tplc="1F80CA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6C5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A1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2D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97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37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64C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F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4F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A871C56"/>
    <w:multiLevelType w:val="hybridMultilevel"/>
    <w:tmpl w:val="9AFE9D74"/>
    <w:lvl w:ilvl="0" w:tplc="8F0C3BD6">
      <w:start w:val="16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4552BF"/>
    <w:multiLevelType w:val="hybridMultilevel"/>
    <w:tmpl w:val="5510D0C4"/>
    <w:lvl w:ilvl="0" w:tplc="B1EC2B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020B9A"/>
    <w:multiLevelType w:val="hybridMultilevel"/>
    <w:tmpl w:val="A7D2C1A4"/>
    <w:lvl w:ilvl="0" w:tplc="468E3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622FE"/>
    <w:multiLevelType w:val="hybridMultilevel"/>
    <w:tmpl w:val="980EF408"/>
    <w:lvl w:ilvl="0" w:tplc="ED18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20BC"/>
    <w:rsid w:val="00006115"/>
    <w:rsid w:val="00016797"/>
    <w:rsid w:val="0002684F"/>
    <w:rsid w:val="000274D0"/>
    <w:rsid w:val="0003112F"/>
    <w:rsid w:val="000350FB"/>
    <w:rsid w:val="00037CD0"/>
    <w:rsid w:val="00051176"/>
    <w:rsid w:val="00052A58"/>
    <w:rsid w:val="00065710"/>
    <w:rsid w:val="00065FF3"/>
    <w:rsid w:val="00091263"/>
    <w:rsid w:val="00091AFF"/>
    <w:rsid w:val="000A6811"/>
    <w:rsid w:val="000D515C"/>
    <w:rsid w:val="000D73AC"/>
    <w:rsid w:val="000E7F42"/>
    <w:rsid w:val="000F14CB"/>
    <w:rsid w:val="000F6BDF"/>
    <w:rsid w:val="001100A9"/>
    <w:rsid w:val="001253F8"/>
    <w:rsid w:val="001379CE"/>
    <w:rsid w:val="00145DBB"/>
    <w:rsid w:val="0014713B"/>
    <w:rsid w:val="00156D4E"/>
    <w:rsid w:val="001627F7"/>
    <w:rsid w:val="00165321"/>
    <w:rsid w:val="0018683A"/>
    <w:rsid w:val="00193A48"/>
    <w:rsid w:val="001A62B5"/>
    <w:rsid w:val="001B36B7"/>
    <w:rsid w:val="001D04BD"/>
    <w:rsid w:val="001D6749"/>
    <w:rsid w:val="001D689A"/>
    <w:rsid w:val="001E29D1"/>
    <w:rsid w:val="001F5825"/>
    <w:rsid w:val="001F7932"/>
    <w:rsid w:val="00204D10"/>
    <w:rsid w:val="002050C9"/>
    <w:rsid w:val="00224847"/>
    <w:rsid w:val="0022701C"/>
    <w:rsid w:val="00227754"/>
    <w:rsid w:val="00227A26"/>
    <w:rsid w:val="00242CF6"/>
    <w:rsid w:val="00244248"/>
    <w:rsid w:val="002562C0"/>
    <w:rsid w:val="00261CCF"/>
    <w:rsid w:val="00266E04"/>
    <w:rsid w:val="00274ECD"/>
    <w:rsid w:val="00275F99"/>
    <w:rsid w:val="0027626A"/>
    <w:rsid w:val="00276CCA"/>
    <w:rsid w:val="0029261E"/>
    <w:rsid w:val="002A53DC"/>
    <w:rsid w:val="002A7FC0"/>
    <w:rsid w:val="002C4036"/>
    <w:rsid w:val="002C78A1"/>
    <w:rsid w:val="002C7EA7"/>
    <w:rsid w:val="002D08C8"/>
    <w:rsid w:val="002F5D98"/>
    <w:rsid w:val="00300524"/>
    <w:rsid w:val="00307E8B"/>
    <w:rsid w:val="003174CD"/>
    <w:rsid w:val="003317C1"/>
    <w:rsid w:val="00337B5D"/>
    <w:rsid w:val="003541E9"/>
    <w:rsid w:val="00357E2A"/>
    <w:rsid w:val="0036000B"/>
    <w:rsid w:val="00362707"/>
    <w:rsid w:val="00362CBF"/>
    <w:rsid w:val="003657AA"/>
    <w:rsid w:val="00366D73"/>
    <w:rsid w:val="00377D28"/>
    <w:rsid w:val="003849C7"/>
    <w:rsid w:val="003850D7"/>
    <w:rsid w:val="003A52AE"/>
    <w:rsid w:val="003B0F25"/>
    <w:rsid w:val="003B2237"/>
    <w:rsid w:val="003D2525"/>
    <w:rsid w:val="003E04D0"/>
    <w:rsid w:val="003F3346"/>
    <w:rsid w:val="0040544D"/>
    <w:rsid w:val="00406C8B"/>
    <w:rsid w:val="004366D8"/>
    <w:rsid w:val="004428BF"/>
    <w:rsid w:val="00456BFD"/>
    <w:rsid w:val="00462BB5"/>
    <w:rsid w:val="00466488"/>
    <w:rsid w:val="004833DE"/>
    <w:rsid w:val="00485099"/>
    <w:rsid w:val="0048560A"/>
    <w:rsid w:val="0048567D"/>
    <w:rsid w:val="004B7FAB"/>
    <w:rsid w:val="004D18C4"/>
    <w:rsid w:val="004F2664"/>
    <w:rsid w:val="004F363B"/>
    <w:rsid w:val="0051643C"/>
    <w:rsid w:val="00520808"/>
    <w:rsid w:val="00543DEF"/>
    <w:rsid w:val="0055076C"/>
    <w:rsid w:val="00561CDB"/>
    <w:rsid w:val="00564D0A"/>
    <w:rsid w:val="00571BEF"/>
    <w:rsid w:val="00580136"/>
    <w:rsid w:val="005854A4"/>
    <w:rsid w:val="00585AD3"/>
    <w:rsid w:val="005A57C8"/>
    <w:rsid w:val="005B2355"/>
    <w:rsid w:val="005B6515"/>
    <w:rsid w:val="005C2ECF"/>
    <w:rsid w:val="005D0ACC"/>
    <w:rsid w:val="006247BB"/>
    <w:rsid w:val="00625BF4"/>
    <w:rsid w:val="00647D12"/>
    <w:rsid w:val="00663D0D"/>
    <w:rsid w:val="00672BCB"/>
    <w:rsid w:val="0067346E"/>
    <w:rsid w:val="00673E51"/>
    <w:rsid w:val="00690B7D"/>
    <w:rsid w:val="00691335"/>
    <w:rsid w:val="006B34DA"/>
    <w:rsid w:val="006B7368"/>
    <w:rsid w:val="006C143E"/>
    <w:rsid w:val="006C2535"/>
    <w:rsid w:val="006C42C6"/>
    <w:rsid w:val="006D1EA1"/>
    <w:rsid w:val="00746BDC"/>
    <w:rsid w:val="007B003C"/>
    <w:rsid w:val="007D30D5"/>
    <w:rsid w:val="007F4B0C"/>
    <w:rsid w:val="007F7F3C"/>
    <w:rsid w:val="00811A71"/>
    <w:rsid w:val="008145AC"/>
    <w:rsid w:val="00821EDA"/>
    <w:rsid w:val="008232A2"/>
    <w:rsid w:val="0084760B"/>
    <w:rsid w:val="00861CF9"/>
    <w:rsid w:val="008661CF"/>
    <w:rsid w:val="00866E34"/>
    <w:rsid w:val="00871E2B"/>
    <w:rsid w:val="00881728"/>
    <w:rsid w:val="00881DA5"/>
    <w:rsid w:val="00882F55"/>
    <w:rsid w:val="008A28AB"/>
    <w:rsid w:val="008A4F7C"/>
    <w:rsid w:val="008B1772"/>
    <w:rsid w:val="008C4564"/>
    <w:rsid w:val="008C78C0"/>
    <w:rsid w:val="008F6063"/>
    <w:rsid w:val="009169B2"/>
    <w:rsid w:val="00921D53"/>
    <w:rsid w:val="00923099"/>
    <w:rsid w:val="00930AA7"/>
    <w:rsid w:val="00937A3A"/>
    <w:rsid w:val="00943698"/>
    <w:rsid w:val="009468E3"/>
    <w:rsid w:val="00950D08"/>
    <w:rsid w:val="00972E46"/>
    <w:rsid w:val="00991E24"/>
    <w:rsid w:val="009938E5"/>
    <w:rsid w:val="00994C53"/>
    <w:rsid w:val="00997B26"/>
    <w:rsid w:val="009B3ED7"/>
    <w:rsid w:val="009B755F"/>
    <w:rsid w:val="009D4012"/>
    <w:rsid w:val="009D7D9F"/>
    <w:rsid w:val="009E2FD7"/>
    <w:rsid w:val="009F385D"/>
    <w:rsid w:val="009F45DE"/>
    <w:rsid w:val="00A10911"/>
    <w:rsid w:val="00A30201"/>
    <w:rsid w:val="00A30F1C"/>
    <w:rsid w:val="00A43E40"/>
    <w:rsid w:val="00A53AFA"/>
    <w:rsid w:val="00A53CCB"/>
    <w:rsid w:val="00A605B0"/>
    <w:rsid w:val="00A74241"/>
    <w:rsid w:val="00A87D5B"/>
    <w:rsid w:val="00A938B8"/>
    <w:rsid w:val="00AA4CFC"/>
    <w:rsid w:val="00AA4E6F"/>
    <w:rsid w:val="00AC4EE5"/>
    <w:rsid w:val="00AC51EF"/>
    <w:rsid w:val="00AE687E"/>
    <w:rsid w:val="00AF39B8"/>
    <w:rsid w:val="00AF4DF8"/>
    <w:rsid w:val="00AF5EAF"/>
    <w:rsid w:val="00B00067"/>
    <w:rsid w:val="00B10B69"/>
    <w:rsid w:val="00B2165F"/>
    <w:rsid w:val="00B23818"/>
    <w:rsid w:val="00B23A1D"/>
    <w:rsid w:val="00B324A4"/>
    <w:rsid w:val="00B35FF5"/>
    <w:rsid w:val="00B4080A"/>
    <w:rsid w:val="00B437B3"/>
    <w:rsid w:val="00B803A4"/>
    <w:rsid w:val="00B84C2C"/>
    <w:rsid w:val="00B90A2F"/>
    <w:rsid w:val="00B91781"/>
    <w:rsid w:val="00BB2DFE"/>
    <w:rsid w:val="00BC22E3"/>
    <w:rsid w:val="00BC7BCC"/>
    <w:rsid w:val="00BD20CD"/>
    <w:rsid w:val="00BE5FA3"/>
    <w:rsid w:val="00BF539E"/>
    <w:rsid w:val="00C02A1D"/>
    <w:rsid w:val="00C04C5A"/>
    <w:rsid w:val="00C203F5"/>
    <w:rsid w:val="00C22C50"/>
    <w:rsid w:val="00C3149A"/>
    <w:rsid w:val="00C323EC"/>
    <w:rsid w:val="00C40547"/>
    <w:rsid w:val="00C63956"/>
    <w:rsid w:val="00C63BF3"/>
    <w:rsid w:val="00C6568C"/>
    <w:rsid w:val="00C70789"/>
    <w:rsid w:val="00C7691F"/>
    <w:rsid w:val="00C77AA2"/>
    <w:rsid w:val="00CA00F0"/>
    <w:rsid w:val="00CA023C"/>
    <w:rsid w:val="00CA3E12"/>
    <w:rsid w:val="00CA6BAF"/>
    <w:rsid w:val="00CB3623"/>
    <w:rsid w:val="00CD4982"/>
    <w:rsid w:val="00CE4645"/>
    <w:rsid w:val="00CF0347"/>
    <w:rsid w:val="00D34858"/>
    <w:rsid w:val="00D34FFD"/>
    <w:rsid w:val="00D44F9A"/>
    <w:rsid w:val="00D829FE"/>
    <w:rsid w:val="00D86BF5"/>
    <w:rsid w:val="00D921AE"/>
    <w:rsid w:val="00DA4453"/>
    <w:rsid w:val="00DA4A6E"/>
    <w:rsid w:val="00DD406D"/>
    <w:rsid w:val="00DE19EF"/>
    <w:rsid w:val="00DF2EAA"/>
    <w:rsid w:val="00E0681F"/>
    <w:rsid w:val="00E1614A"/>
    <w:rsid w:val="00E22685"/>
    <w:rsid w:val="00E40428"/>
    <w:rsid w:val="00E44CBB"/>
    <w:rsid w:val="00E51297"/>
    <w:rsid w:val="00E538C0"/>
    <w:rsid w:val="00E53E29"/>
    <w:rsid w:val="00E71070"/>
    <w:rsid w:val="00E778FE"/>
    <w:rsid w:val="00E85F04"/>
    <w:rsid w:val="00E90991"/>
    <w:rsid w:val="00E929F4"/>
    <w:rsid w:val="00EB226D"/>
    <w:rsid w:val="00EC5141"/>
    <w:rsid w:val="00ED34DD"/>
    <w:rsid w:val="00EE1513"/>
    <w:rsid w:val="00EE2E23"/>
    <w:rsid w:val="00EF0C21"/>
    <w:rsid w:val="00EF3D6A"/>
    <w:rsid w:val="00F2597D"/>
    <w:rsid w:val="00F2602F"/>
    <w:rsid w:val="00F30B4E"/>
    <w:rsid w:val="00F4676C"/>
    <w:rsid w:val="00F51BA4"/>
    <w:rsid w:val="00F536B9"/>
    <w:rsid w:val="00F74B56"/>
    <w:rsid w:val="00F75B40"/>
    <w:rsid w:val="00F7696B"/>
    <w:rsid w:val="00F77D10"/>
    <w:rsid w:val="00F807DB"/>
    <w:rsid w:val="00F87CA7"/>
    <w:rsid w:val="00F93824"/>
    <w:rsid w:val="00F938A1"/>
    <w:rsid w:val="00F95F60"/>
    <w:rsid w:val="00FA11DD"/>
    <w:rsid w:val="00FB1EA9"/>
    <w:rsid w:val="00FB7660"/>
    <w:rsid w:val="00FC3239"/>
    <w:rsid w:val="00FE39F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E44C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22701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22701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0AA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30AA7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E44C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22701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22701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0AA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30AA7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1FF8-B431-4922-A73C-CC80101E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Benková Zuzana</cp:lastModifiedBy>
  <cp:revision>2</cp:revision>
  <cp:lastPrinted>2020-03-02T10:23:00Z</cp:lastPrinted>
  <dcterms:created xsi:type="dcterms:W3CDTF">2021-06-14T13:02:00Z</dcterms:created>
  <dcterms:modified xsi:type="dcterms:W3CDTF">2021-06-14T13:02:00Z</dcterms:modified>
</cp:coreProperties>
</file>