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Default="009F2DFA" w:rsidP="00780BA6">
            <w:pPr>
              <w:jc w:val="center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  <w:p w:rsidR="00413904" w:rsidRPr="00F04CCD" w:rsidRDefault="00413904" w:rsidP="00780BA6">
            <w:pPr>
              <w:jc w:val="center"/>
              <w:rPr>
                <w:b/>
              </w:rPr>
            </w:pP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511EB6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413904" w:rsidRPr="00F04CCD" w:rsidRDefault="009F2DFA" w:rsidP="0041390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D3777">
        <w:trPr>
          <w:trHeight w:val="948"/>
        </w:trPr>
        <w:tc>
          <w:tcPr>
            <w:tcW w:w="9212" w:type="dxa"/>
            <w:tcBorders>
              <w:bottom w:val="single" w:sz="4" w:space="0" w:color="auto"/>
            </w:tcBorders>
          </w:tcPr>
          <w:p w:rsidR="00413904" w:rsidRPr="00C66C77" w:rsidRDefault="00AC430A" w:rsidP="001F2EB3">
            <w:pPr>
              <w:rPr>
                <w:b/>
              </w:rPr>
            </w:pPr>
            <w:r w:rsidRPr="00C66C77">
              <w:rPr>
                <w:b/>
              </w:rPr>
              <w:t>Návrhom zákona budú ovplyvnené:</w:t>
            </w:r>
          </w:p>
          <w:p w:rsidR="00D232A0" w:rsidRPr="00C66C77" w:rsidRDefault="00413904" w:rsidP="001F2EB3">
            <w:pPr>
              <w:pStyle w:val="Odsekzoznamu"/>
              <w:numPr>
                <w:ilvl w:val="0"/>
                <w:numId w:val="19"/>
              </w:numPr>
              <w:tabs>
                <w:tab w:val="left" w:pos="1230"/>
              </w:tabs>
              <w:spacing w:line="240" w:lineRule="auto"/>
              <w:ind w:left="171" w:hanging="2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podnikateľské subjekty, ktoré </w:t>
            </w:r>
            <w:r w:rsidR="00982734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sú v zmysle zákona </w:t>
            </w:r>
            <w:r w:rsidR="00D01973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982734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č. 289/2008 Z. z. v znení neskorších predpisov povinné evidovať prijaté tržby (v hotovosti alebo platobnými kartami alebo iným spôsobom nahrádzajúcim hotovosť) pri predaji tovaru alebo pri poskytovaní služieb taxatívne ustanovených v prílohe č. 1 k cit. zákonu v pokladnici e-kasa klient, t. j. on-line registračnej pokladnici alebo vo virtuálnej registračnej pokladnici. </w:t>
            </w:r>
          </w:p>
          <w:p w:rsidR="00AC430A" w:rsidRPr="00C66C77" w:rsidRDefault="00982734" w:rsidP="001F2EB3">
            <w:pPr>
              <w:pStyle w:val="Odsekzoznamu"/>
              <w:tabs>
                <w:tab w:val="left" w:pos="1230"/>
              </w:tabs>
              <w:spacing w:line="240" w:lineRule="auto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Ich celkový počet je </w:t>
            </w:r>
            <w:r w:rsidR="001F2EB3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cca </w:t>
            </w: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163 680, z toho je </w:t>
            </w:r>
            <w:r w:rsidR="001F2EB3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cca </w:t>
            </w: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78 511 podnikateľov, ktorí používajú on-line registračnú pokladnicu a</w:t>
            </w:r>
            <w:r w:rsidR="001F2EB3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 cca </w:t>
            </w: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85 169 podnikateľov, ktorí používajú virtuálnu registračnú pokladnicu.</w:t>
            </w:r>
            <w:r w:rsidR="00D232A0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9F10C7" w:rsidRPr="00C66C77" w:rsidRDefault="009F10C7" w:rsidP="001F2EB3">
            <w:pPr>
              <w:pStyle w:val="Odsekzoznamu"/>
              <w:numPr>
                <w:ilvl w:val="0"/>
                <w:numId w:val="19"/>
              </w:numPr>
              <w:tabs>
                <w:tab w:val="left" w:pos="1230"/>
              </w:tabs>
              <w:spacing w:line="240" w:lineRule="auto"/>
              <w:ind w:left="171" w:hanging="2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podnikateľské subjekty, ktoré vyrábajú, predávajú alebo distribuujú  pokladnice</w:t>
            </w:r>
            <w:r w:rsidR="00E71A64"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, ktorých je cca 35</w:t>
            </w:r>
            <w:r w:rsidRPr="00C66C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  <w:p w:rsidR="009F10C7" w:rsidRPr="00AC430A" w:rsidRDefault="00E71A64" w:rsidP="00EC65D7">
            <w:pPr>
              <w:tabs>
                <w:tab w:val="left" w:pos="1230"/>
              </w:tabs>
              <w:ind w:left="-47"/>
              <w:jc w:val="both"/>
              <w:rPr>
                <w:b/>
              </w:rPr>
            </w:pPr>
            <w:r w:rsidRPr="00C66C77">
              <w:rPr>
                <w:b/>
              </w:rPr>
              <w:t>Pokiaľ ide o podnikateľov, k</w:t>
            </w:r>
            <w:r w:rsidR="00982734" w:rsidRPr="00C66C77">
              <w:rPr>
                <w:b/>
              </w:rPr>
              <w:t>torí prijímajú tržby len v hotovosti, ich počet nie je možné vyčísliť.</w:t>
            </w:r>
            <w:bookmarkStart w:id="0" w:name="_GoBack"/>
            <w:bookmarkEnd w:id="0"/>
          </w:p>
          <w:p w:rsidR="004A2F4D" w:rsidRPr="00413904" w:rsidRDefault="00413904" w:rsidP="00413904">
            <w:pPr>
              <w:tabs>
                <w:tab w:val="left" w:pos="1230"/>
              </w:tabs>
            </w:pPr>
            <w:r>
              <w:tab/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15AF4" w:rsidRDefault="009F10C7" w:rsidP="0008491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Verejné konzultácie sa uskutočnili n</w:t>
            </w:r>
            <w:r w:rsidRPr="009F10C7">
              <w:rPr>
                <w:b/>
                <w:color w:val="000000"/>
              </w:rPr>
              <w:t>adväzne na Jednotnú metodiku posudzovania vybraných vplyvov</w:t>
            </w:r>
            <w:r>
              <w:rPr>
                <w:b/>
                <w:color w:val="000000"/>
              </w:rPr>
              <w:t xml:space="preserve"> v termíne </w:t>
            </w:r>
            <w:r w:rsidR="00D15AF4" w:rsidRPr="00D15AF4">
              <w:rPr>
                <w:b/>
                <w:color w:val="000000"/>
              </w:rPr>
              <w:t>od 2. 9. 2020 do 25. 9. 2020</w:t>
            </w:r>
            <w:r w:rsidR="00D15AF4">
              <w:rPr>
                <w:b/>
                <w:color w:val="000000"/>
              </w:rPr>
              <w:t>.</w:t>
            </w:r>
            <w:r w:rsidRPr="009F10C7">
              <w:rPr>
                <w:b/>
                <w:color w:val="000000"/>
              </w:rPr>
              <w:t xml:space="preserve"> </w:t>
            </w:r>
          </w:p>
          <w:p w:rsidR="009F10C7" w:rsidRDefault="009F10C7" w:rsidP="0008491F">
            <w:pPr>
              <w:jc w:val="both"/>
              <w:rPr>
                <w:b/>
                <w:color w:val="000000"/>
              </w:rPr>
            </w:pPr>
            <w:r w:rsidRPr="009F10C7">
              <w:rPr>
                <w:b/>
                <w:color w:val="000000"/>
              </w:rPr>
              <w:t xml:space="preserve"> </w:t>
            </w:r>
          </w:p>
          <w:p w:rsidR="0008491F" w:rsidRPr="00683947" w:rsidRDefault="009F10C7" w:rsidP="0008491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 konaní konzultácií boli informovaní</w:t>
            </w:r>
            <w:r w:rsidR="0008491F" w:rsidRPr="00683947">
              <w:rPr>
                <w:b/>
                <w:color w:val="000000"/>
              </w:rPr>
              <w:t>:</w:t>
            </w:r>
          </w:p>
          <w:p w:rsidR="00DE4E59" w:rsidRDefault="00DE4E59" w:rsidP="00D15AF4">
            <w:pPr>
              <w:ind w:left="66"/>
              <w:jc w:val="both"/>
            </w:pPr>
            <w:r>
              <w:t>Asociácia zamestnávateľských zväzov a združení SR</w:t>
            </w:r>
          </w:p>
          <w:p w:rsidR="00DE4E59" w:rsidRDefault="00DE4E59" w:rsidP="00D15AF4">
            <w:pPr>
              <w:ind w:left="66"/>
              <w:jc w:val="both"/>
            </w:pPr>
            <w:r>
              <w:t>Republiková únia zamestnávateľov</w:t>
            </w:r>
          </w:p>
          <w:p w:rsidR="00DE4E59" w:rsidRDefault="00DE4E59" w:rsidP="00D15AF4">
            <w:pPr>
              <w:ind w:left="66"/>
              <w:jc w:val="both"/>
            </w:pPr>
            <w:r>
              <w:t>Klub 500</w:t>
            </w:r>
          </w:p>
          <w:p w:rsidR="00DE4E59" w:rsidRDefault="00DE4E59" w:rsidP="00D15AF4">
            <w:pPr>
              <w:ind w:left="66"/>
              <w:jc w:val="both"/>
            </w:pPr>
            <w:r>
              <w:t xml:space="preserve">Združenie miest a obcí Slovenska            </w:t>
            </w:r>
          </w:p>
          <w:p w:rsidR="00DE4E59" w:rsidRDefault="00DE4E59" w:rsidP="00D15AF4">
            <w:pPr>
              <w:ind w:left="66"/>
              <w:jc w:val="both"/>
            </w:pPr>
            <w:r>
              <w:t>Podnikateľská aliancia Slovenska</w:t>
            </w:r>
          </w:p>
          <w:p w:rsidR="00DE4E59" w:rsidRDefault="00DE4E59" w:rsidP="00D15AF4">
            <w:pPr>
              <w:ind w:left="66"/>
              <w:jc w:val="both"/>
            </w:pPr>
            <w:r>
              <w:t>Združenie podnikateľov Slovenska</w:t>
            </w:r>
          </w:p>
          <w:p w:rsidR="00DE4E59" w:rsidRDefault="00DE4E59" w:rsidP="00D15AF4">
            <w:pPr>
              <w:ind w:left="66"/>
              <w:jc w:val="both"/>
            </w:pPr>
            <w:r>
              <w:t>Americká obchodná komora v SR</w:t>
            </w:r>
          </w:p>
          <w:p w:rsidR="00DE4E59" w:rsidRDefault="00DE4E59" w:rsidP="00D15AF4">
            <w:pPr>
              <w:ind w:left="66"/>
              <w:jc w:val="both"/>
            </w:pPr>
            <w:r>
              <w:t>Slovenská komora daňových poradcov</w:t>
            </w:r>
          </w:p>
          <w:p w:rsidR="00DE4E59" w:rsidRDefault="00DE4E59" w:rsidP="00D15AF4">
            <w:pPr>
              <w:ind w:left="66"/>
              <w:jc w:val="both"/>
            </w:pPr>
            <w:r>
              <w:t>Národná banka Slovenska</w:t>
            </w:r>
          </w:p>
          <w:p w:rsidR="00DE4E59" w:rsidRDefault="00DE4E59" w:rsidP="00D15AF4">
            <w:pPr>
              <w:ind w:left="66"/>
              <w:jc w:val="both"/>
            </w:pPr>
            <w:r>
              <w:t>J</w:t>
            </w:r>
            <w:r w:rsidR="001879BE">
              <w:t xml:space="preserve">ednota dôchodcov Slovenska </w:t>
            </w:r>
          </w:p>
          <w:p w:rsidR="00D15AF4" w:rsidRDefault="00D15AF4" w:rsidP="00DE4E59">
            <w:pPr>
              <w:jc w:val="both"/>
              <w:rPr>
                <w:b/>
              </w:rPr>
            </w:pPr>
          </w:p>
          <w:p w:rsidR="00413904" w:rsidRPr="00413904" w:rsidRDefault="00413904" w:rsidP="00DE4E59">
            <w:pPr>
              <w:jc w:val="both"/>
              <w:rPr>
                <w:b/>
              </w:rPr>
            </w:pPr>
            <w:r w:rsidRPr="00413904">
              <w:rPr>
                <w:b/>
              </w:rPr>
              <w:t>O konzultácie prejavili záujem</w:t>
            </w:r>
            <w:r>
              <w:rPr>
                <w:b/>
              </w:rPr>
              <w:t xml:space="preserve"> a </w:t>
            </w:r>
            <w:r w:rsidR="00D15AF4">
              <w:rPr>
                <w:b/>
              </w:rPr>
              <w:t>dňa 10. 09. 2020 sa na MF SR konzultácií zúčastnili</w:t>
            </w:r>
            <w:r w:rsidRPr="00413904">
              <w:rPr>
                <w:b/>
              </w:rPr>
              <w:t xml:space="preserve">: </w:t>
            </w:r>
          </w:p>
          <w:p w:rsidR="00413904" w:rsidRDefault="00413904" w:rsidP="00413904">
            <w:pPr>
              <w:jc w:val="both"/>
            </w:pPr>
            <w:r>
              <w:t>Národná banka Slovenska (NBS)</w:t>
            </w:r>
          </w:p>
          <w:p w:rsidR="00413904" w:rsidRDefault="00413904" w:rsidP="00413904">
            <w:pPr>
              <w:jc w:val="both"/>
            </w:pPr>
            <w:r>
              <w:t>Jednota dôchodcov Slovenska (JDS)</w:t>
            </w:r>
          </w:p>
          <w:p w:rsidR="00413904" w:rsidRDefault="00413904" w:rsidP="00413904">
            <w:pPr>
              <w:jc w:val="both"/>
            </w:pPr>
            <w:r>
              <w:t>Slovenská aliancia moderného obchodu (SAMO)</w:t>
            </w:r>
          </w:p>
          <w:p w:rsidR="00E46E51" w:rsidRDefault="00413904" w:rsidP="00413904">
            <w:pPr>
              <w:jc w:val="both"/>
            </w:pPr>
            <w:r>
              <w:t>Zväz obchodu SR (ZO)</w:t>
            </w:r>
          </w:p>
          <w:p w:rsidR="00413904" w:rsidRPr="00445A09" w:rsidRDefault="00413904" w:rsidP="00E46E51">
            <w:pPr>
              <w:jc w:val="both"/>
            </w:pPr>
          </w:p>
          <w:p w:rsidR="00D15AF4" w:rsidRPr="00D15AF4" w:rsidRDefault="00D15AF4" w:rsidP="00D15AF4">
            <w:pPr>
              <w:jc w:val="both"/>
              <w:rPr>
                <w:b/>
              </w:rPr>
            </w:pPr>
            <w:r w:rsidRPr="00D15AF4">
              <w:rPr>
                <w:b/>
              </w:rPr>
              <w:t>Dôvody potreby zavedenia zaokrúhľovania predstavené NBS:</w:t>
            </w:r>
          </w:p>
          <w:p w:rsidR="00D15AF4" w:rsidRDefault="00D15AF4" w:rsidP="00D15AF4">
            <w:pPr>
              <w:tabs>
                <w:tab w:val="left" w:pos="142"/>
              </w:tabs>
              <w:jc w:val="both"/>
            </w:pPr>
            <w:r>
              <w:t>-</w:t>
            </w:r>
            <w:r>
              <w:tab/>
              <w:t xml:space="preserve">1 a 2 centové mince už neplnia svoju úlohu pre absenciu ich návratnosti od verejnosti späť do peňažného obehu </w:t>
            </w:r>
          </w:p>
          <w:p w:rsidR="00D15AF4" w:rsidRDefault="00D15AF4" w:rsidP="00D15AF4">
            <w:pPr>
              <w:tabs>
                <w:tab w:val="left" w:pos="142"/>
              </w:tabs>
              <w:jc w:val="both"/>
            </w:pPr>
            <w:r>
              <w:t>-</w:t>
            </w:r>
            <w:r>
              <w:tab/>
              <w:t xml:space="preserve">poplatky bánk pre podnikateľov a verejnosť za vloženie resp. spracovanie 1 a 2 centových mincí </w:t>
            </w:r>
          </w:p>
          <w:p w:rsidR="00D15AF4" w:rsidRDefault="00D15AF4" w:rsidP="00D15AF4">
            <w:pPr>
              <w:tabs>
                <w:tab w:val="left" w:pos="142"/>
              </w:tabs>
              <w:jc w:val="both"/>
            </w:pPr>
            <w:r>
              <w:lastRenderedPageBreak/>
              <w:t>-</w:t>
            </w:r>
            <w:r>
              <w:tab/>
              <w:t xml:space="preserve">náklady pri manipulácii a ich spracovaní </w:t>
            </w:r>
          </w:p>
          <w:p w:rsidR="00D15AF4" w:rsidRDefault="00D15AF4" w:rsidP="00D15AF4">
            <w:pPr>
              <w:tabs>
                <w:tab w:val="left" w:pos="142"/>
              </w:tabs>
              <w:jc w:val="both"/>
            </w:pPr>
            <w:r>
              <w:t>-</w:t>
            </w:r>
            <w:r>
              <w:tab/>
            </w:r>
            <w:proofErr w:type="spellStart"/>
            <w:r>
              <w:t>nepopularita</w:t>
            </w:r>
            <w:proofErr w:type="spellEnd"/>
            <w:r>
              <w:t xml:space="preserve"> medzi verejnosťou </w:t>
            </w:r>
          </w:p>
          <w:p w:rsidR="00D15AF4" w:rsidRDefault="00D15AF4" w:rsidP="00D15AF4">
            <w:pPr>
              <w:tabs>
                <w:tab w:val="left" w:pos="142"/>
              </w:tabs>
              <w:jc w:val="both"/>
            </w:pPr>
            <w:r>
              <w:t>-</w:t>
            </w:r>
            <w:r>
              <w:tab/>
              <w:t xml:space="preserve">pozitívny efekt na životné prostredie znižovaním použitia obalového materiálu a znižovaním počtu prepráv. </w:t>
            </w:r>
          </w:p>
          <w:p w:rsidR="00D15AF4" w:rsidRDefault="00D15AF4" w:rsidP="00D15AF4">
            <w:pPr>
              <w:jc w:val="both"/>
            </w:pPr>
          </w:p>
          <w:p w:rsidR="00D15AF4" w:rsidRPr="00D15AF4" w:rsidRDefault="00D15AF4" w:rsidP="00D15AF4">
            <w:pPr>
              <w:jc w:val="both"/>
              <w:rPr>
                <w:b/>
              </w:rPr>
            </w:pPr>
            <w:r>
              <w:rPr>
                <w:b/>
              </w:rPr>
              <w:t>Hlavné</w:t>
            </w:r>
            <w:r w:rsidRPr="00D15AF4">
              <w:rPr>
                <w:b/>
              </w:rPr>
              <w:t xml:space="preserve"> konzultované otázky:</w:t>
            </w:r>
          </w:p>
          <w:p w:rsidR="00D15AF4" w:rsidRDefault="00D15AF4" w:rsidP="00D15AF4">
            <w:pPr>
              <w:jc w:val="both"/>
            </w:pPr>
          </w:p>
          <w:p w:rsidR="00D15AF4" w:rsidRDefault="00D15AF4" w:rsidP="00D15AF4">
            <w:pPr>
              <w:tabs>
                <w:tab w:val="left" w:pos="284"/>
              </w:tabs>
              <w:jc w:val="both"/>
            </w:pPr>
            <w:r>
              <w:t>1.</w:t>
            </w:r>
            <w:r>
              <w:tab/>
              <w:t xml:space="preserve">rozhodnutie, či budú zaokrúhľované len hotovostné alebo aj bezhotovostné platby,  </w:t>
            </w:r>
          </w:p>
          <w:p w:rsidR="00D15AF4" w:rsidRDefault="00D15AF4" w:rsidP="00D15AF4">
            <w:pPr>
              <w:tabs>
                <w:tab w:val="left" w:pos="284"/>
              </w:tabs>
              <w:jc w:val="both"/>
            </w:pPr>
            <w:r>
              <w:t>2.</w:t>
            </w:r>
            <w:r>
              <w:tab/>
              <w:t xml:space="preserve">spôsob zaokrúhľovania (matematicky na najbližších 5 centov alebo nadol v prospech zákazníka), </w:t>
            </w:r>
          </w:p>
          <w:p w:rsidR="00D15AF4" w:rsidRDefault="00C13578" w:rsidP="00D15AF4">
            <w:pPr>
              <w:tabs>
                <w:tab w:val="left" w:pos="284"/>
              </w:tabs>
              <w:jc w:val="both"/>
            </w:pPr>
            <w:r>
              <w:t>3</w:t>
            </w:r>
            <w:r w:rsidR="00D15AF4">
              <w:t>.</w:t>
            </w:r>
            <w:r w:rsidR="00D15AF4">
              <w:tab/>
              <w:t>riziká zavedenia zaokrúhľovania:</w:t>
            </w:r>
          </w:p>
          <w:p w:rsidR="00D15AF4" w:rsidRDefault="00D15AF4" w:rsidP="00D15AF4">
            <w:pPr>
              <w:tabs>
                <w:tab w:val="left" w:pos="284"/>
                <w:tab w:val="left" w:pos="495"/>
              </w:tabs>
              <w:ind w:left="284"/>
              <w:jc w:val="both"/>
            </w:pPr>
            <w:r>
              <w:t>a)</w:t>
            </w:r>
            <w:r>
              <w:tab/>
              <w:t>predraženie nákupov tých skupín obyvateľstva, ktorí nakupujú  častejšie v malých množstvách</w:t>
            </w:r>
          </w:p>
          <w:p w:rsidR="00D15AF4" w:rsidRDefault="00D15AF4" w:rsidP="00D15AF4">
            <w:pPr>
              <w:tabs>
                <w:tab w:val="left" w:pos="284"/>
                <w:tab w:val="left" w:pos="495"/>
              </w:tabs>
              <w:ind w:left="284"/>
              <w:jc w:val="both"/>
            </w:pPr>
            <w:r>
              <w:t>b)</w:t>
            </w:r>
            <w:r>
              <w:tab/>
              <w:t>zdražovanie cien v dôsledku zaokrúhľovania</w:t>
            </w:r>
          </w:p>
          <w:p w:rsidR="00D15AF4" w:rsidRDefault="00D15AF4" w:rsidP="00D15AF4">
            <w:pPr>
              <w:tabs>
                <w:tab w:val="left" w:pos="284"/>
                <w:tab w:val="left" w:pos="495"/>
              </w:tabs>
              <w:ind w:left="284"/>
              <w:jc w:val="both"/>
            </w:pPr>
            <w:r>
              <w:t>c)</w:t>
            </w:r>
            <w:r>
              <w:tab/>
              <w:t>náklady podnikateľov pri softvérových zmenách, dostatočný časový priestor na zavedenie zmien</w:t>
            </w:r>
          </w:p>
          <w:p w:rsidR="00D15AF4" w:rsidRDefault="00D15AF4" w:rsidP="00D15AF4">
            <w:pPr>
              <w:jc w:val="both"/>
            </w:pPr>
          </w:p>
          <w:p w:rsidR="00D15AF4" w:rsidRPr="00D15AF4" w:rsidRDefault="00D15AF4" w:rsidP="00D15AF4">
            <w:pPr>
              <w:jc w:val="both"/>
              <w:rPr>
                <w:b/>
              </w:rPr>
            </w:pPr>
            <w:r w:rsidRPr="00D15AF4">
              <w:rPr>
                <w:b/>
              </w:rPr>
              <w:t>Prijaté závery</w:t>
            </w:r>
            <w:r>
              <w:rPr>
                <w:b/>
              </w:rPr>
              <w:t xml:space="preserve"> k hlavným konzultovaným otázkam</w:t>
            </w:r>
            <w:r w:rsidRPr="00D15AF4">
              <w:rPr>
                <w:b/>
              </w:rPr>
              <w:t>:</w:t>
            </w:r>
          </w:p>
          <w:p w:rsidR="00D15AF4" w:rsidRDefault="00D15AF4" w:rsidP="00D15AF4">
            <w:pPr>
              <w:tabs>
                <w:tab w:val="left" w:pos="284"/>
              </w:tabs>
              <w:ind w:left="284" w:hanging="284"/>
              <w:jc w:val="both"/>
            </w:pPr>
            <w:r>
              <w:t>1.</w:t>
            </w:r>
            <w:r>
              <w:tab/>
              <w:t>Zaokrúhľovanie len hotovostných platieb, nakoľko cieľom navrhovanej zmeny je obmedzenie obehu mincí, ktoré súvisia s hotovosťou.</w:t>
            </w:r>
          </w:p>
          <w:p w:rsidR="00D15AF4" w:rsidRDefault="00D15AF4" w:rsidP="00D15AF4">
            <w:pPr>
              <w:tabs>
                <w:tab w:val="left" w:pos="284"/>
              </w:tabs>
              <w:ind w:left="284" w:hanging="284"/>
              <w:jc w:val="both"/>
            </w:pPr>
            <w:r>
              <w:t>2.</w:t>
            </w:r>
            <w:r>
              <w:tab/>
              <w:t xml:space="preserve">Matematický spôsob zaokrúhľovania, nakoľko matematický spôsob je neutrálny, spravodlivý pre obe strany, obchodníka </w:t>
            </w:r>
            <w:r w:rsidR="00AC430A">
              <w:t xml:space="preserve">aj kupujúceho. Pri platbe do </w:t>
            </w:r>
            <w:r>
              <w:t>5</w:t>
            </w:r>
            <w:r w:rsidR="00AC430A">
              <w:t xml:space="preserve"> centov bude zaokrúhlenie na </w:t>
            </w:r>
            <w:r>
              <w:t>5 centov.</w:t>
            </w:r>
          </w:p>
          <w:p w:rsidR="00D15AF4" w:rsidRDefault="00C13578" w:rsidP="00D15AF4">
            <w:pPr>
              <w:tabs>
                <w:tab w:val="left" w:pos="284"/>
              </w:tabs>
              <w:ind w:left="284" w:hanging="284"/>
              <w:jc w:val="both"/>
            </w:pPr>
            <w:r>
              <w:t>3</w:t>
            </w:r>
            <w:r w:rsidR="00D15AF4">
              <w:t>.</w:t>
            </w:r>
            <w:r w:rsidR="00D15AF4">
              <w:tab/>
              <w:t>Riziká zavedenia zaokrúhľovania:</w:t>
            </w:r>
          </w:p>
          <w:p w:rsidR="00D15AF4" w:rsidRDefault="00D15AF4" w:rsidP="00D15AF4">
            <w:pPr>
              <w:tabs>
                <w:tab w:val="left" w:pos="0"/>
              </w:tabs>
              <w:ind w:left="567" w:hanging="283"/>
              <w:jc w:val="both"/>
            </w:pPr>
            <w:r>
              <w:t>a)</w:t>
            </w:r>
            <w:r>
              <w:tab/>
              <w:t>ekonomický dopad matematického zaokrúhľovania bude neutrálny, štatisticky sa pri matematickom zaokrúhľovaní pomer straty a výhody v určitom časovom období a pri rôznorodosti nákupov vyrovná (vychádzajúc zo skúseností pri zrušení 10 a 20 halierových mincí slovenskej meny v roku 2004).</w:t>
            </w:r>
          </w:p>
          <w:p w:rsidR="00D15AF4" w:rsidRDefault="00D15AF4" w:rsidP="00D15AF4">
            <w:pPr>
              <w:tabs>
                <w:tab w:val="left" w:pos="0"/>
              </w:tabs>
              <w:ind w:left="567" w:hanging="283"/>
              <w:jc w:val="both"/>
            </w:pPr>
            <w:r>
              <w:t>b)</w:t>
            </w:r>
            <w:r>
              <w:tab/>
              <w:t xml:space="preserve">NBS ani SAMO nemajú obavu zo zvyšovania cien, NBS navrhla SAMO aktívne komunikovať svoj záväzok nezvyšovať ceny v dôsledku zaokrúhľovania (SAMO nemala námietku ak PMÚ vydá súhlasné stanovisko s takouto úpravou). </w:t>
            </w:r>
          </w:p>
          <w:p w:rsidR="00D15AF4" w:rsidRDefault="00D15AF4" w:rsidP="00D15AF4">
            <w:pPr>
              <w:tabs>
                <w:tab w:val="left" w:pos="0"/>
              </w:tabs>
              <w:ind w:left="567" w:hanging="283"/>
              <w:jc w:val="both"/>
            </w:pPr>
            <w:r>
              <w:t>c)</w:t>
            </w:r>
            <w:r>
              <w:tab/>
              <w:t>podnikateľom vzniknú náklady s úpravou softvéru, ktoré po konzultácii s niektorými výrobcami pokladníc boli vyčíslené približne na 30 - 60 Eur. Otáznou je aj potreba certifikácie takýchto softvérových zmien. Je potrebné zvoliť účinnosť legislatívnej úpravy tak, aby podnikateľom vznikol dostatočný čas na úpravu softvéru s cieľom minimalizovania nákladov.</w:t>
            </w:r>
          </w:p>
          <w:p w:rsidR="00E46E51" w:rsidRPr="0008491F" w:rsidRDefault="00C13578" w:rsidP="00C13578">
            <w:p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i/>
              </w:rPr>
            </w:pPr>
            <w:r>
              <w:t>4</w:t>
            </w:r>
            <w:r w:rsidR="00D15AF4">
              <w:t>.</w:t>
            </w:r>
            <w:r w:rsidR="00D15AF4">
              <w:tab/>
              <w:t xml:space="preserve">Termín predloženia do vlády: 1. prvý polrok 2021, účinnosť zákona: predbežne 1. január 2022 a bude zohľadňovať požiadavky obchodníkov na rozpočtovanie </w:t>
            </w:r>
            <w:r w:rsidR="00D01973">
              <w:t xml:space="preserve">a </w:t>
            </w:r>
            <w:r w:rsidR="00D15AF4">
              <w:t>úprav</w:t>
            </w:r>
            <w:r w:rsidR="00D01973">
              <w:t>y</w:t>
            </w:r>
            <w:r w:rsidR="00D15AF4">
              <w:t xml:space="preserve"> registračných pokladníc.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zvýšeniu/zníženiu priamych finančných nákladov (poplatky, odvody, dane clá...)? Ak án</w:t>
            </w:r>
            <w:r w:rsidR="00D01973">
              <w:rPr>
                <w:i/>
              </w:rPr>
              <w:t>o, popíšte a </w:t>
            </w:r>
            <w:r w:rsidRPr="00F04CCD">
              <w:rPr>
                <w:i/>
              </w:rPr>
              <w:t xml:space="preserve">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614C87" w:rsidRPr="00D01973" w:rsidRDefault="00CA530C" w:rsidP="007B71A4">
            <w:pPr>
              <w:rPr>
                <w:b/>
              </w:rPr>
            </w:pPr>
            <w:r w:rsidRPr="00D01973">
              <w:rPr>
                <w:b/>
              </w:rPr>
              <w:t>Návrhom nedochádza k zvýšeniu priamych finančných nákladov.</w:t>
            </w:r>
          </w:p>
          <w:p w:rsidR="00614C87" w:rsidRDefault="00614C87" w:rsidP="007B71A4">
            <w:pPr>
              <w:rPr>
                <w:b/>
              </w:rPr>
            </w:pPr>
          </w:p>
          <w:p w:rsidR="009F2DFA" w:rsidRPr="00F04CCD" w:rsidRDefault="009F2DFA" w:rsidP="00AE7BBF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86C2B" w:rsidRDefault="002B1108" w:rsidP="007B71A4">
            <w:pPr>
              <w:rPr>
                <w:b/>
                <w:i/>
              </w:rPr>
            </w:pPr>
            <w:r w:rsidRPr="00B86C2B">
              <w:rPr>
                <w:b/>
                <w:i/>
              </w:rPr>
              <w:t>3</w:t>
            </w:r>
            <w:r w:rsidR="009F2DFA" w:rsidRPr="00B86C2B">
              <w:rPr>
                <w:b/>
                <w:i/>
              </w:rPr>
              <w:t>.3.2 Nepriame finančné náklady</w:t>
            </w:r>
          </w:p>
          <w:p w:rsidR="009F2DFA" w:rsidRPr="00B86C2B" w:rsidRDefault="009F2DFA" w:rsidP="00B31A8E">
            <w:pPr>
              <w:rPr>
                <w:i/>
              </w:rPr>
            </w:pPr>
            <w:r w:rsidRPr="00B86C2B">
              <w:rPr>
                <w:i/>
              </w:rPr>
              <w:t xml:space="preserve">Vyžaduje si predkladaný návrh dodatočné náklady na nákup tovarov alebo služieb? </w:t>
            </w:r>
            <w:r w:rsidR="00B31A8E" w:rsidRPr="00B86C2B">
              <w:rPr>
                <w:i/>
              </w:rPr>
              <w:t xml:space="preserve">Zvyšuje predkladaný návrh náklady súvisiace so zamestnávaním? </w:t>
            </w:r>
            <w:r w:rsidRPr="00B86C2B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D232A0" w:rsidRDefault="00D232A0" w:rsidP="00D232A0">
            <w:pPr>
              <w:tabs>
                <w:tab w:val="left" w:pos="1230"/>
              </w:tabs>
              <w:jc w:val="both"/>
              <w:rPr>
                <w:b/>
              </w:rPr>
            </w:pPr>
          </w:p>
          <w:p w:rsidR="00D232A0" w:rsidRPr="00EC5845" w:rsidRDefault="00D232A0" w:rsidP="00D232A0">
            <w:pPr>
              <w:tabs>
                <w:tab w:val="left" w:pos="1230"/>
              </w:tabs>
              <w:jc w:val="both"/>
              <w:rPr>
                <w:b/>
              </w:rPr>
            </w:pPr>
            <w:r w:rsidRPr="00EC5845">
              <w:rPr>
                <w:b/>
              </w:rPr>
              <w:t>Predkladaný návrh si vyžaduje náklady na úpravu softvéru on-line registračných pokladníc a virtuálnych registračných pokladníc.</w:t>
            </w:r>
          </w:p>
          <w:p w:rsidR="00D232A0" w:rsidRPr="00EC5845" w:rsidRDefault="00D232A0" w:rsidP="00D232A0">
            <w:pPr>
              <w:tabs>
                <w:tab w:val="left" w:pos="1230"/>
              </w:tabs>
              <w:jc w:val="both"/>
              <w:rPr>
                <w:b/>
              </w:rPr>
            </w:pPr>
          </w:p>
          <w:p w:rsidR="00D232A0" w:rsidRPr="00EC5845" w:rsidRDefault="00D232A0" w:rsidP="00D232A0">
            <w:pPr>
              <w:tabs>
                <w:tab w:val="left" w:pos="1230"/>
              </w:tabs>
              <w:jc w:val="both"/>
              <w:rPr>
                <w:b/>
              </w:rPr>
            </w:pPr>
            <w:r w:rsidRPr="00EC5845">
              <w:rPr>
                <w:b/>
              </w:rPr>
              <w:t xml:space="preserve">Pri on-line registračných pokladniciach sa náklady dotýkajú cca </w:t>
            </w:r>
            <w:r w:rsidR="00C23AB8" w:rsidRPr="00EC5845">
              <w:rPr>
                <w:b/>
              </w:rPr>
              <w:t>78 511 podnikateľov, ktorí používajú cca 143 280 týchto pokladníc. Predpokladané náklady na úpravu jednej pokladnice sú cca od 30 – 60 eur. Uvedená suma sa však môže líšiť v závislosti od druhu pokladnice a rozsahu požadovanej úpravy. Presné vyčíslenie nie je možné.</w:t>
            </w:r>
          </w:p>
          <w:p w:rsidR="00C23AB8" w:rsidRPr="00EC5845" w:rsidRDefault="00C23AB8" w:rsidP="00D232A0">
            <w:pPr>
              <w:tabs>
                <w:tab w:val="left" w:pos="1230"/>
              </w:tabs>
              <w:jc w:val="both"/>
              <w:rPr>
                <w:b/>
              </w:rPr>
            </w:pPr>
          </w:p>
          <w:p w:rsidR="00C23AB8" w:rsidRPr="00EC5845" w:rsidRDefault="00C23AB8" w:rsidP="00D232A0">
            <w:pPr>
              <w:tabs>
                <w:tab w:val="left" w:pos="1230"/>
              </w:tabs>
              <w:jc w:val="both"/>
              <w:rPr>
                <w:b/>
              </w:rPr>
            </w:pPr>
            <w:r w:rsidRPr="00EC5845">
              <w:rPr>
                <w:b/>
              </w:rPr>
              <w:t xml:space="preserve">Pokiaľ ide o virtuálnu registračnú pokladnicu, tak náklady na jej úpravu predstavujú cca 105 300 eur, ktoré sa však týkajú FR SR, pretože virtuálna registračná pokladnica je </w:t>
            </w:r>
            <w:r w:rsidR="00F822DF" w:rsidRPr="00EC5845">
              <w:rPr>
                <w:b/>
              </w:rPr>
              <w:t xml:space="preserve">služba </w:t>
            </w:r>
            <w:r w:rsidRPr="00EC5845">
              <w:rPr>
                <w:b/>
              </w:rPr>
              <w:t>zriadená FR SR</w:t>
            </w:r>
            <w:r w:rsidR="001F2EB3" w:rsidRPr="00EC5845">
              <w:rPr>
                <w:b/>
              </w:rPr>
              <w:t xml:space="preserve"> a podnikateľom je poskytovaná bezodplatne</w:t>
            </w:r>
            <w:r w:rsidRPr="00EC5845">
              <w:rPr>
                <w:b/>
              </w:rPr>
              <w:t xml:space="preserve">. </w:t>
            </w:r>
          </w:p>
          <w:p w:rsidR="00D232A0" w:rsidRPr="00EC5845" w:rsidRDefault="00D232A0" w:rsidP="00D232A0">
            <w:pPr>
              <w:tabs>
                <w:tab w:val="left" w:pos="1230"/>
              </w:tabs>
              <w:jc w:val="both"/>
              <w:rPr>
                <w:b/>
              </w:rPr>
            </w:pPr>
          </w:p>
          <w:p w:rsidR="004A2F4D" w:rsidRDefault="00C23AB8" w:rsidP="00994B5F">
            <w:pPr>
              <w:rPr>
                <w:b/>
              </w:rPr>
            </w:pPr>
            <w:r w:rsidRPr="00EC5845">
              <w:rPr>
                <w:b/>
              </w:rPr>
              <w:t>Pred</w:t>
            </w:r>
            <w:r w:rsidR="00D01973" w:rsidRPr="00EC5845">
              <w:rPr>
                <w:b/>
              </w:rPr>
              <w:t xml:space="preserve">kladaný návrh </w:t>
            </w:r>
            <w:r w:rsidR="000E2CC9" w:rsidRPr="00EC5845">
              <w:rPr>
                <w:b/>
              </w:rPr>
              <w:t>nezvyšuje náklady súvisiace so zamestnávaním.</w:t>
            </w:r>
          </w:p>
          <w:p w:rsidR="00994B5F" w:rsidRPr="00B86C2B" w:rsidRDefault="00994B5F" w:rsidP="00994B5F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86C2B" w:rsidRDefault="002B1108" w:rsidP="007B71A4">
            <w:pPr>
              <w:rPr>
                <w:b/>
                <w:i/>
              </w:rPr>
            </w:pPr>
            <w:r w:rsidRPr="00B86C2B">
              <w:rPr>
                <w:b/>
                <w:i/>
              </w:rPr>
              <w:t>3</w:t>
            </w:r>
            <w:r w:rsidR="009F2DFA" w:rsidRPr="00B86C2B">
              <w:rPr>
                <w:b/>
                <w:i/>
              </w:rPr>
              <w:t>.3.3 Administratívne náklady</w:t>
            </w:r>
          </w:p>
          <w:p w:rsidR="009F2DFA" w:rsidRPr="00B86C2B" w:rsidRDefault="009F2DFA" w:rsidP="007B71A4">
            <w:pPr>
              <w:rPr>
                <w:i/>
              </w:rPr>
            </w:pPr>
            <w:r w:rsidRPr="00B86C2B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86C2B" w:rsidRDefault="00D01973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Návrh nemá vplyv na uvedené.</w:t>
            </w:r>
          </w:p>
          <w:p w:rsidR="009F2DFA" w:rsidRPr="00B86C2B" w:rsidRDefault="009F2DFA" w:rsidP="0043264E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683C95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</w:t>
            </w:r>
            <w:r w:rsidR="009F2DFA" w:rsidRPr="00683C95">
              <w:rPr>
                <w:b/>
                <w:i/>
              </w:rPr>
              <w:t>3.4 Súhrnná tabuľka nákladov regulácie</w:t>
            </w:r>
          </w:p>
          <w:p w:rsidR="009F2DFA" w:rsidRPr="00683C95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683C95" w:rsidTr="007B71A4">
              <w:tc>
                <w:tcPr>
                  <w:tcW w:w="2993" w:type="dxa"/>
                </w:tcPr>
                <w:p w:rsidR="009F2DFA" w:rsidRPr="00683C95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683C95" w:rsidRDefault="009F2DFA" w:rsidP="007B71A4">
                  <w:pPr>
                    <w:jc w:val="center"/>
                    <w:rPr>
                      <w:i/>
                    </w:rPr>
                  </w:pPr>
                  <w:r w:rsidRPr="00683C95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683C95" w:rsidRDefault="009F2DFA" w:rsidP="007B71A4">
                  <w:pPr>
                    <w:jc w:val="center"/>
                    <w:rPr>
                      <w:i/>
                    </w:rPr>
                  </w:pPr>
                  <w:r w:rsidRPr="00683C95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683C95" w:rsidTr="007B71A4">
              <w:tc>
                <w:tcPr>
                  <w:tcW w:w="2993" w:type="dxa"/>
                </w:tcPr>
                <w:p w:rsidR="009F2DFA" w:rsidRPr="00683C95" w:rsidRDefault="009F2DFA" w:rsidP="007B71A4">
                  <w:pPr>
                    <w:rPr>
                      <w:i/>
                    </w:rPr>
                  </w:pPr>
                  <w:r w:rsidRPr="00683C95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>0</w:t>
                  </w:r>
                </w:p>
              </w:tc>
            </w:tr>
            <w:tr w:rsidR="009F2DFA" w:rsidRPr="00683C95" w:rsidTr="007B71A4">
              <w:tc>
                <w:tcPr>
                  <w:tcW w:w="2993" w:type="dxa"/>
                </w:tcPr>
                <w:p w:rsidR="009F2DFA" w:rsidRPr="00683C95" w:rsidRDefault="009F2DFA" w:rsidP="007B71A4">
                  <w:pPr>
                    <w:rPr>
                      <w:i/>
                    </w:rPr>
                  </w:pPr>
                  <w:r w:rsidRPr="00683C95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319FB" w:rsidP="00F822DF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 xml:space="preserve">od </w:t>
                  </w:r>
                  <w:r w:rsidR="00F822DF" w:rsidRPr="00EC5845">
                    <w:rPr>
                      <w:i/>
                    </w:rPr>
                    <w:t>4 298 400</w:t>
                  </w:r>
                  <w:r w:rsidRPr="00EC5845">
                    <w:rPr>
                      <w:i/>
                    </w:rPr>
                    <w:t xml:space="preserve"> € do </w:t>
                  </w:r>
                  <w:r w:rsidR="00F822DF" w:rsidRPr="00EC5845">
                    <w:rPr>
                      <w:i/>
                    </w:rPr>
                    <w:t>8 596 800</w:t>
                  </w:r>
                  <w:r w:rsidRPr="00EC5845">
                    <w:rPr>
                      <w:i/>
                    </w:rPr>
                    <w:t xml:space="preserve"> €.</w:t>
                  </w:r>
                </w:p>
              </w:tc>
            </w:tr>
            <w:tr w:rsidR="009F2DFA" w:rsidRPr="00683C95" w:rsidTr="007B71A4">
              <w:tc>
                <w:tcPr>
                  <w:tcW w:w="2993" w:type="dxa"/>
                </w:tcPr>
                <w:p w:rsidR="009F2DFA" w:rsidRPr="00683C95" w:rsidRDefault="009F2DFA" w:rsidP="007B71A4">
                  <w:pPr>
                    <w:rPr>
                      <w:i/>
                    </w:rPr>
                  </w:pPr>
                  <w:r w:rsidRPr="00683C95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i/>
                    </w:rPr>
                  </w:pPr>
                  <w:r w:rsidRPr="00EC5845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683C95" w:rsidRDefault="009F2DFA" w:rsidP="007B71A4">
                  <w:pPr>
                    <w:rPr>
                      <w:b/>
                      <w:i/>
                    </w:rPr>
                  </w:pPr>
                  <w:r w:rsidRPr="00683C95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EC5845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EC5845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EC5845" w:rsidRDefault="00F822DF" w:rsidP="007B71A4">
                  <w:pPr>
                    <w:jc w:val="center"/>
                    <w:rPr>
                      <w:b/>
                      <w:i/>
                    </w:rPr>
                  </w:pPr>
                  <w:r w:rsidRPr="00EC5845">
                    <w:rPr>
                      <w:i/>
                    </w:rPr>
                    <w:t>od 4 298 400 € do 8 596 800 €.</w:t>
                  </w:r>
                </w:p>
              </w:tc>
            </w:tr>
          </w:tbl>
          <w:p w:rsidR="009F2DFA" w:rsidRDefault="009F2DFA" w:rsidP="007B71A4">
            <w:pPr>
              <w:rPr>
                <w:i/>
              </w:rPr>
            </w:pPr>
          </w:p>
          <w:p w:rsidR="009319FB" w:rsidRPr="00994B5F" w:rsidRDefault="009319FB" w:rsidP="001F2EB3">
            <w:pPr>
              <w:rPr>
                <w:b/>
              </w:rPr>
            </w:pPr>
            <w:r w:rsidRPr="00994B5F">
              <w:rPr>
                <w:b/>
              </w:rPr>
              <w:t>S prihliadnutím na to, že podnikateľ nemusí vlastniť len jednu on-line registračnú pokladnicu, ale aj viac, náklady na jedného podnikateľa nie je možné vyčísliť, pretože nie je vopred známe koľko on-line registračných pokladníc si dá podnikateľ reálne upraviť. Z uvedeného vyplýva, že neplatí úmera jeden podnikateľ jedna pokladnica.</w:t>
            </w:r>
          </w:p>
          <w:p w:rsidR="009319FB" w:rsidRPr="00994B5F" w:rsidRDefault="009319FB" w:rsidP="001F2EB3">
            <w:pPr>
              <w:rPr>
                <w:b/>
              </w:rPr>
            </w:pPr>
          </w:p>
          <w:p w:rsidR="009319FB" w:rsidRPr="00F04CCD" w:rsidRDefault="009319FB" w:rsidP="001F2EB3">
            <w:pPr>
              <w:rPr>
                <w:i/>
              </w:rPr>
            </w:pPr>
            <w:r w:rsidRPr="00994B5F">
              <w:rPr>
                <w:b/>
              </w:rPr>
              <w:t xml:space="preserve">Pri celkovom počte on-line registračných pokladníc </w:t>
            </w:r>
            <w:r w:rsidR="00F822DF" w:rsidRPr="00994B5F">
              <w:rPr>
                <w:b/>
              </w:rPr>
              <w:t>143 280</w:t>
            </w:r>
            <w:r w:rsidRPr="00994B5F">
              <w:rPr>
                <w:b/>
              </w:rPr>
              <w:t xml:space="preserve"> budú náklady cca </w:t>
            </w:r>
            <w:r w:rsidR="00F822DF" w:rsidRPr="00994B5F">
              <w:rPr>
                <w:b/>
              </w:rPr>
              <w:t>od 4 298 400 € do 8 596 800 €. Vzhľadom na to, že podnikatelia si nemusia dať upraviť všetky on-line registračné pokladnice, pretože sa, napr. rozhodnú prejsť na používanie virtuálnej registračnej pokladnice alebo hotovosť prestanú brať a prejdú na bezhotovostné platby</w:t>
            </w:r>
            <w:r w:rsidR="001F2EB3" w:rsidRPr="00994B5F">
              <w:rPr>
                <w:b/>
              </w:rPr>
              <w:t>,</w:t>
            </w:r>
            <w:r w:rsidR="00F822DF" w:rsidRPr="00994B5F">
              <w:rPr>
                <w:b/>
              </w:rPr>
              <w:t xml:space="preserve"> tak celková výška nákladov sa bude znižovať – presné vyčíslenie nie je možné.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511EB6" w:rsidRPr="00D01973" w:rsidRDefault="006A7982" w:rsidP="00F822DF">
            <w:pPr>
              <w:jc w:val="both"/>
              <w:rPr>
                <w:b/>
              </w:rPr>
            </w:pPr>
            <w:r w:rsidRPr="00D01973">
              <w:rPr>
                <w:b/>
              </w:rPr>
              <w:t xml:space="preserve">Nedochádza k vytvoreniu bariér pre vstup na trh pre nových dodávateľov alebo poskytovateľov služieb. </w:t>
            </w:r>
            <w:r w:rsidR="00B5276A" w:rsidRPr="00D01973">
              <w:rPr>
                <w:b/>
              </w:rPr>
              <w:t>N</w:t>
            </w:r>
            <w:r w:rsidRPr="00D01973">
              <w:rPr>
                <w:b/>
              </w:rPr>
              <w:t xml:space="preserve">avrhovaná zmena </w:t>
            </w:r>
            <w:r w:rsidR="00B5276A" w:rsidRPr="00D01973">
              <w:rPr>
                <w:b/>
              </w:rPr>
              <w:t xml:space="preserve">nebude mať </w:t>
            </w:r>
            <w:r w:rsidRPr="00D01973">
              <w:rPr>
                <w:b/>
              </w:rPr>
              <w:t xml:space="preserve">za následok prísnejšiu reguláciu správania sa </w:t>
            </w:r>
            <w:r w:rsidR="002A017B" w:rsidRPr="00D01973">
              <w:rPr>
                <w:b/>
              </w:rPr>
              <w:t xml:space="preserve">niektorých podnikov. </w:t>
            </w:r>
            <w:r w:rsidR="00B5276A" w:rsidRPr="00D01973">
              <w:rPr>
                <w:b/>
              </w:rPr>
              <w:t xml:space="preserve"> Navrhované zmeny sa dotknú </w:t>
            </w:r>
            <w:r w:rsidR="00311B0E" w:rsidRPr="00D01973">
              <w:rPr>
                <w:b/>
              </w:rPr>
              <w:t xml:space="preserve">rovnako všetkých </w:t>
            </w:r>
            <w:r w:rsidR="00F822DF">
              <w:rPr>
                <w:b/>
              </w:rPr>
              <w:t>podnikateľov</w:t>
            </w:r>
            <w:r w:rsidR="00311B0E" w:rsidRPr="00D01973">
              <w:rPr>
                <w:b/>
              </w:rPr>
              <w:t>.  Neovplyvní cenu ani dostupnosť základných zdrojov, ani  prístup k financiám.</w:t>
            </w:r>
            <w:r w:rsidR="00311B0E" w:rsidRPr="00D01973">
              <w:rPr>
                <w:b/>
                <w:i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511EB6" w:rsidRDefault="00511EB6" w:rsidP="00511EB6">
            <w:pPr>
              <w:rPr>
                <w:sz w:val="24"/>
                <w:szCs w:val="24"/>
              </w:rPr>
            </w:pPr>
          </w:p>
          <w:p w:rsidR="009F2DFA" w:rsidRPr="00511EB6" w:rsidRDefault="00511EB6" w:rsidP="00511EB6">
            <w:pPr>
              <w:rPr>
                <w:b/>
                <w:i/>
              </w:rPr>
            </w:pPr>
            <w:r w:rsidRPr="00511EB6">
              <w:rPr>
                <w:b/>
              </w:rPr>
              <w:t xml:space="preserve">Návrh nemá vplyv na inovácie. </w:t>
            </w:r>
          </w:p>
        </w:tc>
      </w:tr>
    </w:tbl>
    <w:p w:rsidR="009F2DFA" w:rsidRDefault="009F2DFA" w:rsidP="00B54669">
      <w:pPr>
        <w:rPr>
          <w:b/>
          <w:sz w:val="24"/>
        </w:rPr>
      </w:pPr>
    </w:p>
    <w:sectPr w:rsidR="009F2DFA" w:rsidSect="0046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0A" w:rsidRDefault="00496C0A" w:rsidP="009F2DFA">
      <w:r>
        <w:separator/>
      </w:r>
    </w:p>
  </w:endnote>
  <w:endnote w:type="continuationSeparator" w:id="0">
    <w:p w:rsidR="00496C0A" w:rsidRDefault="00496C0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65" w:rsidRDefault="008714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166282"/>
      <w:docPartObj>
        <w:docPartGallery w:val="Page Numbers (Bottom of Page)"/>
        <w:docPartUnique/>
      </w:docPartObj>
    </w:sdtPr>
    <w:sdtEndPr/>
    <w:sdtContent>
      <w:p w:rsidR="004669D0" w:rsidRDefault="004669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D7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65" w:rsidRDefault="008714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0A" w:rsidRDefault="00496C0A" w:rsidP="009F2DFA">
      <w:r>
        <w:separator/>
      </w:r>
    </w:p>
  </w:footnote>
  <w:footnote w:type="continuationSeparator" w:id="0">
    <w:p w:rsidR="00496C0A" w:rsidRDefault="00496C0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65" w:rsidRDefault="008714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65" w:rsidRDefault="0087146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65" w:rsidRDefault="008714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F6EC1"/>
    <w:multiLevelType w:val="hybridMultilevel"/>
    <w:tmpl w:val="ECF6459A"/>
    <w:lvl w:ilvl="0" w:tplc="16B46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B1C"/>
    <w:multiLevelType w:val="hybridMultilevel"/>
    <w:tmpl w:val="2646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5E9E"/>
    <w:multiLevelType w:val="hybridMultilevel"/>
    <w:tmpl w:val="94E22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EBF"/>
    <w:multiLevelType w:val="hybridMultilevel"/>
    <w:tmpl w:val="187225FA"/>
    <w:lvl w:ilvl="0" w:tplc="64F473AC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601B"/>
    <w:multiLevelType w:val="hybridMultilevel"/>
    <w:tmpl w:val="7794D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C014B4"/>
    <w:multiLevelType w:val="hybridMultilevel"/>
    <w:tmpl w:val="07B889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1"/>
  </w:num>
  <w:num w:numId="12">
    <w:abstractNumId w:val="6"/>
  </w:num>
  <w:num w:numId="13">
    <w:abstractNumId w:val="1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8491F"/>
    <w:rsid w:val="000C2944"/>
    <w:rsid w:val="000D5489"/>
    <w:rsid w:val="000E2CC9"/>
    <w:rsid w:val="00154881"/>
    <w:rsid w:val="001879BE"/>
    <w:rsid w:val="001B1A4F"/>
    <w:rsid w:val="001F2EB3"/>
    <w:rsid w:val="001F7637"/>
    <w:rsid w:val="002029BF"/>
    <w:rsid w:val="00290F5D"/>
    <w:rsid w:val="002A017B"/>
    <w:rsid w:val="002B1108"/>
    <w:rsid w:val="00311B0E"/>
    <w:rsid w:val="00352F58"/>
    <w:rsid w:val="003B6652"/>
    <w:rsid w:val="00413904"/>
    <w:rsid w:val="0043264E"/>
    <w:rsid w:val="004443FB"/>
    <w:rsid w:val="00445A09"/>
    <w:rsid w:val="004669D0"/>
    <w:rsid w:val="00496C0A"/>
    <w:rsid w:val="004A2F4D"/>
    <w:rsid w:val="004D5D4F"/>
    <w:rsid w:val="00511EB6"/>
    <w:rsid w:val="00516142"/>
    <w:rsid w:val="0052297F"/>
    <w:rsid w:val="005959E4"/>
    <w:rsid w:val="005B7859"/>
    <w:rsid w:val="00614C87"/>
    <w:rsid w:val="00645B93"/>
    <w:rsid w:val="006726A0"/>
    <w:rsid w:val="00683947"/>
    <w:rsid w:val="00683C95"/>
    <w:rsid w:val="006A7982"/>
    <w:rsid w:val="00713264"/>
    <w:rsid w:val="00765CED"/>
    <w:rsid w:val="00780BA6"/>
    <w:rsid w:val="00795867"/>
    <w:rsid w:val="007D3777"/>
    <w:rsid w:val="007F0986"/>
    <w:rsid w:val="00832872"/>
    <w:rsid w:val="00837639"/>
    <w:rsid w:val="008505F2"/>
    <w:rsid w:val="00865787"/>
    <w:rsid w:val="00871465"/>
    <w:rsid w:val="008A1252"/>
    <w:rsid w:val="00904C9B"/>
    <w:rsid w:val="00920730"/>
    <w:rsid w:val="009319FB"/>
    <w:rsid w:val="00936DF3"/>
    <w:rsid w:val="00982734"/>
    <w:rsid w:val="00994B5F"/>
    <w:rsid w:val="009A6122"/>
    <w:rsid w:val="009A7271"/>
    <w:rsid w:val="009C5834"/>
    <w:rsid w:val="009E6613"/>
    <w:rsid w:val="009F10C7"/>
    <w:rsid w:val="009F2DFA"/>
    <w:rsid w:val="00A15BDA"/>
    <w:rsid w:val="00A85A32"/>
    <w:rsid w:val="00A85D06"/>
    <w:rsid w:val="00A92C82"/>
    <w:rsid w:val="00AC430A"/>
    <w:rsid w:val="00AE35EB"/>
    <w:rsid w:val="00AE7BBF"/>
    <w:rsid w:val="00B31A8E"/>
    <w:rsid w:val="00B4424D"/>
    <w:rsid w:val="00B5276A"/>
    <w:rsid w:val="00B54669"/>
    <w:rsid w:val="00B81240"/>
    <w:rsid w:val="00B86C2B"/>
    <w:rsid w:val="00BA073A"/>
    <w:rsid w:val="00BA5058"/>
    <w:rsid w:val="00BE4F05"/>
    <w:rsid w:val="00BF2999"/>
    <w:rsid w:val="00C10341"/>
    <w:rsid w:val="00C13578"/>
    <w:rsid w:val="00C23AB8"/>
    <w:rsid w:val="00C669C3"/>
    <w:rsid w:val="00C66C77"/>
    <w:rsid w:val="00CA530C"/>
    <w:rsid w:val="00CB3623"/>
    <w:rsid w:val="00CC0059"/>
    <w:rsid w:val="00D01973"/>
    <w:rsid w:val="00D15AF4"/>
    <w:rsid w:val="00D232A0"/>
    <w:rsid w:val="00DD112C"/>
    <w:rsid w:val="00DE4E59"/>
    <w:rsid w:val="00E06014"/>
    <w:rsid w:val="00E16F8A"/>
    <w:rsid w:val="00E46E51"/>
    <w:rsid w:val="00E71A64"/>
    <w:rsid w:val="00E86AD1"/>
    <w:rsid w:val="00EC5845"/>
    <w:rsid w:val="00EC65D7"/>
    <w:rsid w:val="00F41620"/>
    <w:rsid w:val="00F822DF"/>
    <w:rsid w:val="00FB5C13"/>
    <w:rsid w:val="00FD23C6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164C-B2A0-400B-8307-F108F73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08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Valaskova Janette</cp:lastModifiedBy>
  <cp:revision>5</cp:revision>
  <cp:lastPrinted>2020-12-18T07:25:00Z</cp:lastPrinted>
  <dcterms:created xsi:type="dcterms:W3CDTF">2020-12-18T07:19:00Z</dcterms:created>
  <dcterms:modified xsi:type="dcterms:W3CDTF">2021-04-26T09:41:00Z</dcterms:modified>
</cp:coreProperties>
</file>