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7CFF7" w14:textId="77777777" w:rsidR="0028458E" w:rsidRPr="004A298C" w:rsidRDefault="0028458E" w:rsidP="001F7B5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298C">
        <w:rPr>
          <w:rFonts w:ascii="Times New Roman" w:hAnsi="Times New Roman"/>
          <w:b/>
          <w:color w:val="000000" w:themeColor="text1"/>
          <w:sz w:val="24"/>
          <w:szCs w:val="24"/>
        </w:rPr>
        <w:t>Dôvodová správa</w:t>
      </w:r>
    </w:p>
    <w:p w14:paraId="2141F42D" w14:textId="77777777" w:rsidR="0028458E" w:rsidRPr="004A298C" w:rsidRDefault="0028458E" w:rsidP="001F7B5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4113B9" w14:textId="77777777" w:rsidR="008A6B7E" w:rsidRPr="004A298C" w:rsidRDefault="008A6B7E" w:rsidP="001F7B55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298C">
        <w:rPr>
          <w:rFonts w:ascii="Times New Roman" w:hAnsi="Times New Roman"/>
          <w:b/>
          <w:color w:val="000000" w:themeColor="text1"/>
          <w:sz w:val="24"/>
          <w:szCs w:val="24"/>
        </w:rPr>
        <w:t>Všeobecná časť</w:t>
      </w:r>
    </w:p>
    <w:p w14:paraId="2D9E94F2" w14:textId="77777777" w:rsidR="00F8420E" w:rsidRPr="004A298C" w:rsidRDefault="00F8420E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4E1C1" w14:textId="7B823781" w:rsidR="00F8420E" w:rsidRPr="004A298C" w:rsidRDefault="00F8420E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Ministerstvo financií Slovenskej republiky predkladá návrh zákona, k</w:t>
      </w:r>
      <w:r w:rsidR="00A01D61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torým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mení </w:t>
      </w:r>
      <w:r w:rsidR="00A01D61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dopĺňa zákon č. 563/2009 Z. z. o správe daní (daňový poriadok) a o zmene a doplnení niektorých zákonov v znení neskorších predpisov </w:t>
      </w:r>
      <w:r w:rsidR="00745B32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ktorým sa menia a dopĺňajú niektoré zákony </w:t>
      </w:r>
      <w:r w:rsidR="00367A3E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na základe Plánu legislat</w:t>
      </w:r>
      <w:r w:rsidR="00CE7452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ívnych úloh vlády SR na rok 2021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157ACA" w14:textId="77777777" w:rsidR="00F8420E" w:rsidRPr="004A298C" w:rsidRDefault="00F8420E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44A69" w14:textId="77777777" w:rsidR="00B664FC" w:rsidRPr="004A298C" w:rsidRDefault="00B664FC" w:rsidP="001F7B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10FFD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Primárnym cieľom predkladaného návrhu je </w:t>
      </w:r>
      <w:r w:rsidR="00023346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vytvorenie nových </w:t>
      </w:r>
      <w:r w:rsidR="00D01233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efektívnych </w:t>
      </w:r>
      <w:r w:rsidR="00023346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nástrojov v boji proti daňovým podvodom </w:t>
      </w:r>
      <w:r w:rsidR="0022789D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motivácia daňových subjektov k dobrovoľnému plneniu svojich daňových povinností. </w:t>
      </w:r>
    </w:p>
    <w:p w14:paraId="5B776C5E" w14:textId="77777777" w:rsidR="00125A1E" w:rsidRPr="004A298C" w:rsidRDefault="00125A1E" w:rsidP="001F7B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54444" w14:textId="17C94539" w:rsidR="00CE38B2" w:rsidRPr="004A298C" w:rsidRDefault="00125A1E" w:rsidP="001F7B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38B2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Zmenou má prejs</w:t>
      </w:r>
      <w:bookmarkStart w:id="0" w:name="_GoBack"/>
      <w:bookmarkEnd w:id="0"/>
      <w:r w:rsidR="00CE38B2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ť hodnotenie daňových subjektov, tzv. index daňovej spoľahliv</w:t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osti. Daňové subjekty, ktoré </w:t>
      </w:r>
      <w:r w:rsidR="00CE38B2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budú zodpovedne </w:t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pristupovať </w:t>
      </w:r>
      <w:r w:rsidR="00CE38B2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k svojim daňovým povinnostiam (napr. včasné podávanie daň</w:t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ových priznaní a platenie dane), </w:t>
      </w:r>
      <w:r w:rsidR="00CE38B2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budú odmeňované benefitmi. Naopak tí podnikatelia, ktorí nebudú hodnotení ako spoľahliví, budú motivovaní k zodpovednejšiemu prístupu.</w:t>
      </w:r>
    </w:p>
    <w:p w14:paraId="0698B0AF" w14:textId="77777777" w:rsidR="004A2ADA" w:rsidRPr="004A298C" w:rsidRDefault="004A2ADA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3CFDF" w14:textId="0C54093B" w:rsidR="009E5133" w:rsidRDefault="005E7479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neposlednom rade na skvalitnenie výberu daní a očistenie podnikateľského prostredia prispeje aj vylúčenie daňovo nespoľahlivých osôb. </w:t>
      </w:r>
      <w:r w:rsidR="00E21BCD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Zámerom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je, aby mal správca dane</w:t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zákonom ustanovených dôvodov, 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možnosť rozhodnúť o vylúčení </w:t>
      </w:r>
      <w:r w:rsidR="006A674B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osoby, </w:t>
      </w:r>
      <w:r w:rsidR="00410254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ktorá je </w:t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štatutárom spoločnosti, ktorá si však riadne neplní svoje povinnosti</w:t>
      </w:r>
      <w:r w:rsidR="006A674B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Týmto rozhodnutím bude fyzická osoba vylúčená z možnosti byť najmä </w:t>
      </w:r>
      <w:r w:rsidR="00A30E17"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štatutárom alebo </w:t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členom štatutárneho orgánu, členom dozorného orgánu, alebo prokuristom vo všetkých obchodných spoločnostiach </w:t>
      </w:r>
      <w:r w:rsidR="00351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A298C">
        <w:rPr>
          <w:rFonts w:ascii="Times New Roman" w:hAnsi="Times New Roman" w:cs="Times New Roman"/>
          <w:color w:val="000000" w:themeColor="text1"/>
          <w:sz w:val="24"/>
          <w:szCs w:val="24"/>
        </w:rPr>
        <w:t>a družstvách.</w:t>
      </w:r>
    </w:p>
    <w:p w14:paraId="1E10C2B5" w14:textId="77777777" w:rsidR="00256A6D" w:rsidRDefault="00256A6D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A528E" w14:textId="52B59428" w:rsidR="00256A6D" w:rsidRPr="004A298C" w:rsidRDefault="00646925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925">
        <w:rPr>
          <w:rFonts w:ascii="Times New Roman" w:hAnsi="Times New Roman" w:cs="Times New Roman"/>
          <w:color w:val="000000" w:themeColor="text1"/>
          <w:sz w:val="24"/>
          <w:szCs w:val="24"/>
        </w:rPr>
        <w:t>S cieľom znižovania administratívnej záťaže sa rušia osvedčenia o registrácii tzv. kartičky. Za týmto účelom sa upravujú aj príslušné ustanovenia zákonov o spotrebných daniach.</w:t>
      </w:r>
    </w:p>
    <w:p w14:paraId="41734168" w14:textId="0C5814EC" w:rsidR="00AE5496" w:rsidRPr="00FE5279" w:rsidRDefault="00B664FC" w:rsidP="001F7B55">
      <w:pPr>
        <w:rPr>
          <w:rStyle w:val="Zstupntext"/>
          <w:color w:val="auto"/>
          <w:sz w:val="24"/>
          <w:szCs w:val="24"/>
        </w:rPr>
      </w:pPr>
      <w:r w:rsidRPr="004A298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53CE" w:rsidRPr="004A298C">
        <w:rPr>
          <w:rStyle w:val="Zstupntext"/>
          <w:color w:val="000000" w:themeColor="text1"/>
          <w:sz w:val="24"/>
          <w:szCs w:val="24"/>
        </w:rPr>
        <w:tab/>
      </w:r>
    </w:p>
    <w:p w14:paraId="537DDDBD" w14:textId="20DF0A88" w:rsidR="00AE5496" w:rsidRPr="00E1616D" w:rsidRDefault="00E1616D" w:rsidP="001F7B55">
      <w:pPr>
        <w:ind w:firstLine="708"/>
        <w:rPr>
          <w:rStyle w:val="Zstupntext"/>
          <w:color w:val="auto"/>
          <w:sz w:val="24"/>
          <w:szCs w:val="24"/>
        </w:rPr>
      </w:pPr>
      <w:r w:rsidRPr="00FE5279">
        <w:rPr>
          <w:rStyle w:val="Zstupntext"/>
          <w:color w:val="auto"/>
          <w:sz w:val="24"/>
          <w:szCs w:val="24"/>
        </w:rPr>
        <w:t>Predkladanou novelou</w:t>
      </w:r>
      <w:r w:rsidR="00AE5496" w:rsidRPr="00FE5279">
        <w:rPr>
          <w:rStyle w:val="Zstupntext"/>
          <w:color w:val="auto"/>
          <w:sz w:val="24"/>
          <w:szCs w:val="24"/>
        </w:rPr>
        <w:t xml:space="preserve"> sa mení a dopĺňa zákon č. 222/2004 Z. z. o dani z pridanej hodnoty v znení neskorších predpisov</w:t>
      </w:r>
      <w:r w:rsidR="00351BB4">
        <w:rPr>
          <w:rStyle w:val="Zstupntext"/>
          <w:color w:val="auto"/>
          <w:sz w:val="24"/>
          <w:szCs w:val="24"/>
        </w:rPr>
        <w:t>. Navrhuje sa</w:t>
      </w:r>
      <w:r w:rsidR="00AE5496" w:rsidRPr="00FE5279">
        <w:rPr>
          <w:rStyle w:val="Zstupntext"/>
          <w:color w:val="auto"/>
          <w:sz w:val="24"/>
          <w:szCs w:val="24"/>
        </w:rPr>
        <w:t xml:space="preserve"> prijatie súboru legislatívnych opatrení, ktorých spoločným cieľom je zlepšenie výberu DPH.</w:t>
      </w:r>
      <w:r w:rsidR="00AE5496" w:rsidRPr="00E1616D">
        <w:rPr>
          <w:rStyle w:val="Zstupntext"/>
          <w:color w:val="auto"/>
          <w:sz w:val="24"/>
          <w:szCs w:val="24"/>
        </w:rPr>
        <w:t xml:space="preserve"> </w:t>
      </w:r>
    </w:p>
    <w:p w14:paraId="1EB077F9" w14:textId="77777777" w:rsidR="00AE5496" w:rsidRPr="00E1616D" w:rsidRDefault="00AE5496" w:rsidP="001F7B55">
      <w:pPr>
        <w:ind w:firstLine="708"/>
        <w:rPr>
          <w:rStyle w:val="Zstupntext"/>
          <w:color w:val="auto"/>
          <w:sz w:val="24"/>
          <w:szCs w:val="24"/>
        </w:rPr>
      </w:pPr>
    </w:p>
    <w:p w14:paraId="72F75CE7" w14:textId="77777777" w:rsidR="00AE5496" w:rsidRPr="00E1616D" w:rsidRDefault="00AE5496" w:rsidP="001F7B55">
      <w:pPr>
        <w:ind w:firstLine="708"/>
        <w:rPr>
          <w:rFonts w:ascii="Times New Roman" w:hAnsi="Times New Roman"/>
          <w:sz w:val="24"/>
          <w:szCs w:val="24"/>
        </w:rPr>
      </w:pPr>
      <w:r w:rsidRPr="00E1616D">
        <w:rPr>
          <w:rStyle w:val="Zstupntext"/>
          <w:color w:val="auto"/>
          <w:sz w:val="24"/>
          <w:szCs w:val="24"/>
        </w:rPr>
        <w:t xml:space="preserve">Nosným opatrením návrhu zákona je zavedenie povinnosti pre nových aj existujúcich platiteľov dane oznamovať </w:t>
      </w:r>
      <w:r w:rsidRPr="00E1616D">
        <w:rPr>
          <w:rFonts w:ascii="Times New Roman" w:hAnsi="Times New Roman"/>
          <w:sz w:val="24"/>
          <w:szCs w:val="24"/>
        </w:rPr>
        <w:t>Finančnému riaditeľstvu Slovenskej republiky (ďalej len „FR SR“) čísla všetkých vlastných bankových účtov, ktoré používajú na vykonávanie ekonomickej činnosti, ktorá je predmetom DPH. S uvedeným opatrením súvisí</w:t>
      </w:r>
      <w:r w:rsidRPr="00E1616D">
        <w:rPr>
          <w:rStyle w:val="Zstupntext"/>
          <w:color w:val="auto"/>
          <w:sz w:val="24"/>
          <w:szCs w:val="24"/>
        </w:rPr>
        <w:t xml:space="preserve"> </w:t>
      </w:r>
      <w:r w:rsidRPr="00E1616D">
        <w:rPr>
          <w:rFonts w:ascii="Times New Roman" w:hAnsi="Times New Roman"/>
          <w:sz w:val="24"/>
          <w:szCs w:val="24"/>
        </w:rPr>
        <w:t xml:space="preserve">zverejňovanie a aktualizácia zoznamu týchto bankových účtov platiteľov dane na webovom sídle FR SR. </w:t>
      </w:r>
    </w:p>
    <w:p w14:paraId="16B3F4C5" w14:textId="77777777" w:rsidR="00AE5496" w:rsidRPr="00E1616D" w:rsidRDefault="00AE5496" w:rsidP="001F7B55">
      <w:pPr>
        <w:ind w:firstLine="708"/>
        <w:rPr>
          <w:rFonts w:ascii="Times New Roman" w:hAnsi="Times New Roman"/>
          <w:sz w:val="24"/>
          <w:szCs w:val="24"/>
        </w:rPr>
      </w:pPr>
    </w:p>
    <w:p w14:paraId="10C1DDF2" w14:textId="77777777" w:rsidR="00AE5496" w:rsidRDefault="00AE5496" w:rsidP="001F7B55">
      <w:pPr>
        <w:ind w:firstLine="708"/>
        <w:rPr>
          <w:rFonts w:ascii="Times New Roman" w:hAnsi="Times New Roman"/>
          <w:sz w:val="24"/>
          <w:szCs w:val="24"/>
        </w:rPr>
      </w:pPr>
      <w:r w:rsidRPr="00E1616D">
        <w:rPr>
          <w:rFonts w:ascii="Times New Roman" w:hAnsi="Times New Roman"/>
          <w:sz w:val="24"/>
          <w:szCs w:val="24"/>
        </w:rPr>
        <w:t xml:space="preserve">Priamy vplyv na zlepšenie výberu DPH sa predpokladá aj od zavedenia novej skutočnosti pre uplatnenie inštitútu ručenia za daň, ktorou je platba na bankový účet dodávateľa, ktorý v deň uskutočnenia platby nebol zverejnený na webovom sídle FR SR. Elimináciu rizika, ktoré so sebou prináša uplatnenie inštitútu ručenia za daň, umožňuje </w:t>
      </w:r>
      <w:proofErr w:type="spellStart"/>
      <w:r w:rsidRPr="00E1616D">
        <w:rPr>
          <w:rFonts w:ascii="Times New Roman" w:hAnsi="Times New Roman"/>
          <w:sz w:val="24"/>
          <w:szCs w:val="24"/>
        </w:rPr>
        <w:t>novonavrhnutý</w:t>
      </w:r>
      <w:proofErr w:type="spellEnd"/>
      <w:r w:rsidRPr="00E1616D">
        <w:rPr>
          <w:rFonts w:ascii="Times New Roman" w:hAnsi="Times New Roman"/>
          <w:sz w:val="24"/>
          <w:szCs w:val="24"/>
        </w:rPr>
        <w:t xml:space="preserve"> osobitný spôsob úhrady dane, ktorý umožní odberateľovi zaplatiť dodávateľovi len základ dane a samotnú daň odviesť priamo na osobný účet dodávateľa. </w:t>
      </w:r>
    </w:p>
    <w:p w14:paraId="6D5EF6AA" w14:textId="77777777" w:rsidR="006C5363" w:rsidRDefault="006C5363" w:rsidP="001F7B55">
      <w:pPr>
        <w:ind w:firstLine="708"/>
        <w:rPr>
          <w:rFonts w:ascii="Times New Roman" w:hAnsi="Times New Roman"/>
          <w:sz w:val="24"/>
          <w:szCs w:val="24"/>
        </w:rPr>
      </w:pPr>
    </w:p>
    <w:p w14:paraId="6F29C779" w14:textId="10560F24" w:rsidR="006C5363" w:rsidRPr="00E1616D" w:rsidRDefault="006C5363" w:rsidP="001F7B55">
      <w:pPr>
        <w:ind w:firstLine="708"/>
        <w:rPr>
          <w:rFonts w:ascii="Times New Roman" w:hAnsi="Times New Roman"/>
          <w:sz w:val="24"/>
          <w:szCs w:val="24"/>
        </w:rPr>
      </w:pPr>
      <w:r w:rsidRPr="006C5363">
        <w:rPr>
          <w:rFonts w:ascii="Times New Roman" w:hAnsi="Times New Roman" w:cs="Times New Roman"/>
          <w:sz w:val="24"/>
          <w:szCs w:val="24"/>
        </w:rPr>
        <w:t xml:space="preserve">Zámerom návrhu zákona je tiež transpozícia smernice Rady (EÚ) 2019/2235 zo 16. decembra 2019, ktorou sa mení smernica 2006/112/ES o spoločnom systéme dane z pridanej </w:t>
      </w:r>
      <w:r w:rsidRPr="006C5363">
        <w:rPr>
          <w:rFonts w:ascii="Times New Roman" w:hAnsi="Times New Roman" w:cs="Times New Roman"/>
          <w:sz w:val="24"/>
          <w:szCs w:val="24"/>
        </w:rPr>
        <w:lastRenderedPageBreak/>
        <w:t>hodnoty a smernica 2008/118/ES o všeobecnom systéme spotrebných daní, pokiaľ ide o obranné úsilie v rámci Únie, do zákona o DPH.</w:t>
      </w:r>
    </w:p>
    <w:p w14:paraId="786C3F1D" w14:textId="77777777" w:rsidR="00AE5496" w:rsidRPr="00E1616D" w:rsidRDefault="00AE5496" w:rsidP="001F7B55">
      <w:pPr>
        <w:ind w:firstLine="708"/>
        <w:rPr>
          <w:rFonts w:ascii="Times New Roman" w:hAnsi="Times New Roman"/>
          <w:sz w:val="24"/>
          <w:szCs w:val="24"/>
        </w:rPr>
      </w:pPr>
    </w:p>
    <w:p w14:paraId="6BBE3032" w14:textId="43F32F4B" w:rsidR="00AE5496" w:rsidRPr="00E1616D" w:rsidRDefault="00AE5496" w:rsidP="001F7B55">
      <w:pPr>
        <w:rPr>
          <w:rStyle w:val="Zstupntext"/>
          <w:color w:val="auto"/>
          <w:sz w:val="24"/>
          <w:szCs w:val="24"/>
        </w:rPr>
      </w:pPr>
      <w:r w:rsidRPr="00E1616D">
        <w:rPr>
          <w:rStyle w:val="Zstupntext"/>
          <w:color w:val="auto"/>
          <w:sz w:val="24"/>
          <w:szCs w:val="24"/>
        </w:rPr>
        <w:tab/>
        <w:t xml:space="preserve">Návrh zákona má pozitívny a negatívny vplyv na rozpočet verejnej správy, pozitívny a negatívny vplyv na podnikateľské prostredie, pozitívny </w:t>
      </w:r>
      <w:r w:rsidR="000C398E">
        <w:rPr>
          <w:rStyle w:val="Zstupntext"/>
          <w:color w:val="auto"/>
          <w:sz w:val="24"/>
          <w:szCs w:val="24"/>
        </w:rPr>
        <w:t xml:space="preserve">a negatívny </w:t>
      </w:r>
      <w:r w:rsidRPr="00E1616D">
        <w:rPr>
          <w:rStyle w:val="Zstupntext"/>
          <w:color w:val="auto"/>
          <w:sz w:val="24"/>
          <w:szCs w:val="24"/>
        </w:rPr>
        <w:t xml:space="preserve">vplyv na informatizáciu spoločnosti, a nebude mať sociálne vplyvy, vplyvy na životné prostredie, nemá vplyv ani na služby verejnej správy pre občana. </w:t>
      </w:r>
    </w:p>
    <w:p w14:paraId="7A4BE752" w14:textId="77777777" w:rsidR="00AE5496" w:rsidRPr="00E1616D" w:rsidRDefault="00AE5496" w:rsidP="001F7B55">
      <w:pPr>
        <w:rPr>
          <w:rStyle w:val="Zstupntext"/>
          <w:color w:val="auto"/>
          <w:sz w:val="24"/>
          <w:szCs w:val="24"/>
        </w:rPr>
      </w:pPr>
    </w:p>
    <w:p w14:paraId="30ACBF7A" w14:textId="1CABC172" w:rsidR="00E1616D" w:rsidRPr="00E1616D" w:rsidRDefault="00E1616D" w:rsidP="001F7B55">
      <w:pPr>
        <w:ind w:firstLine="708"/>
        <w:rPr>
          <w:rFonts w:ascii="Times New Roman" w:hAnsi="Times New Roman"/>
          <w:sz w:val="24"/>
          <w:szCs w:val="24"/>
        </w:rPr>
      </w:pPr>
      <w:r w:rsidRPr="00E1616D">
        <w:rPr>
          <w:rFonts w:ascii="Times New Roman" w:hAnsi="Times New Roman"/>
          <w:sz w:val="24"/>
          <w:szCs w:val="24"/>
        </w:rPr>
        <w:t xml:space="preserve">Predkladaný návrh zákona je v súlade s Ústavou Slovenskej republiky, ústavnými zákonmi a inými právnymi predpismi, s nálezmi Ústavného súdu Slovenskej republiky, medzinárodnými zmluvami a dokumentmi, ktorými je Slovenská republika viazaná, ako </w:t>
      </w:r>
      <w:r w:rsidR="00BA2FDB">
        <w:rPr>
          <w:rFonts w:ascii="Times New Roman" w:hAnsi="Times New Roman"/>
          <w:sz w:val="24"/>
          <w:szCs w:val="24"/>
        </w:rPr>
        <w:br/>
      </w:r>
      <w:r w:rsidRPr="00E1616D">
        <w:rPr>
          <w:rFonts w:ascii="Times New Roman" w:hAnsi="Times New Roman"/>
          <w:sz w:val="24"/>
          <w:szCs w:val="24"/>
        </w:rPr>
        <w:t>aj v súlade s právom Európskej únie.</w:t>
      </w:r>
    </w:p>
    <w:p w14:paraId="6E3A76C6" w14:textId="77777777" w:rsidR="00E1616D" w:rsidRPr="00E1616D" w:rsidRDefault="00E1616D" w:rsidP="001F7B55">
      <w:pPr>
        <w:rPr>
          <w:rStyle w:val="Zstupntext"/>
          <w:color w:val="auto"/>
          <w:sz w:val="24"/>
          <w:szCs w:val="24"/>
        </w:rPr>
      </w:pPr>
    </w:p>
    <w:p w14:paraId="53EB7766" w14:textId="77777777" w:rsidR="00E1616D" w:rsidRPr="00CB4B19" w:rsidRDefault="00E1616D" w:rsidP="001F7B55">
      <w:pPr>
        <w:rPr>
          <w:rStyle w:val="Zstupntext"/>
          <w:color w:val="auto"/>
          <w:sz w:val="24"/>
          <w:szCs w:val="24"/>
        </w:rPr>
      </w:pPr>
      <w:r w:rsidRPr="00CB4B19">
        <w:rPr>
          <w:rStyle w:val="Zstupntext"/>
          <w:color w:val="auto"/>
          <w:sz w:val="24"/>
          <w:szCs w:val="24"/>
        </w:rPr>
        <w:tab/>
        <w:t>Návrh zákona nie je predmetom vnútrokomunitárneho pripomienkového konania.</w:t>
      </w:r>
    </w:p>
    <w:p w14:paraId="7B8A4321" w14:textId="5C7FD71C" w:rsidR="00CB4B19" w:rsidRDefault="00CB4B19" w:rsidP="001F7B55">
      <w:pPr>
        <w:rPr>
          <w:rFonts w:ascii="Times New Roman" w:hAnsi="Times New Roman" w:cs="Times New Roman"/>
          <w:sz w:val="24"/>
          <w:szCs w:val="24"/>
        </w:rPr>
      </w:pPr>
    </w:p>
    <w:p w14:paraId="74100045" w14:textId="5CDAFF6A" w:rsidR="00872130" w:rsidRPr="00351BB4" w:rsidRDefault="00872130" w:rsidP="001F7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1AE6">
        <w:rPr>
          <w:rFonts w:ascii="Times New Roman" w:hAnsi="Times New Roman" w:cs="Times New Roman"/>
          <w:sz w:val="24"/>
          <w:szCs w:val="24"/>
        </w:rPr>
        <w:t xml:space="preserve">Účinnosť zákona sa navrhuje 15. novembra 2021, </w:t>
      </w:r>
      <w:r w:rsidRPr="00D33A89">
        <w:rPr>
          <w:rFonts w:ascii="Times New Roman" w:hAnsi="Times New Roman" w:cs="Times New Roman"/>
          <w:sz w:val="24"/>
          <w:szCs w:val="24"/>
        </w:rPr>
        <w:t xml:space="preserve">okrem čl. I, čl. II, </w:t>
      </w:r>
      <w:r>
        <w:rPr>
          <w:rFonts w:ascii="Times New Roman" w:hAnsi="Times New Roman" w:cs="Times New Roman"/>
          <w:sz w:val="24"/>
          <w:szCs w:val="24"/>
        </w:rPr>
        <w:t>čl. V bodov 1 až 5, § 6 ods. 6</w:t>
      </w:r>
      <w:r w:rsidRPr="00D33A89">
        <w:rPr>
          <w:rFonts w:ascii="Times New Roman" w:hAnsi="Times New Roman" w:cs="Times New Roman"/>
          <w:sz w:val="24"/>
          <w:szCs w:val="24"/>
        </w:rPr>
        <w:t xml:space="preserve"> v bode 6 a bodov 7, 8,</w:t>
      </w:r>
      <w:r>
        <w:rPr>
          <w:rFonts w:ascii="Times New Roman" w:hAnsi="Times New Roman" w:cs="Times New Roman"/>
          <w:sz w:val="24"/>
          <w:szCs w:val="24"/>
        </w:rPr>
        <w:t xml:space="preserve"> 10, </w:t>
      </w:r>
      <w:r w:rsidRPr="00D33A89">
        <w:rPr>
          <w:rFonts w:ascii="Times New Roman" w:hAnsi="Times New Roman" w:cs="Times New Roman"/>
          <w:sz w:val="24"/>
          <w:szCs w:val="24"/>
        </w:rPr>
        <w:t>16, 17, 20 až 47 a § 85k</w:t>
      </w:r>
      <w:r>
        <w:rPr>
          <w:rFonts w:ascii="Times New Roman" w:hAnsi="Times New Roman" w:cs="Times New Roman"/>
          <w:sz w:val="24"/>
          <w:szCs w:val="24"/>
        </w:rPr>
        <w:t>l v bode 48, čl. VI</w:t>
      </w:r>
      <w:r w:rsidRPr="00D33A89">
        <w:rPr>
          <w:rFonts w:ascii="Times New Roman" w:hAnsi="Times New Roman" w:cs="Times New Roman"/>
          <w:sz w:val="24"/>
          <w:szCs w:val="24"/>
        </w:rPr>
        <w:t xml:space="preserve"> a čl. V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33A89">
        <w:rPr>
          <w:rFonts w:ascii="Times New Roman" w:hAnsi="Times New Roman" w:cs="Times New Roman"/>
          <w:sz w:val="24"/>
          <w:szCs w:val="24"/>
        </w:rPr>
        <w:t>, ktoré nadobúdajú úč</w:t>
      </w:r>
      <w:r>
        <w:rPr>
          <w:rFonts w:ascii="Times New Roman" w:hAnsi="Times New Roman" w:cs="Times New Roman"/>
          <w:sz w:val="24"/>
          <w:szCs w:val="24"/>
        </w:rPr>
        <w:t>innosť 1. januára 2022 a čl. V</w:t>
      </w:r>
      <w:r w:rsidRPr="00D33A89">
        <w:rPr>
          <w:rFonts w:ascii="Times New Roman" w:hAnsi="Times New Roman" w:cs="Times New Roman"/>
          <w:sz w:val="24"/>
          <w:szCs w:val="24"/>
        </w:rPr>
        <w:t xml:space="preserve"> bodov 9, 11, 12, 14, 18, 19 a bodu 24 v prílohe č. 6 v bode 49, ktoré nadobúdajú účinnosť 1. júla 2022.</w:t>
      </w:r>
    </w:p>
    <w:sectPr w:rsidR="00872130" w:rsidRPr="00351BB4" w:rsidSect="00C93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86572" w14:textId="77777777" w:rsidR="009F0FEF" w:rsidRDefault="009F0FEF" w:rsidP="00C934B3">
      <w:r>
        <w:separator/>
      </w:r>
    </w:p>
  </w:endnote>
  <w:endnote w:type="continuationSeparator" w:id="0">
    <w:p w14:paraId="3686C219" w14:textId="77777777" w:rsidR="009F0FEF" w:rsidRDefault="009F0FEF" w:rsidP="00C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78B8F" w14:textId="77777777" w:rsidR="00C934B3" w:rsidRDefault="00C934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284199"/>
      <w:docPartObj>
        <w:docPartGallery w:val="Page Numbers (Bottom of Page)"/>
        <w:docPartUnique/>
      </w:docPartObj>
    </w:sdtPr>
    <w:sdtEndPr/>
    <w:sdtContent>
      <w:p w14:paraId="66ACD3FC" w14:textId="26DFE69D" w:rsidR="00C934B3" w:rsidRDefault="00C934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55">
          <w:rPr>
            <w:noProof/>
          </w:rPr>
          <w:t>2</w:t>
        </w:r>
        <w:r>
          <w:fldChar w:fldCharType="end"/>
        </w:r>
      </w:p>
    </w:sdtContent>
  </w:sdt>
  <w:p w14:paraId="51A88BB9" w14:textId="77777777" w:rsidR="00C934B3" w:rsidRDefault="00C934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930FC" w14:textId="77777777" w:rsidR="00C934B3" w:rsidRDefault="00C934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6C0E6" w14:textId="77777777" w:rsidR="009F0FEF" w:rsidRDefault="009F0FEF" w:rsidP="00C934B3">
      <w:r>
        <w:separator/>
      </w:r>
    </w:p>
  </w:footnote>
  <w:footnote w:type="continuationSeparator" w:id="0">
    <w:p w14:paraId="0F5E0340" w14:textId="77777777" w:rsidR="009F0FEF" w:rsidRDefault="009F0FEF" w:rsidP="00C9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4B79" w14:textId="77777777" w:rsidR="00C934B3" w:rsidRDefault="00C934B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3145" w14:textId="77777777" w:rsidR="00C934B3" w:rsidRDefault="00C934B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040EB" w14:textId="77777777" w:rsidR="00C934B3" w:rsidRDefault="00C934B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E"/>
    <w:rsid w:val="000044AB"/>
    <w:rsid w:val="00023346"/>
    <w:rsid w:val="00072C7B"/>
    <w:rsid w:val="000A5D82"/>
    <w:rsid w:val="000C398E"/>
    <w:rsid w:val="000E202D"/>
    <w:rsid w:val="00122115"/>
    <w:rsid w:val="00125A1E"/>
    <w:rsid w:val="001722B9"/>
    <w:rsid w:val="001F7B55"/>
    <w:rsid w:val="0022789D"/>
    <w:rsid w:val="0024371F"/>
    <w:rsid w:val="00256A6D"/>
    <w:rsid w:val="0028458E"/>
    <w:rsid w:val="00351BB4"/>
    <w:rsid w:val="00367A3E"/>
    <w:rsid w:val="00410254"/>
    <w:rsid w:val="00420BB5"/>
    <w:rsid w:val="004A298C"/>
    <w:rsid w:val="004A2ADA"/>
    <w:rsid w:val="0054374A"/>
    <w:rsid w:val="005E7479"/>
    <w:rsid w:val="005F7C09"/>
    <w:rsid w:val="00646925"/>
    <w:rsid w:val="006724C9"/>
    <w:rsid w:val="00673F8C"/>
    <w:rsid w:val="00695EC9"/>
    <w:rsid w:val="006A674B"/>
    <w:rsid w:val="006C5363"/>
    <w:rsid w:val="00745B32"/>
    <w:rsid w:val="00751A3F"/>
    <w:rsid w:val="008053CE"/>
    <w:rsid w:val="00831469"/>
    <w:rsid w:val="008507DF"/>
    <w:rsid w:val="00872130"/>
    <w:rsid w:val="008A6B7E"/>
    <w:rsid w:val="008E2AEF"/>
    <w:rsid w:val="00921301"/>
    <w:rsid w:val="009752EA"/>
    <w:rsid w:val="009B4D46"/>
    <w:rsid w:val="009E5133"/>
    <w:rsid w:val="009F0FEF"/>
    <w:rsid w:val="00A0097E"/>
    <w:rsid w:val="00A01D61"/>
    <w:rsid w:val="00A30E17"/>
    <w:rsid w:val="00A7746B"/>
    <w:rsid w:val="00AA7BD5"/>
    <w:rsid w:val="00AC2E5B"/>
    <w:rsid w:val="00AE2A11"/>
    <w:rsid w:val="00AE5496"/>
    <w:rsid w:val="00B10FFD"/>
    <w:rsid w:val="00B23479"/>
    <w:rsid w:val="00B664FC"/>
    <w:rsid w:val="00BA2FDB"/>
    <w:rsid w:val="00BA34A3"/>
    <w:rsid w:val="00C15259"/>
    <w:rsid w:val="00C934B3"/>
    <w:rsid w:val="00CB4B19"/>
    <w:rsid w:val="00CE2D0A"/>
    <w:rsid w:val="00CE38B2"/>
    <w:rsid w:val="00CE7452"/>
    <w:rsid w:val="00D01233"/>
    <w:rsid w:val="00D62E81"/>
    <w:rsid w:val="00D91A5F"/>
    <w:rsid w:val="00E1616D"/>
    <w:rsid w:val="00E21BCD"/>
    <w:rsid w:val="00EB0A65"/>
    <w:rsid w:val="00F07B65"/>
    <w:rsid w:val="00F53FC5"/>
    <w:rsid w:val="00F8420E"/>
    <w:rsid w:val="00F97677"/>
    <w:rsid w:val="00FE378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4138"/>
  <w15:chartTrackingRefBased/>
  <w15:docId w15:val="{9B475D67-AAC3-4C52-B7F2-B34620A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6B7E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A6B7E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9752E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A1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E2D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2D0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2D0A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2D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2D0A"/>
    <w:rPr>
      <w:rFonts w:ascii="Arial Narrow" w:hAnsi="Arial Narrow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4B3"/>
    <w:rPr>
      <w:rFonts w:ascii="Arial Narrow" w:hAnsi="Arial Narrow"/>
      <w:szCs w:val="36"/>
    </w:rPr>
  </w:style>
  <w:style w:type="paragraph" w:styleId="Pta">
    <w:name w:val="footer"/>
    <w:basedOn w:val="Normlny"/>
    <w:link w:val="Pt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34B3"/>
    <w:rPr>
      <w:rFonts w:ascii="Arial Narrow" w:hAnsi="Arial Narrow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Blazekova Lucia</cp:lastModifiedBy>
  <cp:revision>26</cp:revision>
  <cp:lastPrinted>2020-10-01T12:49:00Z</cp:lastPrinted>
  <dcterms:created xsi:type="dcterms:W3CDTF">2020-10-02T12:56:00Z</dcterms:created>
  <dcterms:modified xsi:type="dcterms:W3CDTF">2021-06-16T08:13:00Z</dcterms:modified>
</cp:coreProperties>
</file>