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Look w:val="04A0" w:firstRow="1" w:lastRow="0" w:firstColumn="1" w:lastColumn="0" w:noHBand="0" w:noVBand="1"/>
      </w:tblPr>
      <w:tblGrid>
        <w:gridCol w:w="9212"/>
      </w:tblGrid>
      <w:tr w:rsidR="009F2DFA" w:rsidRPr="00F04CCD" w:rsidTr="007B71A4">
        <w:trPr>
          <w:trHeight w:val="567"/>
        </w:trPr>
        <w:tc>
          <w:tcPr>
            <w:tcW w:w="9212" w:type="dxa"/>
            <w:shd w:val="clear" w:color="auto" w:fill="D9D9D9" w:themeFill="background1" w:themeFillShade="D9"/>
          </w:tcPr>
          <w:p w:rsidR="009F2DFA" w:rsidRPr="00042C66" w:rsidRDefault="008A1252" w:rsidP="007B71A4">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7B71A4">
        <w:trPr>
          <w:trHeight w:val="567"/>
        </w:trPr>
        <w:tc>
          <w:tcPr>
            <w:tcW w:w="9212" w:type="dxa"/>
            <w:shd w:val="clear" w:color="auto" w:fill="D9D9D9" w:themeFill="background1" w:themeFillShade="D9"/>
          </w:tcPr>
          <w:p w:rsidR="009F2DFA" w:rsidRPr="00042C66" w:rsidRDefault="009F2DFA" w:rsidP="007B71A4">
            <w:pPr>
              <w:rPr>
                <w:b/>
                <w:sz w:val="24"/>
              </w:rPr>
            </w:pPr>
            <w:r w:rsidRPr="00042C66">
              <w:rPr>
                <w:b/>
                <w:sz w:val="24"/>
              </w:rPr>
              <w:t>Materiál bude mať vplyv s ohľadom na veľkostnú kategóriu podnikov:</w:t>
            </w:r>
          </w:p>
        </w:tc>
      </w:tr>
      <w:tr w:rsidR="009F2DFA" w:rsidRPr="00F04CCD" w:rsidTr="007B71A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F2DFA" w:rsidRPr="00F04CCD" w:rsidTr="007B71A4">
              <w:sdt>
                <w:sdtPr>
                  <w:id w:val="43339831"/>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pPr>
                    <w:rPr>
                      <w:b/>
                    </w:rPr>
                  </w:pPr>
                  <w:r w:rsidRPr="00F04CCD">
                    <w:rPr>
                      <w:b/>
                    </w:rPr>
                    <w:t xml:space="preserve">iba na MSP (0 - 249 zamestnancov) </w:t>
                  </w:r>
                </w:p>
              </w:tc>
            </w:tr>
            <w:tr w:rsidR="009F2DFA" w:rsidRPr="00F04CCD" w:rsidTr="007B71A4">
              <w:sdt>
                <w:sdtPr>
                  <w:id w:val="-79453833"/>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pPr>
                    <w:rPr>
                      <w:b/>
                    </w:rPr>
                  </w:pPr>
                  <w:r w:rsidRPr="00F04CCD">
                    <w:rPr>
                      <w:b/>
                    </w:rPr>
                    <w:t>iba na veľké podniky (250 a viac zamestnancov)</w:t>
                  </w:r>
                </w:p>
              </w:tc>
            </w:tr>
            <w:tr w:rsidR="009F2DFA" w:rsidRPr="00F04CCD" w:rsidTr="007B71A4">
              <w:sdt>
                <w:sdtPr>
                  <w:id w:val="1290634502"/>
                  <w14:checkbox>
                    <w14:checked w14:val="1"/>
                    <w14:checkedState w14:val="2612" w14:font="MS Gothic"/>
                    <w14:uncheckedState w14:val="2610" w14:font="MS Gothic"/>
                  </w14:checkbox>
                </w:sdtPr>
                <w:sdtEndPr/>
                <w:sdtContent>
                  <w:tc>
                    <w:tcPr>
                      <w:tcW w:w="436" w:type="dxa"/>
                    </w:tcPr>
                    <w:p w:rsidR="009F2DFA" w:rsidRPr="00F04CCD" w:rsidRDefault="00511EB6" w:rsidP="007B71A4">
                      <w:pPr>
                        <w:jc w:val="center"/>
                      </w:pPr>
                      <w:r>
                        <w:rPr>
                          <w:rFonts w:ascii="MS Gothic" w:eastAsia="MS Gothic" w:hAnsi="MS Gothic" w:hint="eastAsia"/>
                        </w:rPr>
                        <w:t>☒</w:t>
                      </w:r>
                    </w:p>
                  </w:tc>
                </w:sdtContent>
              </w:sdt>
              <w:tc>
                <w:tcPr>
                  <w:tcW w:w="8545" w:type="dxa"/>
                </w:tcPr>
                <w:p w:rsidR="009F2DFA" w:rsidRPr="00F04CCD" w:rsidRDefault="009F2DFA" w:rsidP="007B71A4">
                  <w:r w:rsidRPr="00F04CCD">
                    <w:rPr>
                      <w:b/>
                    </w:rPr>
                    <w:t xml:space="preserve">na všetky </w:t>
                  </w:r>
                  <w:r>
                    <w:rPr>
                      <w:b/>
                    </w:rPr>
                    <w:t>kategórie</w:t>
                  </w:r>
                  <w:r w:rsidRPr="00F04CCD">
                    <w:rPr>
                      <w:b/>
                    </w:rPr>
                    <w:t xml:space="preserve"> podnikov</w:t>
                  </w:r>
                </w:p>
              </w:tc>
            </w:tr>
          </w:tbl>
          <w:p w:rsidR="009F2DFA" w:rsidRPr="00F04CCD" w:rsidRDefault="009F2DFA" w:rsidP="007B71A4">
            <w:pPr>
              <w:rPr>
                <w:b/>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.1 Dotknuté podnikateľské subjekty</w:t>
            </w:r>
          </w:p>
          <w:p w:rsidR="009F2DFA" w:rsidRPr="00F04CCD" w:rsidRDefault="009F2DFA" w:rsidP="007B71A4">
            <w:pPr>
              <w:ind w:left="284"/>
              <w:rPr>
                <w:b/>
              </w:rPr>
            </w:pPr>
            <w:r w:rsidRPr="00042C66">
              <w:rPr>
                <w:sz w:val="24"/>
              </w:rPr>
              <w:t xml:space="preserve"> -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9F2DFA" w:rsidP="007B71A4">
            <w:pPr>
              <w:rPr>
                <w:i/>
              </w:rPr>
            </w:pPr>
            <w:r w:rsidRPr="00F04CCD">
              <w:rPr>
                <w:i/>
              </w:rPr>
              <w:t>Uveďte, aké podnikateľské subjekty budú predkladaným návrhom ovplyvnené.</w:t>
            </w:r>
          </w:p>
          <w:p w:rsidR="009F2DFA" w:rsidRPr="00F04CCD" w:rsidRDefault="009F2DFA" w:rsidP="007B71A4">
            <w:pPr>
              <w:rPr>
                <w:i/>
              </w:rPr>
            </w:pPr>
            <w:r w:rsidRPr="00F04CCD">
              <w:rPr>
                <w:i/>
              </w:rPr>
              <w:t>Aký je ich počet?</w:t>
            </w:r>
          </w:p>
        </w:tc>
      </w:tr>
      <w:tr w:rsidR="009F2DFA" w:rsidRPr="00F04CCD" w:rsidTr="007D3777">
        <w:trPr>
          <w:trHeight w:val="948"/>
        </w:trPr>
        <w:tc>
          <w:tcPr>
            <w:tcW w:w="9212" w:type="dxa"/>
            <w:tcBorders>
              <w:bottom w:val="single" w:sz="4" w:space="0" w:color="auto"/>
            </w:tcBorders>
          </w:tcPr>
          <w:p w:rsidR="004A2F4D" w:rsidRDefault="002A017B" w:rsidP="00E46E51">
            <w:pPr>
              <w:jc w:val="both"/>
              <w:rPr>
                <w:lang w:eastAsia="en-US"/>
              </w:rPr>
            </w:pPr>
            <w:r w:rsidRPr="00076464">
              <w:t>Návrh zákona, ktorým  sa mení a  dopĺňa zákon č. 563/2009 Z. z. o správe daní (daňový poriadok) a o zmene a doplnení niektorých zákonov v znení neskorších predpisov a ktorým sa menia a dopĺňajú niektoré zákony</w:t>
            </w:r>
            <w:r>
              <w:t xml:space="preserve"> ovplyvní postupy f</w:t>
            </w:r>
            <w:r w:rsidRPr="00033F02">
              <w:rPr>
                <w:lang w:eastAsia="en-US"/>
              </w:rPr>
              <w:t>inančn</w:t>
            </w:r>
            <w:r>
              <w:rPr>
                <w:lang w:eastAsia="en-US"/>
              </w:rPr>
              <w:t>ej</w:t>
            </w:r>
            <w:r w:rsidRPr="00033F02">
              <w:rPr>
                <w:lang w:eastAsia="en-US"/>
              </w:rPr>
              <w:t xml:space="preserve"> </w:t>
            </w:r>
            <w:r w:rsidR="00E46E51">
              <w:rPr>
                <w:lang w:eastAsia="en-US"/>
              </w:rPr>
              <w:t>správy a daňových subjektov.</w:t>
            </w:r>
          </w:p>
          <w:p w:rsidR="00D23B04" w:rsidRDefault="00D23B04" w:rsidP="00E46E51">
            <w:pPr>
              <w:jc w:val="both"/>
              <w:rPr>
                <w:lang w:eastAsia="en-US"/>
              </w:rPr>
            </w:pPr>
          </w:p>
          <w:p w:rsidR="00D23B04" w:rsidRDefault="00D23B04" w:rsidP="00E46E51">
            <w:pPr>
              <w:jc w:val="both"/>
              <w:rPr>
                <w:lang w:eastAsia="en-US"/>
              </w:rPr>
            </w:pPr>
            <w:r>
              <w:rPr>
                <w:lang w:eastAsia="en-US"/>
              </w:rPr>
              <w:t xml:space="preserve">Zníženie sumy úrady </w:t>
            </w:r>
            <w:r w:rsidR="00251FDE">
              <w:rPr>
                <w:lang w:eastAsia="en-US"/>
              </w:rPr>
              <w:t>z</w:t>
            </w:r>
            <w:r>
              <w:rPr>
                <w:lang w:eastAsia="en-US"/>
              </w:rPr>
              <w:t>a záväzné stanoviská predpokladá pozitívny vplyv na podnikateľské prostredie. Predpokladaný vplyv sa nedá vyčísliť, nakoľko nie je možné určiť koľko subjektov využije tento inštitút.</w:t>
            </w:r>
          </w:p>
          <w:p w:rsidR="003810AF" w:rsidRDefault="003810AF" w:rsidP="00E46E51">
            <w:pPr>
              <w:jc w:val="both"/>
              <w:rPr>
                <w:lang w:eastAsia="en-US"/>
              </w:rPr>
            </w:pPr>
          </w:p>
          <w:p w:rsidR="003810AF" w:rsidRPr="00D23B04" w:rsidRDefault="003810AF" w:rsidP="003810AF">
            <w:pPr>
              <w:jc w:val="both"/>
            </w:pPr>
            <w:r w:rsidRPr="00D23B04">
              <w:rPr>
                <w:lang w:eastAsia="en-US"/>
              </w:rPr>
              <w:t xml:space="preserve">Ďalej </w:t>
            </w:r>
            <w:r w:rsidR="008E08D5" w:rsidRPr="00D23B04">
              <w:t xml:space="preserve">sa </w:t>
            </w:r>
            <w:r w:rsidRPr="00D23B04">
              <w:t>navrhovaná úprava</w:t>
            </w:r>
            <w:r w:rsidR="008E08D5" w:rsidRPr="00D23B04">
              <w:t xml:space="preserve"> </w:t>
            </w:r>
            <w:r w:rsidR="0058715D">
              <w:t xml:space="preserve">týka </w:t>
            </w:r>
            <w:r w:rsidRPr="00D23B04">
              <w:t>predkladania prehľadu o zrazených a odvedených preddavkoch na daň z príjmov zo závislej činnosti, ktoré zamestnancom vyplatil, o zamestnaneckej prémii, o daňovom bonuse a o daňovom bonuse na zaplatené úroky za uplynulý kalendárny mesiac (ďalej len „prehľad“</w:t>
            </w:r>
            <w:r w:rsidR="008E08D5" w:rsidRPr="00D23B04">
              <w:t>)</w:t>
            </w:r>
            <w:r w:rsidRPr="00D23B04">
              <w:t xml:space="preserve"> dotkne všetkých zamestnávateľov, ktorí sú platitelia dane a majú povinnosť predkladať správcovi dane tento prehľad. </w:t>
            </w:r>
          </w:p>
          <w:p w:rsidR="003810AF" w:rsidRPr="00D23B04" w:rsidRDefault="003810AF" w:rsidP="003810AF">
            <w:pPr>
              <w:jc w:val="both"/>
            </w:pPr>
            <w:r w:rsidRPr="00D23B04">
              <w:t xml:space="preserve">Ak zamestnávateľ, ktorý má povinnosť podať prehľad za kalendárny mesiac a tento nepodá v zákonnej lehote t.j. do konca kalendárneho mesiaca za predchádzajúci kalendárny mesiac, v súlade s navrhovanou úpravou si môže túto povinnosť splniť dodatočne najneskôr však do 5 dní po uplynutí zákonnej lehoty a to bez uloženia sankcie od správcu dane.  </w:t>
            </w:r>
          </w:p>
          <w:p w:rsidR="003810AF" w:rsidRPr="00D23B04" w:rsidRDefault="003810AF" w:rsidP="003810AF">
            <w:r w:rsidRPr="00D23B04">
              <w:t>Počet dotknutých subjektov nie je možné vzhľadom na neexistenciu vhodných dát presne určiť.</w:t>
            </w:r>
          </w:p>
          <w:p w:rsidR="003810AF" w:rsidRPr="00D23B04" w:rsidRDefault="003810AF" w:rsidP="003810AF"/>
          <w:p w:rsidR="003810AF" w:rsidRPr="00D23B04" w:rsidRDefault="003810AF" w:rsidP="003810AF">
            <w:pPr>
              <w:jc w:val="both"/>
            </w:pPr>
            <w:r w:rsidRPr="00D23B04">
              <w:t xml:space="preserve">Zníženie poplatku pri odsúhlasení metódy transferového oceňovania zlepší prístup daňovo spoľahlivých podnikateľských subjektov k tomuto inštitútu, čím sa zväčší právna istota pri transakciách medzi závislými osobami. Zároveň očakávame zvýšenie motivácie daňových subjektov k dobrovoľnému plneniu daňových povinností, keďže zníženie poplatku je podmienené dosiahnutím stupňa vysoko spoľahlivého daňového subjektu. </w:t>
            </w:r>
          </w:p>
          <w:p w:rsidR="003810AF" w:rsidRPr="007D3777" w:rsidRDefault="003810AF" w:rsidP="003810AF">
            <w:pPr>
              <w:jc w:val="both"/>
              <w:rPr>
                <w:b/>
              </w:rPr>
            </w:pPr>
            <w:r w:rsidRPr="00D23B04">
              <w:t xml:space="preserve">Na základe doteraz podaných žiadostí odhadujeme počet subjektov dotknutých týmto opatrením </w:t>
            </w:r>
            <w:r w:rsidRPr="00D23B04">
              <w:br/>
              <w:t xml:space="preserve">na rádovo 10 subjektov ročne. </w:t>
            </w:r>
          </w:p>
        </w:tc>
      </w:tr>
      <w:tr w:rsidR="009F2DFA" w:rsidRPr="00F04CCD" w:rsidTr="007B71A4">
        <w:trPr>
          <w:trHeight w:val="339"/>
        </w:trPr>
        <w:tc>
          <w:tcPr>
            <w:tcW w:w="9212" w:type="dxa"/>
            <w:tcBorders>
              <w:bottom w:val="single" w:sz="4" w:space="0" w:color="auto"/>
            </w:tcBorders>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.2 Vyhodnotenie konzultácií</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rPr>
          <w:trHeight w:val="557"/>
        </w:trPr>
        <w:tc>
          <w:tcPr>
            <w:tcW w:w="9212" w:type="dxa"/>
            <w:tcBorders>
              <w:bottom w:val="single" w:sz="4" w:space="0" w:color="auto"/>
            </w:tcBorders>
          </w:tcPr>
          <w:p w:rsidR="009F2DFA" w:rsidRPr="00F04CCD" w:rsidRDefault="009F2DFA" w:rsidP="007B71A4">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7B71A4">
            <w:pPr>
              <w:rPr>
                <w:i/>
              </w:rPr>
            </w:pPr>
            <w:r w:rsidRPr="00F04CCD">
              <w:rPr>
                <w:i/>
              </w:rPr>
              <w:t>Ako dlho trvali konzultácie?</w:t>
            </w:r>
          </w:p>
          <w:p w:rsidR="009F2DFA" w:rsidRPr="000D2622" w:rsidRDefault="009F2DFA" w:rsidP="007B71A4">
            <w:pPr>
              <w:rPr>
                <w:i/>
              </w:rPr>
            </w:pPr>
            <w:r w:rsidRPr="00F04CCD">
              <w:rPr>
                <w:i/>
              </w:rPr>
              <w:t xml:space="preserve">Uveďte hlavné body konzultácií a výsledky konzultácií. </w:t>
            </w:r>
          </w:p>
        </w:tc>
      </w:tr>
      <w:tr w:rsidR="009F2DFA" w:rsidRPr="00F04CCD" w:rsidTr="007B71A4">
        <w:trPr>
          <w:trHeight w:val="1440"/>
        </w:trPr>
        <w:tc>
          <w:tcPr>
            <w:tcW w:w="9212" w:type="dxa"/>
            <w:tcBorders>
              <w:bottom w:val="single" w:sz="4" w:space="0" w:color="auto"/>
            </w:tcBorders>
          </w:tcPr>
          <w:p w:rsidR="0008491F" w:rsidRPr="00683947" w:rsidRDefault="0008491F" w:rsidP="0008491F">
            <w:pPr>
              <w:jc w:val="both"/>
              <w:rPr>
                <w:b/>
                <w:color w:val="000000"/>
              </w:rPr>
            </w:pPr>
            <w:r w:rsidRPr="00683947">
              <w:rPr>
                <w:b/>
                <w:color w:val="000000"/>
              </w:rPr>
              <w:t>Na konzultácie boli prizvaní:</w:t>
            </w:r>
          </w:p>
          <w:p w:rsidR="00E46E51" w:rsidRPr="00445A09" w:rsidRDefault="00E46E51" w:rsidP="00E46E51">
            <w:pPr>
              <w:jc w:val="both"/>
            </w:pPr>
            <w:r w:rsidRPr="00445A09">
              <w:t>Slovenská komora daňových poradcov</w:t>
            </w:r>
          </w:p>
          <w:p w:rsidR="00E46E51" w:rsidRPr="00445A09" w:rsidRDefault="00E46E51" w:rsidP="00E46E51">
            <w:pPr>
              <w:jc w:val="both"/>
            </w:pPr>
            <w:r w:rsidRPr="00445A09">
              <w:t>Slovenská komora audítorov</w:t>
            </w:r>
          </w:p>
          <w:p w:rsidR="00E46E51" w:rsidRPr="00445A09" w:rsidRDefault="00E46E51" w:rsidP="00E46E51">
            <w:pPr>
              <w:jc w:val="both"/>
            </w:pPr>
            <w:r w:rsidRPr="00445A09">
              <w:t>Centrum lepšej regulácie</w:t>
            </w:r>
          </w:p>
          <w:p w:rsidR="00E46E51" w:rsidRPr="00445A09" w:rsidRDefault="00E46E51" w:rsidP="00E46E51">
            <w:pPr>
              <w:jc w:val="both"/>
            </w:pPr>
            <w:r w:rsidRPr="00445A09">
              <w:t>Americká obchodná komora v SR</w:t>
            </w:r>
          </w:p>
          <w:p w:rsidR="009F2DFA" w:rsidRDefault="00E46E51" w:rsidP="00E46E51">
            <w:pPr>
              <w:jc w:val="both"/>
            </w:pPr>
            <w:r w:rsidRPr="00445A09">
              <w:t>Asociácia zamestnávateľských zväzov a združení SR</w:t>
            </w:r>
          </w:p>
          <w:p w:rsidR="00B81240" w:rsidRDefault="00B81240" w:rsidP="00B81240">
            <w:pPr>
              <w:jc w:val="both"/>
            </w:pPr>
            <w:r>
              <w:t>Združenie miest a obcí Slovenska</w:t>
            </w:r>
          </w:p>
          <w:p w:rsidR="00B81240" w:rsidRDefault="00B81240" w:rsidP="00B81240">
            <w:pPr>
              <w:jc w:val="both"/>
            </w:pPr>
            <w:r>
              <w:t>Asociácia priemyselných zväzov</w:t>
            </w:r>
          </w:p>
          <w:p w:rsidR="00B81240" w:rsidRDefault="00B81240" w:rsidP="00B81240">
            <w:pPr>
              <w:jc w:val="both"/>
            </w:pPr>
            <w:r>
              <w:t>Republiková únia zamestnávateľov</w:t>
            </w:r>
          </w:p>
          <w:p w:rsidR="00B81240" w:rsidRDefault="00B81240" w:rsidP="00B81240">
            <w:pPr>
              <w:jc w:val="both"/>
            </w:pPr>
            <w:r>
              <w:t>Klub 500</w:t>
            </w:r>
          </w:p>
          <w:p w:rsidR="00E46E51" w:rsidRPr="00445A09" w:rsidRDefault="00E46E51" w:rsidP="00E46E51">
            <w:pPr>
              <w:jc w:val="both"/>
            </w:pPr>
          </w:p>
          <w:p w:rsidR="00C669C3" w:rsidRDefault="00C669C3" w:rsidP="00C669C3">
            <w:pPr>
              <w:jc w:val="both"/>
            </w:pPr>
            <w:r>
              <w:t>Nadväzne na Jednotnú metodiku posudzovania vybraných vplyvov sa dňa 16. 07. 2020</w:t>
            </w:r>
            <w:r w:rsidR="00F0550D">
              <w:t xml:space="preserve"> a dňa 29.07.2020</w:t>
            </w:r>
            <w:r>
              <w:t xml:space="preserve"> uskutočnili verejné konzultácie, ktorých predmetom bola novela zákona o správe daní (daňový poriadok) a o zmene a doplnení niektorých zákonov.</w:t>
            </w:r>
          </w:p>
          <w:p w:rsidR="00C669C3" w:rsidRDefault="00C669C3" w:rsidP="00C669C3">
            <w:pPr>
              <w:jc w:val="both"/>
            </w:pPr>
            <w:r>
              <w:t xml:space="preserve">V úvode konzultácií Ministerstvo financií Slovenskej republiky (MF SR) informovalo o zámere vyplývajúcom z programového vyhlásenia, ktorým je vytvorenie efektívnych nástrojov v boji proti daňovým podvodom. MF SR uviedlo, že návrh zákona je momentálne v štádiu rozpracovanosti a pre verejnosť bude prístupný v rámci medzirezortného pripomienkového konania (MPK). MF SR zároveň informovalo, že novela daňového poriadku </w:t>
            </w:r>
            <w:r>
              <w:lastRenderedPageBreak/>
              <w:t>bude predložená do konca roka 2020 do vlády, pričom účinnosť zákona je plánovaná na január 2022.</w:t>
            </w:r>
          </w:p>
          <w:p w:rsidR="00C669C3" w:rsidRDefault="00C669C3" w:rsidP="00C669C3">
            <w:pPr>
              <w:jc w:val="both"/>
            </w:pPr>
            <w:r>
              <w:t>MF SR uviedlo, že verejné konzultácie sa týkajú tém, ktoré boli zverejnené v predbežnej informácii, t. j. index daňovej spoľahlivosti, diskvalifikácia osôb a spoločná daňová kontrola. Následne dalo priestor na vyjadrenie zástupcom subjektov.</w:t>
            </w:r>
          </w:p>
          <w:p w:rsidR="00795867" w:rsidRDefault="00795867" w:rsidP="00C669C3">
            <w:pPr>
              <w:jc w:val="both"/>
            </w:pPr>
          </w:p>
          <w:p w:rsidR="00C669C3" w:rsidRPr="00795867" w:rsidRDefault="00C669C3" w:rsidP="00C669C3">
            <w:pPr>
              <w:jc w:val="both"/>
              <w:rPr>
                <w:b/>
              </w:rPr>
            </w:pPr>
            <w:r w:rsidRPr="00795867">
              <w:rPr>
                <w:b/>
              </w:rPr>
              <w:t>Index daňovej spoľahlivosti</w:t>
            </w:r>
          </w:p>
          <w:p w:rsidR="00C669C3" w:rsidRDefault="00C669C3" w:rsidP="00C669C3">
            <w:pPr>
              <w:jc w:val="both"/>
            </w:pPr>
            <w:r>
              <w:t>SKDP</w:t>
            </w:r>
          </w:p>
          <w:p w:rsidR="00C669C3" w:rsidRDefault="00C669C3" w:rsidP="00C669C3">
            <w:pPr>
              <w:jc w:val="both"/>
            </w:pPr>
            <w:r>
              <w:t xml:space="preserve">Zástupcovia SKDP požadovali ozrejmiť ako bude verejný index fungovať, nakoľko v súčasnosti daňové subjekty nevedia na základe akých kritérií sú hodnotení a čo majú zlepšiť aby mali dobré hodnotenie. Zástupcovia SKPD navrhovali zavedenie mechanizmu závažnosti, teda aby bolo napr. nezaplatenie dane prísnejšie posudzované ako nesplnenie nepodstatnej administratívnej povinnosti. Upozornili na § 3 ods. 9 daňového poriadku, aby pri prideľovaní  indexu a pri jeho následnom využívaní v rámci prideľovania zvýhodneného režimu nevznikali v skutkovo zhodných prípadoch neodôvodnené rozdiely. V súvislosti s ustanovením § 3 ods. 9 daňového poriadku zástupcovia SKDP taktiež upozornili, že odňatie prístupu k zvýhodnenému režimu, ktorý sa bude aplikovať pre spoľahlivé subjekty môže byť v niektorých prípadoch považované za formu sankcie (v niektorých prípadoch aj neadekvátne vysokej či závažnej v porovnaní s porušenou povinnosťou; taktiež za rovnaké pochybenie by nemala byť sankcia uložená dvakrát). </w:t>
            </w:r>
          </w:p>
          <w:p w:rsidR="00C669C3" w:rsidRDefault="00C669C3" w:rsidP="00C669C3">
            <w:pPr>
              <w:jc w:val="both"/>
            </w:pPr>
            <w:r>
              <w:t xml:space="preserve">Taktiež navrhli, aby v prípade, keď daňový subjekt nesúhlasí so závermi správcu dane a aktívne sa bráni, napr.   podaním správnej žaloby, nemala táto skutočnosť vplyv na index daňovej spoľahlivosti. </w:t>
            </w:r>
          </w:p>
          <w:p w:rsidR="00C669C3" w:rsidRDefault="00C669C3" w:rsidP="00C669C3">
            <w:pPr>
              <w:jc w:val="both"/>
            </w:pPr>
            <w:r>
              <w:t xml:space="preserve">Otázky boli aj k zadefinovaniu kritérií a benefitov, či tieto budú súčasťou zákona alebo vyhlášky a či bude možné vstupovať do ich prípravy. SKDP navrhlo, že jedným z bodov zlepšujúcich hodnotenie subjektov by mohlo byť zastupovanie subjektu daňovým poradcom.  </w:t>
            </w:r>
          </w:p>
          <w:p w:rsidR="00C669C3" w:rsidRDefault="00C669C3" w:rsidP="00C669C3">
            <w:pPr>
              <w:jc w:val="both"/>
            </w:pPr>
            <w:r>
              <w:t>AZZZ</w:t>
            </w:r>
          </w:p>
          <w:p w:rsidR="00C669C3" w:rsidRDefault="00C669C3" w:rsidP="00C669C3">
            <w:pPr>
              <w:jc w:val="both"/>
            </w:pPr>
            <w:r>
              <w:t>Zástupca AZZZ sa taktiež priklonil k stanovisku SKDP ohľadom zavedenia individuálneho mechanizmu závažnosti.</w:t>
            </w:r>
          </w:p>
          <w:p w:rsidR="00C669C3" w:rsidRDefault="00C669C3" w:rsidP="00C669C3">
            <w:pPr>
              <w:jc w:val="both"/>
            </w:pPr>
            <w:r>
              <w:t xml:space="preserve">Ďalej bola položená otázka, či budú hodnotené len určité segmenty daňových subjektov, napr. len tie ktoré nevyužívajú paušálne výdavky. AZZZ sa prikláňa k plošnému hodnoteniu všetkých subjektov, nakoľko aj pre daňové subjekty s paušálnymi výdavkami to môže byť výhoda, keď je zverejnený v zozname ako spoľahlivý daňový subjekt. </w:t>
            </w:r>
          </w:p>
          <w:p w:rsidR="00C669C3" w:rsidRDefault="00C669C3" w:rsidP="00C669C3">
            <w:pPr>
              <w:jc w:val="both"/>
            </w:pPr>
            <w:r>
              <w:t>AMCHAM</w:t>
            </w:r>
          </w:p>
          <w:p w:rsidR="00C669C3" w:rsidRDefault="00C669C3" w:rsidP="00C669C3">
            <w:pPr>
              <w:jc w:val="both"/>
            </w:pPr>
            <w:r>
              <w:t>Zástupkyňa AMCHAM položila otázku, či súčasný index bude nadväzovať na predchádzajúce štúdie vykonávané pred niekoľkými rokmi. Ďalej či sa bude vychádzať len z kritérií, ktoré má FR SR a čo je vlastne výsledkom takéhoto indexu. Taktiež bolo uvedené, že majú záujem na spolupráci pri tvorbe kritérií a benefitov. Ďalšia otázka bola, či verejný index bude prepojený aj navonok, či bude napr. vstupovať ako podmienka do verejného obstarávania.</w:t>
            </w:r>
          </w:p>
          <w:p w:rsidR="00C669C3" w:rsidRDefault="00C669C3" w:rsidP="00C669C3">
            <w:pPr>
              <w:jc w:val="both"/>
            </w:pPr>
            <w:r>
              <w:t>KOMORA AUDÍTOROV</w:t>
            </w:r>
          </w:p>
          <w:p w:rsidR="00C669C3" w:rsidRDefault="00C669C3" w:rsidP="00C669C3">
            <w:pPr>
              <w:jc w:val="both"/>
            </w:pPr>
            <w:r>
              <w:t xml:space="preserve">Zástupkyňa Komory audítorov položila otázku v akom časovom horizonte sa budú daňové subjekty hodnotiť. Z dôvodu, že už nebude povinne vykonávaný audit malých a stredných podnikov, navrhla využiť voľné kapacity audítorov, s tým, že daňový subjekt by mohol mať lepšie hodnotenie, ak by mal potvrdenie audítora, že má účtovníctvo v súlade so zákonom. </w:t>
            </w:r>
          </w:p>
          <w:p w:rsidR="00C669C3" w:rsidRDefault="00C669C3" w:rsidP="00C669C3">
            <w:pPr>
              <w:jc w:val="both"/>
            </w:pPr>
            <w:r>
              <w:t>Zástupkyňa audítorov navrhla zamerať sa na oblasť účtovníctva a zamedziť možnosť viesť daňovým subjektom s obratom 10 mil. eur jednoduché účtovníctvo. Vyriešenie tohto problému by výrazne ovplyvnilo štátny rozpočet.</w:t>
            </w:r>
          </w:p>
          <w:p w:rsidR="00795867" w:rsidRDefault="00795867" w:rsidP="00795867">
            <w:pPr>
              <w:jc w:val="both"/>
            </w:pPr>
            <w:r>
              <w:t>APZ</w:t>
            </w:r>
          </w:p>
          <w:p w:rsidR="00795867" w:rsidRDefault="00795867" w:rsidP="00795867">
            <w:pPr>
              <w:jc w:val="both"/>
            </w:pPr>
            <w:r>
              <w:t>Zástupca APZ privítal myšlienku verejného indexu daňovej spoľahlivosti, zdôraznil však potrebu vytvorenia jeho transparentných kritérií. Daňový subjekt by mal mať možnosť oboznámiť sa s dôvodmi, pre ktoré mu bol pridelený index, aby mal možnosť zlepšiť svoje hodnotenie. Kritéria prideľovania indexu by mali byť zverejnené na webovom sídle finančnej správy. Zástupca APZ sa spýtal, či sa uvažuje o prepojení indexu daňovej spoľahlivosti so simultánnymi kontrolami, napríklad v prípade najvyššieho ratingu by sa mohlo upustiť od vykonania takejto kontroly.</w:t>
            </w:r>
          </w:p>
          <w:p w:rsidR="00795867" w:rsidRDefault="00795867" w:rsidP="00795867">
            <w:pPr>
              <w:jc w:val="both"/>
            </w:pPr>
            <w:r>
              <w:t>RÚZ</w:t>
            </w:r>
          </w:p>
          <w:p w:rsidR="00795867" w:rsidRDefault="00795867" w:rsidP="00795867">
            <w:pPr>
              <w:jc w:val="both"/>
            </w:pPr>
            <w:r>
              <w:t>Zástupcovia RÚZ zastávajú názor, že správca dane má postupovať voči daňovému subjektu, tak ústretovo, ako sa len dá. Ak sa daňový subjekt nespráva v súlade so zákonom má byť sankcionovaný, avšak nesmie ísť o ľubovôľu správcu dane. Každá sankcia má byť ustanovená zákonom. Benefity poskytované daňovému subjektu musia byť tiež zákonom ustanovené. Oznámenie o indexe daňovej spoľahlivosti by malo byť patrične odôvodnené, tak aby daňový subjekt vedel ktoré kritérium porušil. Pokiaľ nebudú kritériá prideľovania indexu ustanovené zákonom vzniká obava, že sa budú často meniť.</w:t>
            </w:r>
          </w:p>
          <w:p w:rsidR="00795867" w:rsidRDefault="00795867" w:rsidP="00795867">
            <w:pPr>
              <w:jc w:val="both"/>
            </w:pPr>
            <w:r>
              <w:t>KLUB 500</w:t>
            </w:r>
          </w:p>
          <w:p w:rsidR="00795867" w:rsidRDefault="00795867" w:rsidP="00795867">
            <w:pPr>
              <w:jc w:val="both"/>
            </w:pPr>
            <w:r>
              <w:t>Zástupcovia zdôraznili, že by bolo vhodné ustanoviť kritériá vyhodnoť prideľovania indexu priamo v zákone.</w:t>
            </w:r>
          </w:p>
          <w:p w:rsidR="00C669C3" w:rsidRDefault="00C669C3" w:rsidP="00C669C3">
            <w:pPr>
              <w:jc w:val="both"/>
            </w:pPr>
          </w:p>
          <w:p w:rsidR="00C669C3" w:rsidRDefault="00C669C3" w:rsidP="00C669C3">
            <w:pPr>
              <w:jc w:val="both"/>
            </w:pPr>
            <w:r>
              <w:lastRenderedPageBreak/>
              <w:t>MF SR</w:t>
            </w:r>
          </w:p>
          <w:p w:rsidR="00C669C3" w:rsidRDefault="00C669C3" w:rsidP="00C669C3">
            <w:pPr>
              <w:jc w:val="both"/>
            </w:pPr>
            <w:r>
              <w:t>Cieľom úpravy indexu je vytvoriť efektívny nástroj motivujúci k dobrovoľnému plneniu daňových povinností. Daňové subjekty, ktoré sa budú zodpovedne správať k svojim daňovým povinnostiam (napr. včasné podávanie daňových priznaní a platenie dane) budú odmeňované benefitmi. Naopak tí podnikatelia, ktorí nebudú hodnotení ako spoľahliví, budú motivovaní k zodpovednejšiemu prístupu.</w:t>
            </w:r>
          </w:p>
          <w:p w:rsidR="00C669C3" w:rsidRDefault="00C669C3" w:rsidP="00C669C3">
            <w:pPr>
              <w:jc w:val="both"/>
            </w:pPr>
            <w:r>
              <w:t>Mechanizmus spôsobu vyhotovovania indexu daňovej spoľahlivosti daňových subjektov bude finančné riaditeľstvo zverejňovať na svojom webovom sídle. Daňové subjekty sa tak môžu oboznámiť s tým, kde majú ešte nedostatky, aby mohli zlepšiť svoje hodnotenie.</w:t>
            </w:r>
          </w:p>
          <w:p w:rsidR="00C669C3" w:rsidRDefault="00C669C3" w:rsidP="00C669C3">
            <w:pPr>
              <w:jc w:val="both"/>
            </w:pPr>
            <w:r>
              <w:t>Aby každý daňový subjekt vedel, ako si plní svoje povinnosti bude sa zoznam daňových subjektov s ich stupňom spoľahlivosti zverejňovať na webovom sídle finančnej správy. Index daňovej spoľahlivosti sa plánuje zasielať daňovým subjektom oznámením, pričom daňový subjekt bude mať možnosť obrany, a to podaním námietky. Zatiaľ sa navrhuje index prehodnocovať každoročne. V prípade, ak by bola podaná správna žaloba na súd, takýto daňový subjekt by nebol v zozname zverejnený až do právoplatného rozhodnutia súdu.</w:t>
            </w:r>
          </w:p>
          <w:p w:rsidR="00C669C3" w:rsidRDefault="00C669C3" w:rsidP="00C669C3">
            <w:pPr>
              <w:jc w:val="both"/>
            </w:pPr>
            <w:r>
              <w:t>Čo sa týka nastavenia kritérií a benefitov je potrebné počkať na MPK, kde by už boli zverejnené konkrétnejšie návrhy. Aj keď nebudú súčasťou zákona, môžu byť uvedené v dôvodovej správe, prípadne sa bude iniciovať pracovné stretnutie so zástupcami Finančného riaditeľstva SR.</w:t>
            </w:r>
          </w:p>
          <w:p w:rsidR="00C669C3" w:rsidRDefault="00C669C3" w:rsidP="00C669C3">
            <w:pPr>
              <w:jc w:val="both"/>
            </w:pPr>
            <w:r>
              <w:t>O tom,  aby index daňového subjektu vstupoval napr. do obchodných vzťahov sa momentálne neuvažuje.</w:t>
            </w:r>
          </w:p>
          <w:p w:rsidR="00795867" w:rsidRDefault="00795867" w:rsidP="00C669C3">
            <w:pPr>
              <w:jc w:val="both"/>
            </w:pPr>
          </w:p>
          <w:p w:rsidR="00C669C3" w:rsidRPr="00795867" w:rsidRDefault="00C669C3" w:rsidP="00C669C3">
            <w:pPr>
              <w:jc w:val="both"/>
              <w:rPr>
                <w:b/>
              </w:rPr>
            </w:pPr>
            <w:r w:rsidRPr="00795867">
              <w:rPr>
                <w:b/>
              </w:rPr>
              <w:t>Diskvalifikácia osôb</w:t>
            </w:r>
          </w:p>
          <w:p w:rsidR="00C669C3" w:rsidRDefault="00C669C3" w:rsidP="00C669C3">
            <w:pPr>
              <w:jc w:val="both"/>
            </w:pPr>
            <w:r>
              <w:t>SKDP</w:t>
            </w:r>
          </w:p>
          <w:p w:rsidR="00C669C3" w:rsidRDefault="00C669C3" w:rsidP="00C669C3">
            <w:pPr>
              <w:jc w:val="both"/>
            </w:pPr>
            <w:r>
              <w:t xml:space="preserve">Zástupcovia SKDP upozornili, že tento návrh je výrazným zásahom do práv fyzických osôb. Znamenalo by to výmaz fyzickej osoby ako štatutára zo všetkých spoločností. Opatrenie má význam najmä pri nekomunikujúcich daňových subjektoch. Je potrebné nastaviť register tak, aby daňový subjekt mal možnosť svoje konanie alebo nekonanie vysvetliť a aby správca dane prihliadal na objektívne skutočnosti dôvodov konania alebo nekonania štatutára (prípady ak má spoločnosť viacerých štatutárov a iba niektorý z nich blokuje rozhodovanie ostatných, dlhodobá pracovná neschopnosť alebo dlhodobý pobyt štatutára v zahraničí a pod.). Taktiež je potrebné zabezpečiť, aby zápis štatutára do registra diskvalifikácií nebol možný pokiaľ v danej veci prebieha odvolacie konanie alebo konanie na súde, t.j. spoločnosť svoj postup vo vzťahu k správcovi dane bráni i súdnou cestou. </w:t>
            </w:r>
          </w:p>
          <w:p w:rsidR="00C669C3" w:rsidRDefault="00C669C3" w:rsidP="00C669C3">
            <w:pPr>
              <w:jc w:val="both"/>
            </w:pPr>
            <w:r>
              <w:t>AZZZ</w:t>
            </w:r>
          </w:p>
          <w:p w:rsidR="00C669C3" w:rsidRDefault="00C669C3" w:rsidP="00C669C3">
            <w:pPr>
              <w:jc w:val="both"/>
            </w:pPr>
            <w:r>
              <w:t>Zástupca AZZZ položil otázku, či takáto diskvalifikovaná osoba môže začať podnikať ako živnostník. AZZZ upozornilo na nekalé praktiky, nakoľko povolenie živnosti je platné v rámci členských štátov EÚ.</w:t>
            </w:r>
          </w:p>
          <w:p w:rsidR="00C669C3" w:rsidRDefault="00C669C3" w:rsidP="00C669C3">
            <w:pPr>
              <w:jc w:val="both"/>
            </w:pPr>
            <w:r>
              <w:t>KOMORA AUDÍTOROV</w:t>
            </w:r>
          </w:p>
          <w:p w:rsidR="00C669C3" w:rsidRDefault="00C669C3" w:rsidP="00C669C3">
            <w:pPr>
              <w:jc w:val="both"/>
            </w:pPr>
            <w:r>
              <w:t>Zástupkyňu komory audítorov zaujímalo,  či takéto opatrenie bude mať vplyv na obchodných partnerov.</w:t>
            </w:r>
          </w:p>
          <w:p w:rsidR="001F7637" w:rsidRDefault="001F7637" w:rsidP="001F7637">
            <w:pPr>
              <w:jc w:val="both"/>
            </w:pPr>
            <w:r>
              <w:t>APZ</w:t>
            </w:r>
          </w:p>
          <w:p w:rsidR="001F7637" w:rsidRDefault="001F7637" w:rsidP="001F7637">
            <w:pPr>
              <w:jc w:val="both"/>
            </w:pPr>
            <w:r>
              <w:t xml:space="preserve">Zástupca APZ vyzdvihol potrebu ustanovenia podmienok, za ktorých má byť fyzická osoba diskvalifikovaná, priamo v zákone. </w:t>
            </w:r>
          </w:p>
          <w:p w:rsidR="001F7637" w:rsidRDefault="001F7637" w:rsidP="001F7637">
            <w:pPr>
              <w:jc w:val="both"/>
            </w:pPr>
            <w:r>
              <w:t>RÚZ</w:t>
            </w:r>
          </w:p>
          <w:p w:rsidR="001F7637" w:rsidRDefault="001F7637" w:rsidP="001F7637">
            <w:pPr>
              <w:jc w:val="both"/>
            </w:pPr>
            <w:r>
              <w:t>Zástupcovia RÚZ chápu boj proti daňovým únikom a bielym koňom. Diskvalifikácia fyzických osôb je však závažným zásahom do práv a mal by o nej rozhodovať súd a nie správca dane. Je dôležité zvoliť citlivé nastavenie tohto inštitútu.</w:t>
            </w:r>
          </w:p>
          <w:p w:rsidR="001F7637" w:rsidRDefault="001F7637" w:rsidP="00C669C3">
            <w:pPr>
              <w:jc w:val="both"/>
            </w:pPr>
          </w:p>
          <w:p w:rsidR="00C669C3" w:rsidRDefault="00C669C3" w:rsidP="00C669C3">
            <w:pPr>
              <w:jc w:val="both"/>
            </w:pPr>
            <w:r>
              <w:t>MF SR</w:t>
            </w:r>
          </w:p>
          <w:p w:rsidR="00C669C3" w:rsidRDefault="00C669C3" w:rsidP="00C669C3">
            <w:pPr>
              <w:jc w:val="both"/>
            </w:pPr>
            <w:r>
              <w:t>Register diskvalifikácií je už existujúci, verejne prístupný register, ktorý je súčasťou centrálneho informačného systému súdnictva. Zavedením rozhodnutia o vylúčení do daňového poriadku pristupujeme k tomuto už zavedenému systému ako prvé orgány štátnej správy.</w:t>
            </w:r>
          </w:p>
          <w:p w:rsidR="00C669C3" w:rsidRDefault="00C669C3" w:rsidP="00C669C3">
            <w:pPr>
              <w:jc w:val="both"/>
            </w:pPr>
            <w:r>
              <w:t xml:space="preserve">Naším zámerom je, aby mal správca dane možnosť rozhodnúť o vylúčení fyzickej osoby, ak sa naplnia dôvody, napr. ak daňový subjekt – právnická osoba nepodá daňové priznanie na výzvu, a to ani opakovane. </w:t>
            </w:r>
          </w:p>
          <w:p w:rsidR="00C669C3" w:rsidRDefault="00C669C3" w:rsidP="00C669C3">
            <w:pPr>
              <w:jc w:val="both"/>
            </w:pPr>
            <w:r>
              <w:t>Týmto rozhodnutím bude fyzická osoba vylúčená z možnosti byť najmä členom štatutárneho orgánu, členom dozorného orgánu, alebo prokuristom vo všetkých obchodných spoločnostiach a družstvách.</w:t>
            </w:r>
          </w:p>
          <w:p w:rsidR="00C669C3" w:rsidRDefault="00C669C3" w:rsidP="00C669C3">
            <w:pPr>
              <w:jc w:val="both"/>
            </w:pPr>
            <w:r>
              <w:t>Rozhodnutie o diskvalifikácii je preskúmateľné súdom, a keďže registrový súd vykoná zápis do zoznamu diskvalifikovaných osôb až na základe právoplatného rozhodnutia, vylúčená fyzická osoba má možnosť brániť sa.</w:t>
            </w:r>
          </w:p>
          <w:p w:rsidR="00C669C3" w:rsidRDefault="00C669C3" w:rsidP="00C669C3">
            <w:pPr>
              <w:jc w:val="both"/>
            </w:pPr>
            <w:r>
              <w:t xml:space="preserve">Takáto diskvalifikovaná osoba bude evidovaná vo verejnom registri, v ktorom si daňové subjekty môžu kontrolovať dôveryhodnosť svojich potenciálnych obchodných partnerov. Cieľom tohto opatrenia je okrem boja proti daňovým podvodom aj motivácia daňových subjektov efektívne pristupovať k plneniu svojich daňových povinností, nakoľko budú podliehať aj „kontrole zo strany verejnosti“. </w:t>
            </w:r>
          </w:p>
          <w:p w:rsidR="00C669C3" w:rsidRDefault="00C669C3" w:rsidP="00C669C3">
            <w:pPr>
              <w:jc w:val="both"/>
            </w:pPr>
            <w:r>
              <w:t>Zámerom MF SR nie je likvidácia fungujúcich obchodných spoločností, ale zbavenie sa takých spoločností, ktoré sú nekomunikujúce a ktoré si opakovane neplnia zákonom ustanovené povinnosti.</w:t>
            </w:r>
          </w:p>
          <w:p w:rsidR="00C669C3" w:rsidRDefault="00C669C3" w:rsidP="00C669C3">
            <w:pPr>
              <w:jc w:val="both"/>
            </w:pPr>
            <w:r>
              <w:t xml:space="preserve">Čo sa týka možnosti založenia živnosti, ak je fyzická osoba v registri diskvalifikovaných osôb, takejto osobe nie </w:t>
            </w:r>
            <w:r>
              <w:lastRenderedPageBreak/>
              <w:t>je zakázané založenie živnosti.</w:t>
            </w:r>
          </w:p>
          <w:p w:rsidR="001F7637" w:rsidRDefault="001F7637" w:rsidP="00C669C3">
            <w:pPr>
              <w:jc w:val="both"/>
              <w:rPr>
                <w:b/>
              </w:rPr>
            </w:pPr>
          </w:p>
          <w:p w:rsidR="00C669C3" w:rsidRPr="001F7637" w:rsidRDefault="00C669C3" w:rsidP="00C669C3">
            <w:pPr>
              <w:jc w:val="both"/>
              <w:rPr>
                <w:b/>
              </w:rPr>
            </w:pPr>
            <w:r w:rsidRPr="001F7637">
              <w:rPr>
                <w:b/>
              </w:rPr>
              <w:t>Spoločná daňová kontrola</w:t>
            </w:r>
          </w:p>
          <w:p w:rsidR="00C669C3" w:rsidRDefault="00C669C3" w:rsidP="00C669C3">
            <w:pPr>
              <w:jc w:val="both"/>
            </w:pPr>
            <w:r>
              <w:t>SKDP</w:t>
            </w:r>
          </w:p>
          <w:p w:rsidR="00C669C3" w:rsidRDefault="00C669C3" w:rsidP="00C669C3">
            <w:pPr>
              <w:jc w:val="both"/>
            </w:pPr>
            <w:r>
              <w:t xml:space="preserve">Zástupcovia SKDP namietali, že pri vykonávaní spoločných kontrol by dochádzalo k porušeniu povinnosti zachovávať daňové alebo aj obchodné tajomstvo, kde by sa daňové subjekty medzi sebou dozvedeli o dodávateľsko-obchodných vzťahoch. V súčasnosti sa daňové kontroly zneužívajú v konkurenčnom boji, preto je potrebné limitovať zásahy do daňového tajomstva. Zástupcovia SKDP uviedli požiadavku, aby sa napr. nezverejňovali cenové údaje prípadne určité nie nevyhnutné informácie, aby bola možnosť označiť obchodné tajomstvo. Zástupcovia SKDP taktiež navrhli aby sa inštitút spoločnej daňovej kontroly aplikoval iba pri podozrení z podvodného konania v dodávateľsko-odberateľskom reťazci. </w:t>
            </w:r>
          </w:p>
          <w:p w:rsidR="00C669C3" w:rsidRDefault="00C669C3" w:rsidP="00C669C3">
            <w:pPr>
              <w:jc w:val="both"/>
            </w:pPr>
            <w:r>
              <w:t xml:space="preserve">Zástupcovia SKDP konštatovali, že  daňové subjekty v súčasnosti nevedia ako upozorniť na daňový subjekt, o ktorom majú podozrenie na podvodné správanie. Uviedli, že takýto inštitút by mohol pomôcť pri vykonávaní spoločnej kontroly, zároveň ale upozornili že by mohlo dochádzať aj k  zneužitiu tohto inštitútu v prípade tzv. spolupracujúceho daňového subjektu, ak by mal  pred správcom dane zvýhodnené postavenie. </w:t>
            </w:r>
          </w:p>
          <w:p w:rsidR="00C669C3" w:rsidRDefault="00C669C3" w:rsidP="00C669C3">
            <w:pPr>
              <w:jc w:val="both"/>
            </w:pPr>
            <w:r>
              <w:t xml:space="preserve">Ďalšou problematickou oblasťou z praxe bolo vykonávanie kontrol. Zástupcovia SKDP upozornili, že v súčasnosti chýba inštitút namietania procesných pochybení už počas daňovej kontroly. Bolo by vhodné odstraňovať procesné pochybenia už počas daňovej kontroly, aby sa takýmito vadami nemuseli následne zaoberať súdy. </w:t>
            </w:r>
          </w:p>
          <w:p w:rsidR="001F7637" w:rsidRDefault="001F7637" w:rsidP="00C669C3">
            <w:pPr>
              <w:jc w:val="both"/>
            </w:pPr>
          </w:p>
          <w:p w:rsidR="00C669C3" w:rsidRDefault="00C669C3" w:rsidP="00C669C3">
            <w:pPr>
              <w:jc w:val="both"/>
            </w:pPr>
            <w:r>
              <w:t>AMCHAM</w:t>
            </w:r>
          </w:p>
          <w:p w:rsidR="00C669C3" w:rsidRDefault="00C669C3" w:rsidP="00C669C3">
            <w:pPr>
              <w:jc w:val="both"/>
            </w:pPr>
            <w:r>
              <w:t>Zástupkyňa AMCHAM sa taktiež pripojila k upozorneniam SKDP ohľadom výkonu daňových kontrol v súčasnosti.</w:t>
            </w:r>
          </w:p>
          <w:p w:rsidR="001F7637" w:rsidRDefault="001F7637" w:rsidP="001F7637">
            <w:pPr>
              <w:jc w:val="both"/>
            </w:pPr>
            <w:r>
              <w:t>APZ</w:t>
            </w:r>
          </w:p>
          <w:p w:rsidR="001F7637" w:rsidRDefault="001F7637" w:rsidP="001F7637">
            <w:pPr>
              <w:jc w:val="both"/>
            </w:pPr>
            <w:r>
              <w:t xml:space="preserve">Zástupca APZ zdôraznil nevyhnutnosť citlivého nastavenia spoločných daňových kontrol, tak aby neboli spoločnosti s veľkým počtom dodávateľov/odberateľov postihnuté len na základe toho, že sa v takomto reťazci objavili. </w:t>
            </w:r>
          </w:p>
          <w:p w:rsidR="001F7637" w:rsidRDefault="001F7637" w:rsidP="001F7637">
            <w:pPr>
              <w:jc w:val="both"/>
            </w:pPr>
            <w:r>
              <w:t>RÚZ</w:t>
            </w:r>
          </w:p>
          <w:p w:rsidR="001F7637" w:rsidRDefault="001F7637" w:rsidP="001F7637">
            <w:pPr>
              <w:jc w:val="both"/>
            </w:pPr>
            <w:r>
              <w:t>Zástupcovia RÚZ považujú zavedenie spoločnej daňovej kontroly za nadbytočný inštitút. Správcovia dane disponujú nástrojmi, ktorými môžu aj dnes vykonávať kontrolu v reťazcoch aj napriek tomu, že sú tieto postupy ťažkopádnejšie. Zavedením spoločnej daňovej kontroly vznikne priestor pre väčšie komplikácie počas daňovej kontroly. Môže prísť k problémovým situáciám ako napríklad v prípade, ak si jednotlivé daňové subjekty budú chcieť zvoliť vlastnú procesnú taktiku. Daňovým subjektom sa môže výrazne zhoršiť ich podnikanie v prípade, ak si bude napr. banka vyžadovať potvrdenie o tom, že neprebieha daňové konanie. Zástupcovia RÚZ navrhujú efektívnejšie využívať už existujúce inštitúty.</w:t>
            </w:r>
          </w:p>
          <w:p w:rsidR="00C669C3" w:rsidRDefault="00C669C3" w:rsidP="00C669C3">
            <w:pPr>
              <w:jc w:val="both"/>
            </w:pPr>
            <w:r>
              <w:t>MF SR</w:t>
            </w:r>
          </w:p>
          <w:p w:rsidR="00C669C3" w:rsidRDefault="00C669C3" w:rsidP="00C669C3">
            <w:pPr>
              <w:jc w:val="both"/>
            </w:pPr>
            <w:r>
              <w:t>Spoločná daňová kontrola sa bude vykonávať len vo vzťahu spoločnej transakcie alebo niekoľkých spoločných transakcií vzájomne prepojených daňových subjektov. Čo sa týka daňového tajomstva, toto bude prelomené v rozsahu zistení v spoločnej daňovej kontrole. Ďalšie skutočnosti, ktoré sa nebudú týkať spoločných transakcií sa budú môcť preveriť „klasickou“ daňovou kontrolou.</w:t>
            </w:r>
          </w:p>
          <w:p w:rsidR="00C669C3" w:rsidRDefault="00C669C3" w:rsidP="00C669C3">
            <w:pPr>
              <w:jc w:val="both"/>
            </w:pPr>
            <w:r>
              <w:t>MF SR zdôraznilo, že proces nastavenia spoločnej kontroly bude vychádzať z dnešnej praxe a potrieb finančného riaditeľstva, teda konkrétnejší návrh ustanovenia bude zverejnený v MPK.</w:t>
            </w:r>
          </w:p>
          <w:p w:rsidR="00C669C3" w:rsidRDefault="00C669C3" w:rsidP="00C669C3">
            <w:pPr>
              <w:jc w:val="both"/>
            </w:pPr>
            <w:r>
              <w:t>Záver</w:t>
            </w:r>
          </w:p>
          <w:p w:rsidR="00C669C3" w:rsidRDefault="00C669C3" w:rsidP="00C669C3">
            <w:pPr>
              <w:jc w:val="both"/>
            </w:pPr>
            <w:r>
              <w:t>Centrum lepšej regulácie</w:t>
            </w:r>
          </w:p>
          <w:p w:rsidR="00C669C3" w:rsidRDefault="00C669C3" w:rsidP="00C669C3">
            <w:pPr>
              <w:jc w:val="both"/>
            </w:pPr>
            <w:r>
              <w:t xml:space="preserve">Zástupkyne Centra lepšej regulácie na záver požiadali o posúdenie ich administratívnych návrhov, ktoré sa netýkajú uvedených tém, ale išlo by o návrhy na zlepšenie podnikateľského prostredia. Tieto návrhy zašlú </w:t>
            </w:r>
          </w:p>
          <w:p w:rsidR="00C669C3" w:rsidRDefault="00C669C3" w:rsidP="00C669C3">
            <w:pPr>
              <w:jc w:val="both"/>
            </w:pPr>
            <w:r>
              <w:t>e-mailom.</w:t>
            </w:r>
          </w:p>
          <w:p w:rsidR="00E46E51" w:rsidRDefault="00C669C3" w:rsidP="00C669C3">
            <w:pPr>
              <w:jc w:val="both"/>
            </w:pPr>
            <w:r>
              <w:t>MF SR uzavrelo konzultácie s tým, že návrh zákona je v prípravnej fáze a podrobnejšie znenie bude zverejnené v MPK. MF SR poďakovalo zástupcom subjektov za účasť, konštruktívnu diskusiu a podnetné informácie.</w:t>
            </w:r>
          </w:p>
          <w:p w:rsidR="003810AF" w:rsidRDefault="003810AF" w:rsidP="00C669C3">
            <w:pPr>
              <w:jc w:val="both"/>
            </w:pPr>
          </w:p>
          <w:p w:rsidR="003810AF" w:rsidRPr="00B05347" w:rsidRDefault="003810AF" w:rsidP="007F00FB">
            <w:pPr>
              <w:jc w:val="both"/>
            </w:pPr>
            <w:r w:rsidRPr="00B05347">
              <w:t xml:space="preserve">V súvislosti s právnou úpravou </w:t>
            </w:r>
            <w:r w:rsidR="007F00FB">
              <w:t xml:space="preserve">zákona o </w:t>
            </w:r>
            <w:r w:rsidRPr="00B05347">
              <w:t>dan</w:t>
            </w:r>
            <w:r w:rsidR="007F00FB">
              <w:t>i</w:t>
            </w:r>
            <w:r w:rsidRPr="00B05347">
              <w:t xml:space="preserve"> z príjmov neboli konzultácie vykonané.</w:t>
            </w: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lastRenderedPageBreak/>
              <w:t>3</w:t>
            </w:r>
            <w:r w:rsidR="009F2DFA" w:rsidRPr="00042C66">
              <w:rPr>
                <w:b/>
                <w:sz w:val="24"/>
              </w:rPr>
              <w:t>.3 Náklady regulácie</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2B1108" w:rsidP="007B71A4">
            <w:pPr>
              <w:rPr>
                <w:b/>
                <w:i/>
              </w:rPr>
            </w:pPr>
            <w:r>
              <w:rPr>
                <w:b/>
                <w:i/>
              </w:rPr>
              <w:t>3</w:t>
            </w:r>
            <w:r w:rsidR="009F2DFA" w:rsidRPr="00F04CCD">
              <w:rPr>
                <w:b/>
                <w:i/>
              </w:rPr>
              <w:t>.3.1 Priame finančné náklady</w:t>
            </w:r>
          </w:p>
          <w:p w:rsidR="009F2DFA" w:rsidRPr="00F04CCD" w:rsidRDefault="009F2DFA" w:rsidP="007B71A4">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7B71A4">
        <w:tc>
          <w:tcPr>
            <w:tcW w:w="9212" w:type="dxa"/>
            <w:tcBorders>
              <w:bottom w:val="single" w:sz="4" w:space="0" w:color="auto"/>
            </w:tcBorders>
          </w:tcPr>
          <w:p w:rsidR="00614C87" w:rsidRPr="00B05347" w:rsidRDefault="00CA530C" w:rsidP="007B71A4">
            <w:r w:rsidRPr="00B05347">
              <w:t>Návrhom nedochádza k zvýšeniu priamych finančných nákladov.</w:t>
            </w:r>
          </w:p>
          <w:p w:rsidR="008A26CC" w:rsidRDefault="008A26CC" w:rsidP="008A26CC">
            <w:pPr>
              <w:jc w:val="both"/>
              <w:rPr>
                <w:bCs/>
                <w:iCs/>
                <w:color w:val="000000"/>
              </w:rPr>
            </w:pPr>
          </w:p>
          <w:p w:rsidR="008A26CC" w:rsidRPr="008A26CC" w:rsidRDefault="008A26CC" w:rsidP="008A26CC">
            <w:pPr>
              <w:jc w:val="both"/>
              <w:rPr>
                <w:bCs/>
                <w:iCs/>
                <w:color w:val="000000"/>
              </w:rPr>
            </w:pPr>
            <w:r w:rsidRPr="008A26CC">
              <w:rPr>
                <w:bCs/>
                <w:iCs/>
                <w:color w:val="000000"/>
              </w:rPr>
              <w:t>Navrhuje sa znížiť poplatok za záväzné stanovisko na fixnú výšku 1 000 €, pričom v súčasnosti minimálna cena predstavuje 2000 € - 3000 €, čo v tomto prípade predstavuje celkovú úsporu pre podnikateľa v priemere 1.500 €/stanovisko. Z dôvodu komplexnej zmeny sumy úhrady, ktorá sa môže ešte znížiť v prípade, že subjekt bude indexom daňovej spoľahlivosti vyhodnotený ako vysoko spoľahlivý, nie je možné úsporu finančných nákladov presne vyčísliť.</w:t>
            </w:r>
          </w:p>
          <w:p w:rsidR="008A26CC" w:rsidRPr="008A26CC" w:rsidRDefault="008A26CC" w:rsidP="008A26CC">
            <w:pPr>
              <w:jc w:val="both"/>
              <w:rPr>
                <w:bCs/>
                <w:iCs/>
                <w:color w:val="000000"/>
              </w:rPr>
            </w:pPr>
          </w:p>
          <w:p w:rsidR="008A26CC" w:rsidRPr="008A26CC" w:rsidRDefault="008A26CC" w:rsidP="008A26CC">
            <w:pPr>
              <w:jc w:val="both"/>
              <w:rPr>
                <w:iCs/>
                <w:color w:val="000000"/>
                <w:u w:val="single"/>
              </w:rPr>
            </w:pPr>
            <w:r w:rsidRPr="008A26CC">
              <w:rPr>
                <w:bCs/>
                <w:iCs/>
                <w:color w:val="000000"/>
                <w:u w:val="single"/>
              </w:rPr>
              <w:t>O</w:t>
            </w:r>
            <w:r w:rsidRPr="008A26CC">
              <w:rPr>
                <w:iCs/>
                <w:color w:val="000000"/>
                <w:u w:val="single"/>
              </w:rPr>
              <w:t>dhadovaný výpočet:</w:t>
            </w:r>
          </w:p>
          <w:p w:rsidR="008A26CC" w:rsidRPr="008A26CC" w:rsidRDefault="008A26CC" w:rsidP="008A26CC">
            <w:pPr>
              <w:jc w:val="both"/>
              <w:rPr>
                <w:bCs/>
                <w:iCs/>
                <w:color w:val="000000"/>
              </w:rPr>
            </w:pPr>
          </w:p>
          <w:p w:rsidR="008A26CC" w:rsidRPr="008A26CC" w:rsidRDefault="008A26CC" w:rsidP="008A26CC">
            <w:pPr>
              <w:jc w:val="both"/>
              <w:rPr>
                <w:bCs/>
                <w:iCs/>
                <w:color w:val="000000"/>
              </w:rPr>
            </w:pPr>
            <w:r w:rsidRPr="008A26CC">
              <w:rPr>
                <w:bCs/>
                <w:iCs/>
                <w:color w:val="000000"/>
              </w:rPr>
              <w:t>V roku 2020 boli vyžiadané 3 záväzné stanoviská</w:t>
            </w:r>
          </w:p>
          <w:p w:rsidR="008A26CC" w:rsidRPr="008A26CC" w:rsidRDefault="008A26CC" w:rsidP="008A26CC">
            <w:pPr>
              <w:jc w:val="both"/>
              <w:rPr>
                <w:bCs/>
                <w:iCs/>
                <w:color w:val="000000"/>
              </w:rPr>
            </w:pPr>
            <w:r w:rsidRPr="008A26CC">
              <w:rPr>
                <w:bCs/>
                <w:iCs/>
                <w:color w:val="000000"/>
              </w:rPr>
              <w:t>Minimálna suma úhrady predstavovala 2000 – 3000 eur</w:t>
            </w:r>
          </w:p>
          <w:p w:rsidR="008A26CC" w:rsidRPr="008A26CC" w:rsidRDefault="008A26CC" w:rsidP="008A26CC">
            <w:pPr>
              <w:jc w:val="both"/>
              <w:rPr>
                <w:bCs/>
                <w:iCs/>
                <w:color w:val="000000"/>
              </w:rPr>
            </w:pPr>
            <w:r w:rsidRPr="008A26CC">
              <w:rPr>
                <w:bCs/>
                <w:iCs/>
                <w:color w:val="000000"/>
              </w:rPr>
              <w:t>Priemerná úspora za záväzné stanovisko v prípade navrhovanej sumy úhrady: v priemere 1500 eur/stanovisko</w:t>
            </w:r>
          </w:p>
          <w:p w:rsidR="008A26CC" w:rsidRPr="008A26CC" w:rsidRDefault="008A26CC" w:rsidP="008A26CC">
            <w:pPr>
              <w:jc w:val="both"/>
              <w:rPr>
                <w:bCs/>
                <w:iCs/>
                <w:color w:val="000000"/>
              </w:rPr>
            </w:pPr>
            <w:r w:rsidRPr="008A26CC">
              <w:rPr>
                <w:bCs/>
                <w:iCs/>
                <w:color w:val="000000"/>
              </w:rPr>
              <w:t>Celková úspora na podnikateľské subjekty: 4500 eur</w:t>
            </w:r>
          </w:p>
          <w:p w:rsidR="008A26CC" w:rsidRPr="008A26CC" w:rsidRDefault="008A26CC" w:rsidP="008A26CC">
            <w:pPr>
              <w:jc w:val="both"/>
              <w:rPr>
                <w:iCs/>
                <w:color w:val="000000"/>
              </w:rPr>
            </w:pPr>
          </w:p>
          <w:p w:rsidR="001D311F" w:rsidRPr="0067677B" w:rsidRDefault="001D311F" w:rsidP="001D311F">
            <w:pPr>
              <w:jc w:val="both"/>
              <w:rPr>
                <w:iCs/>
                <w:color w:val="000000"/>
              </w:rPr>
            </w:pPr>
            <w:bookmarkStart w:id="0" w:name="_GoBack"/>
            <w:bookmarkEnd w:id="0"/>
            <w:r w:rsidRPr="0028581B">
              <w:rPr>
                <w:iCs/>
                <w:color w:val="000000"/>
              </w:rPr>
              <w:t xml:space="preserve">Pri znížení </w:t>
            </w:r>
            <w:r w:rsidRPr="0028581B">
              <w:t>poplatku pri odsúhlasení metódy transferového oceňovania dôjde ku zníženiu nákladov regulácie.</w:t>
            </w:r>
          </w:p>
          <w:p w:rsidR="009F2DFA" w:rsidRPr="003B05E0" w:rsidRDefault="001D311F" w:rsidP="003B05E0">
            <w:pPr>
              <w:jc w:val="both"/>
              <w:rPr>
                <w:iCs/>
                <w:color w:val="000000"/>
              </w:rPr>
            </w:pPr>
            <w:r>
              <w:rPr>
                <w:iCs/>
                <w:color w:val="000000"/>
              </w:rPr>
              <w:t xml:space="preserve">Výšku úspory priamych finančných nákladov nie je možné vyčísliť, keďže výška poplatku pri odsúhlasení </w:t>
            </w:r>
            <w:r>
              <w:rPr>
                <w:iCs/>
                <w:color w:val="000000"/>
              </w:rPr>
              <w:lastRenderedPageBreak/>
              <w:t xml:space="preserve">metódy transferového oceňovania </w:t>
            </w:r>
            <w:r w:rsidR="006E0AFA">
              <w:rPr>
                <w:iCs/>
                <w:color w:val="000000"/>
              </w:rPr>
              <w:t>je 10 000 alebo 30 000 v závislosti od typu rozhodnutia o odsúhlasení použitia metódy ocenenia</w:t>
            </w:r>
            <w:r>
              <w:rPr>
                <w:iCs/>
                <w:color w:val="000000"/>
              </w:rPr>
              <w:t>. Je možné predpokladať, že počet žiadostí o odsúhlasenie metódy transferového oceňovania sa zvýši, vzhľadom na to, že navrhovaným ustanovením sa výška poplatku znižuje na polovicu</w:t>
            </w:r>
            <w:r w:rsidR="003F0670">
              <w:rPr>
                <w:iCs/>
                <w:color w:val="000000"/>
              </w:rPr>
              <w:t xml:space="preserve">, avšak nie je možné identifikovať počet takýchto subjektov, keďže k zníženiu poplatku môže dôjsť iba vtedy, ak bude </w:t>
            </w:r>
            <w:r w:rsidR="003B05E0">
              <w:rPr>
                <w:iCs/>
                <w:color w:val="000000"/>
              </w:rPr>
              <w:t xml:space="preserve">daňový </w:t>
            </w:r>
            <w:r w:rsidR="003F0670">
              <w:rPr>
                <w:iCs/>
                <w:color w:val="000000"/>
              </w:rPr>
              <w:t xml:space="preserve">subjekt </w:t>
            </w:r>
            <w:r w:rsidR="003B05E0">
              <w:rPr>
                <w:iCs/>
                <w:color w:val="000000"/>
              </w:rPr>
              <w:t>na</w:t>
            </w:r>
            <w:r>
              <w:rPr>
                <w:iCs/>
                <w:color w:val="000000"/>
              </w:rPr>
              <w:t xml:space="preserve"> základe indexu daňovej spoľahlivosti považovaný za vysoko spoľahlivého.  </w:t>
            </w:r>
          </w:p>
        </w:tc>
      </w:tr>
      <w:tr w:rsidR="009F2DFA" w:rsidRPr="00F04CCD" w:rsidTr="007B71A4">
        <w:tc>
          <w:tcPr>
            <w:tcW w:w="9212" w:type="dxa"/>
            <w:tcBorders>
              <w:bottom w:val="single" w:sz="4" w:space="0" w:color="auto"/>
            </w:tcBorders>
          </w:tcPr>
          <w:p w:rsidR="009F2DFA" w:rsidRPr="00B86C2B" w:rsidRDefault="002B1108" w:rsidP="007B71A4">
            <w:pPr>
              <w:rPr>
                <w:b/>
                <w:i/>
              </w:rPr>
            </w:pPr>
            <w:r w:rsidRPr="00B86C2B">
              <w:rPr>
                <w:b/>
                <w:i/>
              </w:rPr>
              <w:lastRenderedPageBreak/>
              <w:t>3</w:t>
            </w:r>
            <w:r w:rsidR="009F2DFA" w:rsidRPr="00B86C2B">
              <w:rPr>
                <w:b/>
                <w:i/>
              </w:rPr>
              <w:t>.3.2 Nepriame finančné náklady</w:t>
            </w:r>
          </w:p>
          <w:p w:rsidR="009F2DFA" w:rsidRPr="00B86C2B" w:rsidRDefault="009F2DFA" w:rsidP="00B31A8E">
            <w:pPr>
              <w:rPr>
                <w:i/>
              </w:rPr>
            </w:pPr>
            <w:r w:rsidRPr="00B86C2B">
              <w:rPr>
                <w:i/>
              </w:rPr>
              <w:t xml:space="preserve">Vyžaduje si predkladaný návrh dodatočné náklady na nákup tovarov alebo služieb? </w:t>
            </w:r>
            <w:r w:rsidR="00B31A8E" w:rsidRPr="00B86C2B">
              <w:rPr>
                <w:i/>
              </w:rPr>
              <w:t xml:space="preserve">Zvyšuje predkladaný návrh náklady súvisiace so zamestnávaním? </w:t>
            </w:r>
            <w:r w:rsidRPr="00B86C2B">
              <w:rPr>
                <w:i/>
              </w:rPr>
              <w:t>Ak áno, popíšte a vyčíslite ich. Uveďte tiež spôsob ich výpočtu.</w:t>
            </w:r>
          </w:p>
        </w:tc>
      </w:tr>
      <w:tr w:rsidR="009F2DFA" w:rsidRPr="00F04CCD" w:rsidTr="007B71A4">
        <w:tc>
          <w:tcPr>
            <w:tcW w:w="9212" w:type="dxa"/>
            <w:tcBorders>
              <w:bottom w:val="single" w:sz="4" w:space="0" w:color="auto"/>
            </w:tcBorders>
          </w:tcPr>
          <w:p w:rsidR="00990EDD" w:rsidRPr="00B86C2B" w:rsidRDefault="00941B26" w:rsidP="00941B26">
            <w:pPr>
              <w:jc w:val="both"/>
              <w:rPr>
                <w:b/>
              </w:rPr>
            </w:pPr>
            <w:r w:rsidRPr="008A26CC">
              <w:rPr>
                <w:iCs/>
                <w:color w:val="000000"/>
              </w:rPr>
              <w:t>Predkladaný návrh si nevyžaduje dodatočné náklady na nákup tovarov a</w:t>
            </w:r>
            <w:r>
              <w:rPr>
                <w:iCs/>
                <w:color w:val="000000"/>
              </w:rPr>
              <w:t> služieb.</w:t>
            </w:r>
          </w:p>
        </w:tc>
      </w:tr>
      <w:tr w:rsidR="009F2DFA" w:rsidRPr="00F04CCD" w:rsidTr="007B71A4">
        <w:tc>
          <w:tcPr>
            <w:tcW w:w="9212" w:type="dxa"/>
            <w:tcBorders>
              <w:bottom w:val="single" w:sz="4" w:space="0" w:color="auto"/>
            </w:tcBorders>
          </w:tcPr>
          <w:p w:rsidR="009F2DFA" w:rsidRPr="00B86C2B" w:rsidRDefault="002B1108" w:rsidP="007B71A4">
            <w:pPr>
              <w:rPr>
                <w:b/>
                <w:i/>
              </w:rPr>
            </w:pPr>
            <w:r w:rsidRPr="00B86C2B">
              <w:rPr>
                <w:b/>
                <w:i/>
              </w:rPr>
              <w:t>3</w:t>
            </w:r>
            <w:r w:rsidR="009F2DFA" w:rsidRPr="00B86C2B">
              <w:rPr>
                <w:b/>
                <w:i/>
              </w:rPr>
              <w:t>.3.3 Administratívne náklady</w:t>
            </w:r>
          </w:p>
          <w:p w:rsidR="009F2DFA" w:rsidRPr="00B86C2B" w:rsidRDefault="009F2DFA" w:rsidP="007B71A4">
            <w:pPr>
              <w:rPr>
                <w:i/>
              </w:rPr>
            </w:pPr>
            <w:r w:rsidRPr="00B86C2B">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rsidTr="007B71A4">
        <w:tc>
          <w:tcPr>
            <w:tcW w:w="9212" w:type="dxa"/>
            <w:tcBorders>
              <w:bottom w:val="single" w:sz="4" w:space="0" w:color="auto"/>
            </w:tcBorders>
          </w:tcPr>
          <w:p w:rsidR="009F2DFA" w:rsidRDefault="0043264E" w:rsidP="0043264E">
            <w:pPr>
              <w:rPr>
                <w:b/>
                <w:i/>
              </w:rPr>
            </w:pPr>
            <w:r w:rsidRPr="00B86C2B">
              <w:rPr>
                <w:b/>
                <w:i/>
              </w:rPr>
              <w:t>Z dôvodu zníženia administratívnej záťaže, sa navrhuje, aby správca dane nezasielal daňovým subjektom osvedčenia o registrácii tzv. „kartičky“</w:t>
            </w:r>
            <w:r w:rsidR="00920730" w:rsidRPr="00B86C2B">
              <w:rPr>
                <w:b/>
                <w:i/>
              </w:rPr>
              <w:t>,</w:t>
            </w:r>
            <w:r w:rsidRPr="00B86C2B">
              <w:rPr>
                <w:b/>
                <w:i/>
              </w:rPr>
              <w:t xml:space="preserve"> ktoré je potrebné vždy pri vykonaní zmien doručiť správcovi dane za účelom ich zapísania do osvedčenia a po skončení podnikania potrebné vrátiť správcovi dane.</w:t>
            </w:r>
          </w:p>
          <w:p w:rsidR="00B05347" w:rsidRDefault="00B05347" w:rsidP="0043264E">
            <w:pPr>
              <w:rPr>
                <w:b/>
                <w:i/>
              </w:rPr>
            </w:pPr>
          </w:p>
          <w:p w:rsidR="005D404D" w:rsidRPr="00733B75" w:rsidRDefault="00C74260" w:rsidP="005D404D">
            <w:pPr>
              <w:jc w:val="both"/>
            </w:pPr>
            <w:r w:rsidRPr="00B05347">
              <w:t xml:space="preserve">Platitelia dane z pridanej hodnoty budú povinní oznámiť finančnej správe čísla vlastných bankových účtov vedených u tuzemského alebo zahraničného poskytovateľa platobných služieb, ktoré budú používať na vykonávanie podnikania, ktoré je predmetom dane podľa zákona č. 222/2004 Z. z.  o dani z pridanej hodnoty v znení neskorších predpisov. Uvedenú povinnosť si budú môcť platitelia dane splniť na tlačive, ktorého vzor uverejní Finančné riaditeľstvo SR na svojom webovom sídle, a ktoré bude už obsahovať predvyplnené údaje o bankových účtoch, o ktorých má finančná správa vedomosť. Splnenie povinnosti sa vykoná elektronicky prostredníctvom elektronickej podateľne. Ide o novú administratívnu povinnosť, ale jej splnenie bude pre väčšinu platiteľov dane predstavovať iba jednorazovú </w:t>
            </w:r>
            <w:r w:rsidRPr="00733B75">
              <w:t>povinnosť s časovou náročnosťou v minútach</w:t>
            </w:r>
            <w:r w:rsidR="005D404D" w:rsidRPr="00733B75">
              <w:t xml:space="preserve">. Z tohto dôvodu zastávame názor, že dopad na administratívne náklady bude v zanedbateľnej výške. </w:t>
            </w:r>
          </w:p>
          <w:p w:rsidR="00733B75" w:rsidRPr="00733B75" w:rsidRDefault="00733B75" w:rsidP="005D404D">
            <w:pPr>
              <w:jc w:val="both"/>
            </w:pPr>
          </w:p>
          <w:p w:rsidR="005D404D" w:rsidRPr="00733B75" w:rsidRDefault="005D404D" w:rsidP="005D404D">
            <w:pPr>
              <w:jc w:val="both"/>
              <w:rPr>
                <w:u w:val="single"/>
              </w:rPr>
            </w:pPr>
            <w:r w:rsidRPr="00733B75">
              <w:rPr>
                <w:u w:val="single"/>
              </w:rPr>
              <w:t>Odhadovaný výpočet:</w:t>
            </w:r>
          </w:p>
          <w:p w:rsidR="005D404D" w:rsidRPr="00733B75" w:rsidRDefault="005D404D" w:rsidP="005D404D">
            <w:pPr>
              <w:jc w:val="both"/>
            </w:pPr>
          </w:p>
          <w:p w:rsidR="005D404D" w:rsidRPr="00733B75" w:rsidRDefault="005D404D" w:rsidP="005D404D">
            <w:pPr>
              <w:jc w:val="both"/>
            </w:pPr>
            <w:r w:rsidRPr="00733B75">
              <w:t>Počet daňových subjektov registrovaných pre DPH : 238 662</w:t>
            </w:r>
          </w:p>
          <w:p w:rsidR="005D404D" w:rsidRPr="00733B75" w:rsidRDefault="005D404D" w:rsidP="005D404D">
            <w:pPr>
              <w:jc w:val="both"/>
            </w:pPr>
            <w:r w:rsidRPr="00733B75">
              <w:t>Odhad trvania povinnosti: 20 min.</w:t>
            </w:r>
          </w:p>
          <w:p w:rsidR="005D404D" w:rsidRPr="00733B75" w:rsidRDefault="005D404D" w:rsidP="005D404D">
            <w:pPr>
              <w:jc w:val="both"/>
            </w:pPr>
            <w:r w:rsidRPr="00733B75">
              <w:t>Frekvencia plnenia povinnosti: nepravidelne/jednorazovo</w:t>
            </w:r>
          </w:p>
          <w:p w:rsidR="005D404D" w:rsidRPr="00733B75" w:rsidRDefault="005D404D" w:rsidP="005D404D">
            <w:pPr>
              <w:jc w:val="both"/>
            </w:pPr>
            <w:r w:rsidRPr="00733B75">
              <w:t>Náklady na celé podnikateľské prostredie cca. 542 558 eur / jeden podnikateľský subjekt 2,27 eur.</w:t>
            </w:r>
          </w:p>
          <w:p w:rsidR="00C74260" w:rsidRPr="00B05347" w:rsidRDefault="00C74260" w:rsidP="00C74260">
            <w:pPr>
              <w:jc w:val="both"/>
            </w:pPr>
          </w:p>
          <w:p w:rsidR="00C74260" w:rsidRPr="00B05347" w:rsidRDefault="00C74260" w:rsidP="00C74260">
            <w:r w:rsidRPr="00B05347">
              <w:t>V prípade osobitného spôsobu úhrady dane ide o možnosť, nie povinnosť, ktorá má ale za cieľ ochranu platiteľa dane pred uplatnením ručenia za daň v prípade, ak má pochybnosti, že celá daň alebo časť dane, ktorá bola uplatnená jeho dodávateľom, nebude zaplatená</w:t>
            </w:r>
            <w:r w:rsidR="003810AF" w:rsidRPr="00B05347">
              <w:t>.</w:t>
            </w:r>
          </w:p>
          <w:p w:rsidR="003810AF" w:rsidRPr="008A26CC" w:rsidRDefault="003810AF" w:rsidP="00C74260"/>
          <w:p w:rsidR="003810AF" w:rsidRPr="00B05347" w:rsidRDefault="003810AF" w:rsidP="003810AF">
            <w:r w:rsidRPr="00B05347">
              <w:t xml:space="preserve">Návrhom zákona o dani z príjmov nedochádza k zavedeniu, odstráneniu ani  inej úprave informačných povinností. </w:t>
            </w:r>
          </w:p>
          <w:p w:rsidR="003810AF" w:rsidRPr="00B86C2B" w:rsidRDefault="003810AF" w:rsidP="00C74260">
            <w:pPr>
              <w:rPr>
                <w:b/>
                <w:i/>
              </w:rPr>
            </w:pPr>
          </w:p>
        </w:tc>
      </w:tr>
      <w:tr w:rsidR="009F2DFA" w:rsidRPr="00F04CCD" w:rsidTr="007B71A4">
        <w:trPr>
          <w:trHeight w:val="2318"/>
        </w:trPr>
        <w:tc>
          <w:tcPr>
            <w:tcW w:w="9212" w:type="dxa"/>
            <w:tcBorders>
              <w:bottom w:val="single" w:sz="4" w:space="0" w:color="auto"/>
            </w:tcBorders>
          </w:tcPr>
          <w:p w:rsidR="009F2DFA" w:rsidRPr="00683C95" w:rsidRDefault="002B1108" w:rsidP="007B71A4">
            <w:pPr>
              <w:rPr>
                <w:i/>
              </w:rPr>
            </w:pPr>
            <w:r>
              <w:rPr>
                <w:b/>
                <w:i/>
              </w:rPr>
              <w:lastRenderedPageBreak/>
              <w:t>3</w:t>
            </w:r>
            <w:r w:rsidR="009F2DFA" w:rsidRPr="00F04CCD">
              <w:rPr>
                <w:b/>
                <w:i/>
              </w:rPr>
              <w:t>.</w:t>
            </w:r>
            <w:r w:rsidR="009F2DFA" w:rsidRPr="00683C95">
              <w:rPr>
                <w:b/>
                <w:i/>
              </w:rPr>
              <w:t>3.4 Súhrnná tabuľka nákladov regulácie</w:t>
            </w:r>
          </w:p>
          <w:p w:rsidR="009F2DFA" w:rsidRPr="00683C95" w:rsidRDefault="009F2DFA" w:rsidP="007B71A4">
            <w:pPr>
              <w:rPr>
                <w:i/>
              </w:rPr>
            </w:pPr>
          </w:p>
          <w:tbl>
            <w:tblPr>
              <w:tblStyle w:val="Mriekatabuky"/>
              <w:tblW w:w="0" w:type="auto"/>
              <w:tblLook w:val="04A0" w:firstRow="1" w:lastRow="0" w:firstColumn="1" w:lastColumn="0" w:noHBand="0" w:noVBand="1"/>
            </w:tblPr>
            <w:tblGrid>
              <w:gridCol w:w="2993"/>
              <w:gridCol w:w="2994"/>
              <w:gridCol w:w="2994"/>
            </w:tblGrid>
            <w:tr w:rsidR="009F2DFA" w:rsidRPr="00683C95" w:rsidTr="007B71A4">
              <w:tc>
                <w:tcPr>
                  <w:tcW w:w="2993" w:type="dxa"/>
                </w:tcPr>
                <w:p w:rsidR="009F2DFA" w:rsidRPr="00683C95" w:rsidRDefault="009F2DFA" w:rsidP="007B71A4">
                  <w:pPr>
                    <w:rPr>
                      <w:i/>
                    </w:rPr>
                  </w:pPr>
                </w:p>
              </w:tc>
              <w:tc>
                <w:tcPr>
                  <w:tcW w:w="2994" w:type="dxa"/>
                </w:tcPr>
                <w:p w:rsidR="009F2DFA" w:rsidRPr="00683C95" w:rsidRDefault="009F2DFA" w:rsidP="007B71A4">
                  <w:pPr>
                    <w:jc w:val="center"/>
                    <w:rPr>
                      <w:i/>
                    </w:rPr>
                  </w:pPr>
                  <w:r w:rsidRPr="00683C95">
                    <w:rPr>
                      <w:i/>
                    </w:rPr>
                    <w:t>Náklady na 1 podnikateľa</w:t>
                  </w:r>
                </w:p>
              </w:tc>
              <w:tc>
                <w:tcPr>
                  <w:tcW w:w="2994" w:type="dxa"/>
                </w:tcPr>
                <w:p w:rsidR="009F2DFA" w:rsidRPr="00683C95" w:rsidRDefault="009F2DFA" w:rsidP="007B71A4">
                  <w:pPr>
                    <w:jc w:val="center"/>
                    <w:rPr>
                      <w:i/>
                    </w:rPr>
                  </w:pPr>
                  <w:r w:rsidRPr="00683C95">
                    <w:rPr>
                      <w:i/>
                    </w:rPr>
                    <w:t>Náklady na celé podnikateľské prostredie</w:t>
                  </w:r>
                </w:p>
              </w:tc>
            </w:tr>
            <w:tr w:rsidR="009F2DFA" w:rsidRPr="00683C95" w:rsidTr="007B71A4">
              <w:tc>
                <w:tcPr>
                  <w:tcW w:w="2993" w:type="dxa"/>
                </w:tcPr>
                <w:p w:rsidR="009F2DFA" w:rsidRPr="00683C95" w:rsidRDefault="009F2DFA" w:rsidP="007B71A4">
                  <w:pPr>
                    <w:rPr>
                      <w:i/>
                    </w:rPr>
                  </w:pPr>
                  <w:r w:rsidRPr="00683C95">
                    <w:rPr>
                      <w:i/>
                    </w:rPr>
                    <w:t>Priame finančné náklady</w:t>
                  </w:r>
                </w:p>
              </w:tc>
              <w:tc>
                <w:tcPr>
                  <w:tcW w:w="2994" w:type="dxa"/>
                </w:tcPr>
                <w:p w:rsidR="009F2DFA" w:rsidRPr="00683C95" w:rsidRDefault="00F077F5" w:rsidP="00F077F5">
                  <w:pPr>
                    <w:jc w:val="center"/>
                    <w:rPr>
                      <w:i/>
                    </w:rPr>
                  </w:pPr>
                  <w:r>
                    <w:rPr>
                      <w:i/>
                    </w:rPr>
                    <w:t>- 1500</w:t>
                  </w:r>
                </w:p>
              </w:tc>
              <w:tc>
                <w:tcPr>
                  <w:tcW w:w="2994" w:type="dxa"/>
                </w:tcPr>
                <w:p w:rsidR="009F2DFA" w:rsidRPr="00683C95" w:rsidRDefault="00F077F5" w:rsidP="00F077F5">
                  <w:pPr>
                    <w:jc w:val="center"/>
                    <w:rPr>
                      <w:i/>
                    </w:rPr>
                  </w:pPr>
                  <w:r>
                    <w:rPr>
                      <w:i/>
                    </w:rPr>
                    <w:t>-</w:t>
                  </w:r>
                  <w:r w:rsidR="00AB1A4A">
                    <w:rPr>
                      <w:i/>
                    </w:rPr>
                    <w:t xml:space="preserve"> </w:t>
                  </w:r>
                  <w:r>
                    <w:rPr>
                      <w:i/>
                    </w:rPr>
                    <w:t>4500</w:t>
                  </w:r>
                </w:p>
              </w:tc>
            </w:tr>
            <w:tr w:rsidR="009F2DFA" w:rsidRPr="00683C95" w:rsidTr="007B71A4">
              <w:tc>
                <w:tcPr>
                  <w:tcW w:w="2993" w:type="dxa"/>
                </w:tcPr>
                <w:p w:rsidR="009F2DFA" w:rsidRPr="00683C95" w:rsidRDefault="009F2DFA" w:rsidP="007B71A4">
                  <w:pPr>
                    <w:rPr>
                      <w:i/>
                    </w:rPr>
                  </w:pPr>
                  <w:r w:rsidRPr="00683C95">
                    <w:rPr>
                      <w:i/>
                    </w:rPr>
                    <w:t>Nepriame finančné náklady</w:t>
                  </w:r>
                </w:p>
              </w:tc>
              <w:tc>
                <w:tcPr>
                  <w:tcW w:w="2994" w:type="dxa"/>
                </w:tcPr>
                <w:p w:rsidR="009F2DFA" w:rsidRPr="00683C95" w:rsidRDefault="00F077F5" w:rsidP="007B71A4">
                  <w:pPr>
                    <w:jc w:val="center"/>
                    <w:rPr>
                      <w:i/>
                    </w:rPr>
                  </w:pPr>
                  <w:r>
                    <w:rPr>
                      <w:i/>
                    </w:rPr>
                    <w:t>N/A</w:t>
                  </w:r>
                </w:p>
              </w:tc>
              <w:tc>
                <w:tcPr>
                  <w:tcW w:w="2994" w:type="dxa"/>
                </w:tcPr>
                <w:p w:rsidR="009F2DFA" w:rsidRPr="00683C95" w:rsidRDefault="00F077F5" w:rsidP="007B71A4">
                  <w:pPr>
                    <w:jc w:val="center"/>
                    <w:rPr>
                      <w:i/>
                    </w:rPr>
                  </w:pPr>
                  <w:r>
                    <w:rPr>
                      <w:i/>
                    </w:rPr>
                    <w:t>N/A</w:t>
                  </w:r>
                </w:p>
              </w:tc>
            </w:tr>
            <w:tr w:rsidR="005D404D" w:rsidRPr="00683C95" w:rsidTr="007B71A4">
              <w:tc>
                <w:tcPr>
                  <w:tcW w:w="2993" w:type="dxa"/>
                </w:tcPr>
                <w:p w:rsidR="005D404D" w:rsidRPr="00683C95" w:rsidRDefault="005D404D" w:rsidP="005D404D">
                  <w:pPr>
                    <w:rPr>
                      <w:i/>
                    </w:rPr>
                  </w:pPr>
                  <w:r w:rsidRPr="00683C95">
                    <w:rPr>
                      <w:i/>
                    </w:rPr>
                    <w:t>Administratívne náklady</w:t>
                  </w:r>
                </w:p>
              </w:tc>
              <w:tc>
                <w:tcPr>
                  <w:tcW w:w="2994" w:type="dxa"/>
                </w:tcPr>
                <w:p w:rsidR="005D404D" w:rsidRPr="00733B75" w:rsidRDefault="005D404D" w:rsidP="005D404D">
                  <w:pPr>
                    <w:jc w:val="center"/>
                    <w:rPr>
                      <w:i/>
                    </w:rPr>
                  </w:pPr>
                  <w:r w:rsidRPr="00733B75">
                    <w:rPr>
                      <w:i/>
                    </w:rPr>
                    <w:t>2,27</w:t>
                  </w:r>
                </w:p>
              </w:tc>
              <w:tc>
                <w:tcPr>
                  <w:tcW w:w="2994" w:type="dxa"/>
                </w:tcPr>
                <w:p w:rsidR="005D404D" w:rsidRPr="00733B75" w:rsidRDefault="005D404D" w:rsidP="005D404D">
                  <w:pPr>
                    <w:jc w:val="center"/>
                    <w:rPr>
                      <w:i/>
                    </w:rPr>
                  </w:pPr>
                  <w:r w:rsidRPr="00733B75">
                    <w:rPr>
                      <w:i/>
                    </w:rPr>
                    <w:t>542 558</w:t>
                  </w:r>
                </w:p>
              </w:tc>
            </w:tr>
            <w:tr w:rsidR="009F2DFA" w:rsidRPr="00F04CCD" w:rsidTr="007B71A4">
              <w:tc>
                <w:tcPr>
                  <w:tcW w:w="2993" w:type="dxa"/>
                </w:tcPr>
                <w:p w:rsidR="009F2DFA" w:rsidRPr="00683C95" w:rsidRDefault="009F2DFA" w:rsidP="007B71A4">
                  <w:pPr>
                    <w:rPr>
                      <w:b/>
                      <w:i/>
                    </w:rPr>
                  </w:pPr>
                  <w:r w:rsidRPr="00683C95">
                    <w:rPr>
                      <w:b/>
                      <w:i/>
                    </w:rPr>
                    <w:t>Celkové náklady regulácie</w:t>
                  </w:r>
                </w:p>
              </w:tc>
              <w:tc>
                <w:tcPr>
                  <w:tcW w:w="2994" w:type="dxa"/>
                </w:tcPr>
                <w:p w:rsidR="009F2DFA" w:rsidRPr="00683C95" w:rsidRDefault="00F077F5" w:rsidP="007B71A4">
                  <w:pPr>
                    <w:jc w:val="center"/>
                    <w:rPr>
                      <w:b/>
                      <w:i/>
                    </w:rPr>
                  </w:pPr>
                  <w:r>
                    <w:rPr>
                      <w:b/>
                      <w:i/>
                    </w:rPr>
                    <w:t>- 1497,73</w:t>
                  </w:r>
                </w:p>
              </w:tc>
              <w:tc>
                <w:tcPr>
                  <w:tcW w:w="2994" w:type="dxa"/>
                </w:tcPr>
                <w:p w:rsidR="009F2DFA" w:rsidRPr="00F04CCD" w:rsidRDefault="00F077F5" w:rsidP="007B71A4">
                  <w:pPr>
                    <w:jc w:val="center"/>
                    <w:rPr>
                      <w:b/>
                      <w:i/>
                    </w:rPr>
                  </w:pPr>
                  <w:r>
                    <w:rPr>
                      <w:b/>
                      <w:i/>
                    </w:rPr>
                    <w:t>538 058</w:t>
                  </w:r>
                </w:p>
              </w:tc>
            </w:tr>
          </w:tbl>
          <w:p w:rsidR="009F2DFA" w:rsidRPr="00F04CCD" w:rsidRDefault="009F2DFA" w:rsidP="007B71A4">
            <w:pPr>
              <w:rPr>
                <w:i/>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.4 Konkurencieschopnosť a správanie sa podnikov na trhu</w:t>
            </w:r>
          </w:p>
          <w:p w:rsidR="009F2DFA" w:rsidRPr="00F04CCD" w:rsidRDefault="009F2DFA" w:rsidP="007B71A4">
            <w:r w:rsidRPr="00042C66">
              <w:rPr>
                <w:b/>
                <w:sz w:val="24"/>
              </w:rPr>
              <w:t xml:space="preserve">       </w:t>
            </w:r>
            <w:r w:rsidRPr="00042C66">
              <w:rPr>
                <w:sz w:val="24"/>
              </w:rPr>
              <w:t xml:space="preserve">-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9F2DFA" w:rsidP="007B71A4">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RDefault="009F2DFA" w:rsidP="007B71A4">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7B71A4">
            <w:pPr>
              <w:rPr>
                <w:i/>
              </w:rPr>
            </w:pPr>
            <w:r w:rsidRPr="00F04CCD">
              <w:rPr>
                <w:i/>
              </w:rPr>
              <w:t>Ako ovplyvní cenu alebo dostupnosť základných zdrojov (suroviny, mechanizmy, pracovná sila, energie atď.)?</w:t>
            </w:r>
          </w:p>
          <w:p w:rsidR="009F2DFA" w:rsidRPr="00F04CCD" w:rsidRDefault="009F2DFA" w:rsidP="007B71A4">
            <w:pPr>
              <w:rPr>
                <w:i/>
              </w:rPr>
            </w:pPr>
            <w:r w:rsidRPr="00F04CCD">
              <w:rPr>
                <w:i/>
              </w:rPr>
              <w:t>Ovplyvňuje prístup k financiám? Ak áno, ako?</w:t>
            </w:r>
          </w:p>
        </w:tc>
      </w:tr>
      <w:tr w:rsidR="009F2DFA" w:rsidRPr="00F04CCD" w:rsidTr="007B71A4">
        <w:trPr>
          <w:trHeight w:val="1282"/>
        </w:trPr>
        <w:tc>
          <w:tcPr>
            <w:tcW w:w="9212" w:type="dxa"/>
            <w:tcBorders>
              <w:bottom w:val="single" w:sz="4" w:space="0" w:color="auto"/>
            </w:tcBorders>
          </w:tcPr>
          <w:p w:rsidR="00C74260" w:rsidRPr="00B05347" w:rsidRDefault="00C74260" w:rsidP="00C74260">
            <w:pPr>
              <w:jc w:val="both"/>
            </w:pPr>
            <w:r w:rsidRPr="00B05347">
              <w:t>Nedochádza k vytvoreniu bariér pre vstup na trh pre nových dodávateľov tovarov alebo poskytovateľov služieb. Navrhovaná zmena nebude mať za následok prísnejšiu reguláciu správania sa niektorých podnikov.  Navrhované zmeny sa dotknú rovnako všetkých platiteľov dane. Návrh neovplyvní cenu ani dostupnosť základných zdrojov, ani  prístup k financiám.</w:t>
            </w:r>
          </w:p>
          <w:p w:rsidR="00511EB6" w:rsidRPr="00B05347" w:rsidRDefault="00C74260" w:rsidP="00C74260">
            <w:pPr>
              <w:jc w:val="both"/>
              <w:rPr>
                <w:i/>
              </w:rPr>
            </w:pPr>
            <w:r w:rsidRPr="00B05347">
              <w:t>Rozšírenie inštitútu ručenia za nezaplatenú daň z pridanej hodnoty a zavedenie povinnosti pre platiteľov dane oznamovať čísla vlastných bankových účtov, ktoré využívajú na výkon podnikateľskej činnosti podliehajúcej DPH, pozitívne ovplyvní správanie sa podnikov na trhu a zlepší podnikateľské prostredie. Zverejnením a pravidelným aktualizovaním zoznamu bankových účtov platiteľov dane sa umožní podnikateľom lepšie preverenie obchodného partnera. Zavedenie možnosti uhradiť daň uvedenú na</w:t>
            </w:r>
            <w:r w:rsidRPr="00B05347">
              <w:rPr>
                <w:b/>
              </w:rPr>
              <w:t xml:space="preserve"> </w:t>
            </w:r>
            <w:r w:rsidRPr="00B05347">
              <w:t xml:space="preserve">faktúre priamo na účet dodávateľa vedený u správcu dane bude mať za následok zánik povinnosti odberateľa ručiť za uvedenú daň. Sme toho názoru, že inštitúty napomôžu pri rozlišovaní medzi poctivými a nepoctivými podnikateľskými subjektami a tak prispejú ku skvalitneniu obchodnoprávnych vzťahov.  </w:t>
            </w:r>
            <w:r w:rsidRPr="00B05347">
              <w:rPr>
                <w:i/>
              </w:rPr>
              <w:t xml:space="preserve"> </w:t>
            </w:r>
          </w:p>
          <w:p w:rsidR="003810AF" w:rsidRPr="00B05347" w:rsidRDefault="003810AF" w:rsidP="00C74260">
            <w:pPr>
              <w:jc w:val="both"/>
              <w:rPr>
                <w:i/>
              </w:rPr>
            </w:pPr>
          </w:p>
          <w:p w:rsidR="003810AF" w:rsidRPr="00511EB6" w:rsidRDefault="007F00FB" w:rsidP="007F00FB">
            <w:pPr>
              <w:jc w:val="both"/>
              <w:rPr>
                <w:b/>
              </w:rPr>
            </w:pPr>
            <w:r w:rsidRPr="007F00FB">
              <w:t>Návrh</w:t>
            </w:r>
            <w:r w:rsidR="003810AF" w:rsidRPr="007F00FB">
              <w:t xml:space="preserve"> zákona o dan</w:t>
            </w:r>
            <w:r w:rsidRPr="007F00FB">
              <w:t>i</w:t>
            </w:r>
            <w:r w:rsidR="003810AF" w:rsidRPr="007F00FB">
              <w:t xml:space="preserve"> z príjmov </w:t>
            </w:r>
            <w:r w:rsidRPr="007F00FB">
              <w:t>nepredpokladá vplyv na konkurencieschopnosť a správanie podnikov na trhu</w:t>
            </w:r>
            <w:r w:rsidR="003810AF" w:rsidRPr="007F00FB">
              <w:t>.</w:t>
            </w: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 xml:space="preserve">.5 Inovácie </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c>
          <w:tcPr>
            <w:tcW w:w="9212" w:type="dxa"/>
          </w:tcPr>
          <w:p w:rsidR="009F2DFA" w:rsidRPr="00F04CCD" w:rsidRDefault="009F2DFA" w:rsidP="007B71A4">
            <w:pPr>
              <w:rPr>
                <w:i/>
              </w:rPr>
            </w:pPr>
            <w:r w:rsidRPr="00F04CCD">
              <w:rPr>
                <w:i/>
              </w:rPr>
              <w:t>Uveďte, ako podporuje navrhovaná zmena inovácie.</w:t>
            </w:r>
          </w:p>
          <w:p w:rsidR="009F2DFA" w:rsidRPr="00F04CCD" w:rsidRDefault="009F2DFA" w:rsidP="007B71A4">
            <w:pPr>
              <w:rPr>
                <w:i/>
              </w:rPr>
            </w:pPr>
            <w:r w:rsidRPr="00F04CCD">
              <w:rPr>
                <w:i/>
              </w:rPr>
              <w:t>Zjednodušuje uvedenie alebo rozšírenie nových výrobných metód, technológií a výrobkov na trh?</w:t>
            </w:r>
          </w:p>
          <w:p w:rsidR="009F2DFA" w:rsidRPr="00F04CCD" w:rsidRDefault="009F2DFA" w:rsidP="007B71A4">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vlastníctvo know-how).</w:t>
            </w:r>
          </w:p>
          <w:p w:rsidR="009F2DFA" w:rsidRDefault="009F2DFA" w:rsidP="007B71A4">
            <w:pPr>
              <w:rPr>
                <w:i/>
              </w:rPr>
            </w:pPr>
            <w:r w:rsidRPr="00F04CCD">
              <w:rPr>
                <w:i/>
              </w:rPr>
              <w:t>Podporuje vyššiu efektivitu výroby/využívania zdrojov? Ak áno, ako?</w:t>
            </w:r>
          </w:p>
          <w:p w:rsidR="00837639" w:rsidRPr="00F04CCD" w:rsidRDefault="00837639" w:rsidP="007B71A4">
            <w:r w:rsidRPr="00154881">
              <w:rPr>
                <w:i/>
              </w:rPr>
              <w:t>Vytvorí zmena nové pracovné miesta pre zamestnancov výskumu a vývoja v</w:t>
            </w:r>
            <w:r>
              <w:rPr>
                <w:i/>
              </w:rPr>
              <w:t> </w:t>
            </w:r>
            <w:r w:rsidRPr="00154881">
              <w:rPr>
                <w:i/>
              </w:rPr>
              <w:t>SR</w:t>
            </w:r>
            <w:r>
              <w:rPr>
                <w:i/>
              </w:rPr>
              <w:t>?</w:t>
            </w:r>
          </w:p>
        </w:tc>
      </w:tr>
      <w:tr w:rsidR="009F2DFA" w:rsidRPr="00F04CCD" w:rsidTr="007B71A4">
        <w:trPr>
          <w:trHeight w:val="1747"/>
        </w:trPr>
        <w:tc>
          <w:tcPr>
            <w:tcW w:w="9212" w:type="dxa"/>
          </w:tcPr>
          <w:p w:rsidR="00511EB6" w:rsidRDefault="00511EB6" w:rsidP="00511EB6">
            <w:pPr>
              <w:rPr>
                <w:sz w:val="24"/>
                <w:szCs w:val="24"/>
              </w:rPr>
            </w:pPr>
          </w:p>
          <w:p w:rsidR="009F2DFA" w:rsidRPr="00B05347" w:rsidRDefault="00511EB6" w:rsidP="00511EB6">
            <w:pPr>
              <w:rPr>
                <w:i/>
              </w:rPr>
            </w:pPr>
            <w:r w:rsidRPr="00B05347">
              <w:t xml:space="preserve">Návrh nemá vplyv na inovácie. </w:t>
            </w:r>
          </w:p>
        </w:tc>
      </w:tr>
    </w:tbl>
    <w:p w:rsidR="009F2DFA" w:rsidRDefault="009F2DFA" w:rsidP="00B54669">
      <w:pPr>
        <w:rPr>
          <w:b/>
          <w:sz w:val="24"/>
        </w:rPr>
      </w:pPr>
    </w:p>
    <w:sectPr w:rsidR="009F2DFA" w:rsidSect="004669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A4F" w:rsidRDefault="001B1A4F" w:rsidP="009F2DFA">
      <w:r>
        <w:separator/>
      </w:r>
    </w:p>
  </w:endnote>
  <w:endnote w:type="continuationSeparator" w:id="0">
    <w:p w:rsidR="001B1A4F" w:rsidRDefault="001B1A4F"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65" w:rsidRDefault="0087146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166282"/>
      <w:docPartObj>
        <w:docPartGallery w:val="Page Numbers (Bottom of Page)"/>
        <w:docPartUnique/>
      </w:docPartObj>
    </w:sdtPr>
    <w:sdtEndPr/>
    <w:sdtContent>
      <w:p w:rsidR="004669D0" w:rsidRDefault="004669D0">
        <w:pPr>
          <w:pStyle w:val="Pta"/>
          <w:jc w:val="center"/>
        </w:pPr>
        <w:r>
          <w:fldChar w:fldCharType="begin"/>
        </w:r>
        <w:r>
          <w:instrText>PAGE   \* MERGEFORMAT</w:instrText>
        </w:r>
        <w:r>
          <w:fldChar w:fldCharType="separate"/>
        </w:r>
        <w:r w:rsidR="00941B26">
          <w:rPr>
            <w:noProof/>
          </w:rPr>
          <w:t>4</w:t>
        </w:r>
        <w:r>
          <w:fldChar w:fldCharType="end"/>
        </w:r>
      </w:p>
    </w:sdtContent>
  </w:sdt>
  <w:p w:rsidR="009F2DFA" w:rsidRDefault="009F2DF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65" w:rsidRDefault="0087146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A4F" w:rsidRDefault="001B1A4F" w:rsidP="009F2DFA">
      <w:r>
        <w:separator/>
      </w:r>
    </w:p>
  </w:footnote>
  <w:footnote w:type="continuationSeparator" w:id="0">
    <w:p w:rsidR="001B1A4F" w:rsidRDefault="001B1A4F" w:rsidP="009F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65" w:rsidRDefault="0087146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65" w:rsidRDefault="0087146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65" w:rsidRDefault="0087146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2C5E9E"/>
    <w:multiLevelType w:val="hybridMultilevel"/>
    <w:tmpl w:val="94E22EFA"/>
    <w:lvl w:ilvl="0" w:tplc="041B000F">
      <w:start w:val="1"/>
      <w:numFmt w:val="decimal"/>
      <w:lvlText w:val="%1."/>
      <w:lvlJc w:val="left"/>
      <w:pPr>
        <w:ind w:left="720" w:hanging="360"/>
      </w:pPr>
      <w:rPr>
        <w:rFonts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7DC014B4"/>
    <w:multiLevelType w:val="hybridMultilevel"/>
    <w:tmpl w:val="07B8899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6"/>
  </w:num>
  <w:num w:numId="7">
    <w:abstractNumId w:val="11"/>
  </w:num>
  <w:num w:numId="8">
    <w:abstractNumId w:val="3"/>
  </w:num>
  <w:num w:numId="9">
    <w:abstractNumId w:val="0"/>
  </w:num>
  <w:num w:numId="10">
    <w:abstractNumId w:val="12"/>
  </w:num>
  <w:num w:numId="11">
    <w:abstractNumId w:val="7"/>
  </w:num>
  <w:num w:numId="12">
    <w:abstractNumId w:val="4"/>
  </w:num>
  <w:num w:numId="13">
    <w:abstractNumId w:val="13"/>
  </w:num>
  <w:num w:numId="14">
    <w:abstractNumId w:val="2"/>
  </w:num>
  <w:num w:numId="1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08491F"/>
    <w:rsid w:val="0009178D"/>
    <w:rsid w:val="000D5489"/>
    <w:rsid w:val="000E2CC9"/>
    <w:rsid w:val="00154881"/>
    <w:rsid w:val="001B1A4F"/>
    <w:rsid w:val="001D311F"/>
    <w:rsid w:val="001F7637"/>
    <w:rsid w:val="002029BF"/>
    <w:rsid w:val="00251FDE"/>
    <w:rsid w:val="0027688C"/>
    <w:rsid w:val="00290F5D"/>
    <w:rsid w:val="002A017B"/>
    <w:rsid w:val="002B1108"/>
    <w:rsid w:val="00311B0E"/>
    <w:rsid w:val="00313C59"/>
    <w:rsid w:val="00352F58"/>
    <w:rsid w:val="003810AF"/>
    <w:rsid w:val="003B05E0"/>
    <w:rsid w:val="003C02F3"/>
    <w:rsid w:val="003F0670"/>
    <w:rsid w:val="0043264E"/>
    <w:rsid w:val="004443FB"/>
    <w:rsid w:val="00445A09"/>
    <w:rsid w:val="004669D0"/>
    <w:rsid w:val="004A2F4D"/>
    <w:rsid w:val="004D5D4F"/>
    <w:rsid w:val="00511BD2"/>
    <w:rsid w:val="00511EB6"/>
    <w:rsid w:val="00516142"/>
    <w:rsid w:val="0052297F"/>
    <w:rsid w:val="0058715D"/>
    <w:rsid w:val="005B7859"/>
    <w:rsid w:val="005D404D"/>
    <w:rsid w:val="006017A3"/>
    <w:rsid w:val="00612BB3"/>
    <w:rsid w:val="00614C87"/>
    <w:rsid w:val="006232C8"/>
    <w:rsid w:val="00645B93"/>
    <w:rsid w:val="006726A0"/>
    <w:rsid w:val="00683947"/>
    <w:rsid w:val="00683C95"/>
    <w:rsid w:val="0069464A"/>
    <w:rsid w:val="006A7982"/>
    <w:rsid w:val="006E0AFA"/>
    <w:rsid w:val="00713264"/>
    <w:rsid w:val="00733B75"/>
    <w:rsid w:val="00765CED"/>
    <w:rsid w:val="00780BA6"/>
    <w:rsid w:val="00795867"/>
    <w:rsid w:val="007D3777"/>
    <w:rsid w:val="007F00FB"/>
    <w:rsid w:val="007F0986"/>
    <w:rsid w:val="00832872"/>
    <w:rsid w:val="00837639"/>
    <w:rsid w:val="008505F2"/>
    <w:rsid w:val="00865787"/>
    <w:rsid w:val="00871465"/>
    <w:rsid w:val="008A1252"/>
    <w:rsid w:val="008A26CC"/>
    <w:rsid w:val="008E08D5"/>
    <w:rsid w:val="00904C9B"/>
    <w:rsid w:val="00920730"/>
    <w:rsid w:val="00936DF3"/>
    <w:rsid w:val="00941B26"/>
    <w:rsid w:val="00990EDD"/>
    <w:rsid w:val="009A6122"/>
    <w:rsid w:val="009A7271"/>
    <w:rsid w:val="009C5834"/>
    <w:rsid w:val="009E6613"/>
    <w:rsid w:val="009F2DFA"/>
    <w:rsid w:val="00A15BDA"/>
    <w:rsid w:val="00A752A8"/>
    <w:rsid w:val="00A92C82"/>
    <w:rsid w:val="00AB1A4A"/>
    <w:rsid w:val="00AE35EB"/>
    <w:rsid w:val="00AE7BBF"/>
    <w:rsid w:val="00B05347"/>
    <w:rsid w:val="00B31A8E"/>
    <w:rsid w:val="00B4424D"/>
    <w:rsid w:val="00B4444B"/>
    <w:rsid w:val="00B5276A"/>
    <w:rsid w:val="00B54669"/>
    <w:rsid w:val="00B81240"/>
    <w:rsid w:val="00B86C2B"/>
    <w:rsid w:val="00BA073A"/>
    <w:rsid w:val="00BE4F05"/>
    <w:rsid w:val="00C10341"/>
    <w:rsid w:val="00C6323E"/>
    <w:rsid w:val="00C63429"/>
    <w:rsid w:val="00C669C3"/>
    <w:rsid w:val="00C74260"/>
    <w:rsid w:val="00CA530C"/>
    <w:rsid w:val="00CB3623"/>
    <w:rsid w:val="00CC0059"/>
    <w:rsid w:val="00D05DCB"/>
    <w:rsid w:val="00D23B04"/>
    <w:rsid w:val="00D45310"/>
    <w:rsid w:val="00DD112C"/>
    <w:rsid w:val="00E06014"/>
    <w:rsid w:val="00E067EF"/>
    <w:rsid w:val="00E16F8A"/>
    <w:rsid w:val="00E46E51"/>
    <w:rsid w:val="00E65B02"/>
    <w:rsid w:val="00E86AD1"/>
    <w:rsid w:val="00F0550D"/>
    <w:rsid w:val="00F077F5"/>
    <w:rsid w:val="00F41620"/>
    <w:rsid w:val="00FB5C13"/>
    <w:rsid w:val="00FD26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0164C-B2A0-400B-8307-F108F73A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 zoznamu1,Odsek"/>
    <w:basedOn w:val="Normlny"/>
    <w:link w:val="OdsekzoznamuChar"/>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customStyle="1" w:styleId="OdsekzoznamuChar">
    <w:name w:val="Odsek zoznamu Char"/>
    <w:aliases w:val="Odsek zoznamu1 Char,Odsek Char"/>
    <w:basedOn w:val="Predvolenpsmoodseku"/>
    <w:link w:val="Odsekzoznamu"/>
    <w:uiPriority w:val="34"/>
    <w:locked/>
    <w:rsid w:val="0008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_Analýza_vplyvov_na_podnikateľské_prostredie"/>
    <f:field ref="objsubject" par="" edit="true" text=""/>
    <f:field ref="objcreatedby" par="" text="Turenič, Peter, JUDr."/>
    <f:field ref="objcreatedat" par="" text="26.4.2021 15:18:49"/>
    <f:field ref="objchangedby" par="" text="Administrator, System"/>
    <f:field ref="objmodifiedat" par="" text="26.4.2021 15:18: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Pages>
  <Words>3491</Words>
  <Characters>19901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Blazekova Lucia</cp:lastModifiedBy>
  <cp:revision>81</cp:revision>
  <cp:lastPrinted>2021-06-07T12:32:00Z</cp:lastPrinted>
  <dcterms:created xsi:type="dcterms:W3CDTF">2014-11-13T15:39:00Z</dcterms:created>
  <dcterms:modified xsi:type="dcterms:W3CDTF">2021-06-11T07:31:00Z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ktorým&amp;nbsp; sa mení a&amp;nbsp; dopĺňa zákon č. 563/2009 Z. z. o správe daní (daňový poriadok) a o zmene a doplnení niektorých zákonov v znení neskorších predpisov a ktorým sa menia a dopĺňajú niektoré zákony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Turenič</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563/2009 Z. z. o správe daní (daňový poriadok)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Z plánu legislatívnych úloh vlády 2020</vt:lpwstr>
  </property>
  <property fmtid="{D5CDD505-2E9C-101B-9397-08002B2CF9AE}" pid="23" name="FSC#SKEDITIONSLOVLEX@103.510:plnynazovpredpis">
    <vt:lpwstr> Zákon, ktorým sa mení a dopĺňa zákon č. 563/2009 Z. z. o správe daní (daňový poriadok)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MF/003453/2021-77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LP/2021/158</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110 až 113, 349 a 355 ods.1 Zmluvy o fungovaní Európskej únie (Ú. v. EÚ C 202, 7.6.2016) v platnom znení,_x000d_
čl. 52 Zmluvy o Európskej únii (Ú. v. EÚ C 202, 7.6. 2016) v platnom znení</vt:lpwstr>
  </property>
  <property fmtid="{D5CDD505-2E9C-101B-9397-08002B2CF9AE}" pid="47" name="FSC#SKEDITIONSLOVLEX@103.510:AttrStrListDocPropSekundarneLegPravoPO">
    <vt:lpwstr>-	smernica Rady 2006/112/ES z  28. novembra 2006 o spoločnom systéme dane z pridanej hodnoty (Ú. v. EÚ L 347, 11.12.2006) v platnom znení, gestor: MF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Rozsudok Súdneho dvora C 384/Rozsudok Súdneho dvora C 384/04 Commissioners of Customs &amp; Excise a Attorney General proti Federation of Technological Industries a i.</vt:lpwstr>
  </property>
  <property fmtid="{D5CDD505-2E9C-101B-9397-08002B2CF9AE}" pid="52" name="FSC#SKEDITIONSLOVLEX@103.510:AttrStrListDocPropLehotaPrebratieSmernice">
    <vt:lpwstr>Lehota na prebratie smernice 2006/112/ES bola stanovená do 1.1. 2008 a lehota na prebratie článku 2 smernice Rady (EÚ)  2017/2455 bola stanovená pôvodne do 31.12.2020 a rozhodnutím Rady (EÚ) 2020/1109 zmenená na 1.7.2021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konanie v rámci „EÚ Pilot“, ani nebol začatý postup EK ako aj nebolo začaté konanie Súdneho dvora EÚ proti SR podľa čl. 258 až 260 Zmluvy o fungovaní Európskej únie</vt:lpwstr>
  </property>
  <property fmtid="{D5CDD505-2E9C-101B-9397-08002B2CF9AE}" pid="55" name="FSC#SKEDITIONSLOVLEX@103.510:AttrStrListDocPropInfoUzPreberanePP">
    <vt:lpwstr>Smernica Rady 2006/112/ES a smernica Rady (EÚ) 2017/2455 sú prebraté do zákona č. 222/2004 Z. z. o dani z pridanej hodnoty v znení neskorších predpisov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referent</vt:lpwstr>
  </property>
  <property fmtid="{D5CDD505-2E9C-101B-9397-08002B2CF9AE}" pid="140" name="FSC#SKEDITIONSLOVLEX@103.510:funkciaPredDativ">
    <vt:lpwstr>referentovi</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financií Slovenskej republiky predkladá návrh zákona, ktorým sa mení&lt;br /&gt;a dopĺňa zákon č. 563/2009 Z. z. o správe daní (daňový poriadok) a o zmene a doplnení niektorých zákonov v znení neskorších predpisov a ktorým sa menia a dopĺňajú ni</vt:lpwstr>
  </property>
  <property fmtid="{D5CDD505-2E9C-101B-9397-08002B2CF9AE}" pid="150" name="FSC#SKEDITIONSLOVLEX@103.510:vytvorenedna">
    <vt:lpwstr>26. 4. 2021</vt:lpwstr>
  </property>
  <property fmtid="{D5CDD505-2E9C-101B-9397-08002B2CF9AE}" pid="151" name="FSC#COOSYSTEM@1.1:Container">
    <vt:lpwstr>COO.2145.1000.3.4336758</vt:lpwstr>
  </property>
  <property fmtid="{D5CDD505-2E9C-101B-9397-08002B2CF9AE}" pid="152" name="FSC#FSCFOLIO@1.1001:docpropproject">
    <vt:lpwstr/>
  </property>
</Properties>
</file>