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31" w:rsidRPr="00A70F69" w:rsidRDefault="00E76D31" w:rsidP="00E76D31">
      <w:pPr>
        <w:jc w:val="center"/>
        <w:rPr>
          <w:b/>
          <w:bCs/>
        </w:rPr>
      </w:pPr>
      <w:r w:rsidRPr="00A70F69">
        <w:rPr>
          <w:b/>
          <w:bCs/>
        </w:rPr>
        <w:t>Doložka vybraných vplyvov</w:t>
      </w:r>
    </w:p>
    <w:p w:rsidR="00E76D31" w:rsidRPr="00A70F69" w:rsidRDefault="00E76D31" w:rsidP="00E76D31">
      <w:pPr>
        <w:pStyle w:val="Odsekzoznamu"/>
        <w:keepNext/>
        <w:keepLines/>
        <w:spacing w:before="60" w:after="60" w:line="240" w:lineRule="auto"/>
        <w:ind w:left="426" w:firstLine="709"/>
        <w:contextualSpacing w:val="0"/>
        <w:jc w:val="both"/>
        <w:rPr>
          <w:rFonts w:ascii="Times New Roman" w:eastAsia="ヒラギノ角ゴ Pro W3" w:hAnsi="Times New Roman"/>
          <w:b/>
          <w:color w:val="000000"/>
          <w:sz w:val="24"/>
          <w:szCs w:val="24"/>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76D31" w:rsidRPr="00A70F69" w:rsidTr="00E5689B">
        <w:tc>
          <w:tcPr>
            <w:tcW w:w="9180" w:type="dxa"/>
            <w:gridSpan w:val="10"/>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Základné údaje</w:t>
            </w: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6809E4">
            <w:pPr>
              <w:pStyle w:val="Odsekzoznamu"/>
              <w:keepNext/>
              <w:keepLines/>
              <w:spacing w:before="60" w:after="60" w:line="240" w:lineRule="auto"/>
              <w:ind w:left="0"/>
              <w:contextualSpacing w:val="0"/>
              <w:jc w:val="both"/>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Názov materiálu</w:t>
            </w:r>
          </w:p>
        </w:tc>
      </w:tr>
      <w:tr w:rsidR="00E76D31" w:rsidRPr="00A70F69" w:rsidTr="00E5689B">
        <w:tc>
          <w:tcPr>
            <w:tcW w:w="9180" w:type="dxa"/>
            <w:gridSpan w:val="10"/>
            <w:tcBorders>
              <w:top w:val="single" w:sz="4" w:space="0" w:color="FFFFFF"/>
            </w:tcBorders>
          </w:tcPr>
          <w:p w:rsidR="00BA7EED" w:rsidRPr="00A70F69" w:rsidRDefault="00076464" w:rsidP="00BA7EED">
            <w:pPr>
              <w:jc w:val="both"/>
              <w:rPr>
                <w:lang w:eastAsia="en-US"/>
              </w:rPr>
            </w:pPr>
            <w:r w:rsidRPr="00A70F69">
              <w:t>Návrh zákona, ktorým  sa mení a  dopĺňa zákon č. 563/2009 Z. z. o správe daní (daňový poriadok) a o zmene a doplnení niektorých zákonov v znení neskorších predpisov a ktorým sa menia a dopĺňajú niektoré zákony</w:t>
            </w:r>
            <w:r w:rsidR="006F0DA6">
              <w:t>.</w:t>
            </w: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033F02">
            <w:pPr>
              <w:keepNext/>
              <w:keepLines/>
              <w:spacing w:before="60" w:after="60"/>
              <w:jc w:val="both"/>
              <w:rPr>
                <w:rFonts w:eastAsia="ヒラギノ角ゴ Pro W3"/>
                <w:b/>
                <w:color w:val="000000"/>
              </w:rPr>
            </w:pPr>
            <w:r w:rsidRPr="00A70F69">
              <w:rPr>
                <w:rFonts w:eastAsia="ヒラギノ角ゴ Pro W3"/>
                <w:b/>
                <w:color w:val="000000"/>
              </w:rPr>
              <w:t>Predkladateľ (a spolupredkladateľ)</w:t>
            </w:r>
          </w:p>
        </w:tc>
      </w:tr>
      <w:tr w:rsidR="00E76D31" w:rsidRPr="00A70F69" w:rsidTr="00E5689B">
        <w:tc>
          <w:tcPr>
            <w:tcW w:w="9180" w:type="dxa"/>
            <w:gridSpan w:val="10"/>
            <w:tcBorders>
              <w:top w:val="single" w:sz="4" w:space="0" w:color="FFFFFF"/>
            </w:tcBorders>
            <w:shd w:val="clear" w:color="auto" w:fill="FFFFFF"/>
          </w:tcPr>
          <w:p w:rsidR="00BA7EED" w:rsidRPr="00A70F69" w:rsidRDefault="00E76D31" w:rsidP="00BA7EED">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ind w:left="720" w:hanging="720"/>
              <w:rPr>
                <w:lang w:val="sk-SK"/>
              </w:rPr>
            </w:pPr>
            <w:r w:rsidRPr="00A70F69">
              <w:rPr>
                <w:lang w:val="sk-SK"/>
              </w:rPr>
              <w:t xml:space="preserve">Ministerstvo </w:t>
            </w:r>
            <w:r w:rsidR="00355A50" w:rsidRPr="00A70F69">
              <w:rPr>
                <w:lang w:val="sk-SK"/>
              </w:rPr>
              <w:t>financií</w:t>
            </w:r>
            <w:r w:rsidRPr="00A70F69">
              <w:rPr>
                <w:lang w:val="sk-SK"/>
              </w:rPr>
              <w:t xml:space="preserve"> Slovenskej republiky</w:t>
            </w:r>
          </w:p>
        </w:tc>
      </w:tr>
      <w:tr w:rsidR="00E76D31" w:rsidRPr="00A70F69" w:rsidTr="00E5689B">
        <w:tc>
          <w:tcPr>
            <w:tcW w:w="4212" w:type="dxa"/>
            <w:gridSpan w:val="2"/>
            <w:vMerge w:val="restart"/>
            <w:tcBorders>
              <w:bottom w:val="single" w:sz="4" w:space="0" w:color="FFFFFF"/>
            </w:tcBorders>
            <w:shd w:val="clear" w:color="auto" w:fill="E2E2E2"/>
            <w:vAlign w:val="center"/>
          </w:tcPr>
          <w:p w:rsidR="00E76D31" w:rsidRPr="00A70F69" w:rsidRDefault="00E76D31" w:rsidP="00033F02">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Charakter predkladaného materiálu</w:t>
            </w:r>
          </w:p>
        </w:tc>
        <w:tc>
          <w:tcPr>
            <w:tcW w:w="705" w:type="dxa"/>
            <w:gridSpan w:val="2"/>
            <w:tcBorders>
              <w:right w:val="nil"/>
            </w:tcBorders>
            <w:shd w:val="clear" w:color="auto" w:fill="FFFFFF"/>
          </w:tcPr>
          <w:p w:rsidR="00E76D31" w:rsidRPr="00A70F69" w:rsidRDefault="00E76D31" w:rsidP="00E5689B">
            <w:pPr>
              <w:jc w:val="center"/>
              <w:rPr>
                <w:lang w:eastAsia="en-US"/>
              </w:rPr>
            </w:pPr>
            <w:r w:rsidRPr="00A70F69">
              <w:rPr>
                <w:rFonts w:ascii="Segoe UI Symbol" w:eastAsia="MS Mincho" w:hAnsi="Segoe UI Symbol" w:cs="Segoe UI Symbol"/>
                <w:lang w:eastAsia="en-US"/>
              </w:rPr>
              <w:t>☐</w:t>
            </w:r>
          </w:p>
        </w:tc>
        <w:tc>
          <w:tcPr>
            <w:tcW w:w="4263" w:type="dxa"/>
            <w:gridSpan w:val="6"/>
            <w:tcBorders>
              <w:left w:val="nil"/>
            </w:tcBorders>
            <w:shd w:val="clear" w:color="auto" w:fill="FFFFFF"/>
          </w:tcPr>
          <w:p w:rsidR="00E76D31" w:rsidRPr="00A70F69" w:rsidRDefault="00E76D31" w:rsidP="00E5689B">
            <w:pPr>
              <w:rPr>
                <w:lang w:eastAsia="en-US"/>
              </w:rPr>
            </w:pPr>
            <w:r w:rsidRPr="00A70F69">
              <w:rPr>
                <w:lang w:eastAsia="en-US"/>
              </w:rPr>
              <w:t>Materiál nelegislatívnej povahy</w:t>
            </w:r>
          </w:p>
        </w:tc>
      </w:tr>
      <w:tr w:rsidR="00E76D31" w:rsidRPr="00A70F69" w:rsidTr="00E5689B">
        <w:tc>
          <w:tcPr>
            <w:tcW w:w="4212" w:type="dxa"/>
            <w:gridSpan w:val="2"/>
            <w:vMerge/>
            <w:tcBorders>
              <w:top w:val="nil"/>
              <w:bottom w:val="single" w:sz="4" w:space="0" w:color="FFFFFF"/>
            </w:tcBorders>
            <w:shd w:val="clear" w:color="auto" w:fill="E2E2E2"/>
          </w:tcPr>
          <w:p w:rsidR="00E76D31" w:rsidRPr="00A70F69" w:rsidRDefault="00E76D31" w:rsidP="00E5689B">
            <w:pPr>
              <w:rPr>
                <w:lang w:eastAsia="en-US"/>
              </w:rPr>
            </w:pPr>
          </w:p>
        </w:tc>
        <w:tc>
          <w:tcPr>
            <w:tcW w:w="705" w:type="dxa"/>
            <w:gridSpan w:val="2"/>
            <w:tcBorders>
              <w:right w:val="nil"/>
            </w:tcBorders>
            <w:shd w:val="clear" w:color="auto" w:fill="FFFFFF"/>
          </w:tcPr>
          <w:p w:rsidR="00E76D31" w:rsidRPr="00A70F69" w:rsidRDefault="00E76D31" w:rsidP="00E5689B">
            <w:pPr>
              <w:jc w:val="center"/>
              <w:rPr>
                <w:lang w:eastAsia="en-US"/>
              </w:rPr>
            </w:pPr>
            <w:r w:rsidRPr="00A70F69">
              <w:rPr>
                <w:rFonts w:ascii="Segoe UI Symbol" w:eastAsia="MS Mincho" w:hAnsi="Segoe UI Symbol" w:cs="Segoe UI Symbol"/>
                <w:lang w:eastAsia="en-US"/>
              </w:rPr>
              <w:t>☒</w:t>
            </w:r>
          </w:p>
        </w:tc>
        <w:tc>
          <w:tcPr>
            <w:tcW w:w="4263" w:type="dxa"/>
            <w:gridSpan w:val="6"/>
            <w:tcBorders>
              <w:left w:val="nil"/>
            </w:tcBorders>
            <w:shd w:val="clear" w:color="auto" w:fill="FFFFFF"/>
          </w:tcPr>
          <w:p w:rsidR="00E76D31" w:rsidRPr="00A70F69" w:rsidRDefault="00E76D31" w:rsidP="00E5689B">
            <w:pPr>
              <w:ind w:left="175" w:hanging="175"/>
              <w:rPr>
                <w:lang w:eastAsia="en-US"/>
              </w:rPr>
            </w:pPr>
            <w:r w:rsidRPr="00A70F69">
              <w:rPr>
                <w:lang w:eastAsia="en-US"/>
              </w:rPr>
              <w:t>Materiál legislatívnej povahy</w:t>
            </w:r>
          </w:p>
        </w:tc>
      </w:tr>
      <w:tr w:rsidR="00E76D31" w:rsidRPr="00A70F69" w:rsidTr="00E5689B">
        <w:tc>
          <w:tcPr>
            <w:tcW w:w="4212" w:type="dxa"/>
            <w:gridSpan w:val="2"/>
            <w:vMerge/>
            <w:tcBorders>
              <w:top w:val="nil"/>
            </w:tcBorders>
            <w:shd w:val="clear" w:color="auto" w:fill="E2E2E2"/>
          </w:tcPr>
          <w:p w:rsidR="00E76D31" w:rsidRPr="00A70F69" w:rsidRDefault="00E76D31" w:rsidP="00E5689B">
            <w:pPr>
              <w:rPr>
                <w:lang w:eastAsia="en-US"/>
              </w:rPr>
            </w:pPr>
          </w:p>
        </w:tc>
        <w:tc>
          <w:tcPr>
            <w:tcW w:w="705" w:type="dxa"/>
            <w:gridSpan w:val="2"/>
            <w:tcBorders>
              <w:right w:val="nil"/>
            </w:tcBorders>
            <w:shd w:val="clear" w:color="auto" w:fill="FFFFFF"/>
          </w:tcPr>
          <w:p w:rsidR="00E76D31" w:rsidRPr="00A70F69" w:rsidRDefault="003128E2" w:rsidP="00E5689B">
            <w:pPr>
              <w:jc w:val="center"/>
              <w:rPr>
                <w:lang w:eastAsia="en-US"/>
              </w:rPr>
            </w:pPr>
            <w:r w:rsidRPr="00A70F69">
              <w:rPr>
                <w:rFonts w:ascii="Segoe UI Symbol" w:eastAsia="MS Mincho" w:hAnsi="Segoe UI Symbol" w:cs="Segoe UI Symbol"/>
                <w:lang w:eastAsia="en-US"/>
              </w:rPr>
              <w:t>☐</w:t>
            </w:r>
          </w:p>
        </w:tc>
        <w:tc>
          <w:tcPr>
            <w:tcW w:w="4263" w:type="dxa"/>
            <w:gridSpan w:val="6"/>
            <w:tcBorders>
              <w:left w:val="nil"/>
            </w:tcBorders>
            <w:shd w:val="clear" w:color="auto" w:fill="FFFFFF"/>
          </w:tcPr>
          <w:p w:rsidR="00E76D31" w:rsidRPr="00A70F69" w:rsidRDefault="00E76D31" w:rsidP="00E5689B">
            <w:pPr>
              <w:rPr>
                <w:lang w:eastAsia="en-US"/>
              </w:rPr>
            </w:pPr>
            <w:r w:rsidRPr="00A70F69">
              <w:rPr>
                <w:lang w:eastAsia="en-US"/>
              </w:rPr>
              <w:t>Transpozícia práva EÚ</w:t>
            </w:r>
          </w:p>
        </w:tc>
      </w:tr>
      <w:tr w:rsidR="00E76D31" w:rsidRPr="00A70F69" w:rsidTr="00E5689B">
        <w:tc>
          <w:tcPr>
            <w:tcW w:w="9180" w:type="dxa"/>
            <w:gridSpan w:val="10"/>
            <w:tcBorders>
              <w:bottom w:val="single" w:sz="4" w:space="0" w:color="FFFFFF"/>
            </w:tcBorders>
            <w:shd w:val="clear" w:color="auto" w:fill="FFFFFF"/>
          </w:tcPr>
          <w:p w:rsidR="00E76D31" w:rsidRPr="00A70F69" w:rsidRDefault="00E76D31" w:rsidP="00E5689B">
            <w:pPr>
              <w:rPr>
                <w:i/>
                <w:lang w:eastAsia="en-US"/>
              </w:rPr>
            </w:pPr>
            <w:r w:rsidRPr="00A70F69">
              <w:rPr>
                <w:i/>
                <w:lang w:eastAsia="en-US"/>
              </w:rPr>
              <w:t>V prípade transpozície uveďte zoznam transponovaných predpisov:</w:t>
            </w:r>
          </w:p>
          <w:p w:rsidR="00BF3639" w:rsidRDefault="00C15A3F" w:rsidP="00C15A3F">
            <w:pPr>
              <w:jc w:val="both"/>
            </w:pPr>
            <w:r w:rsidRPr="00C15A3F">
              <w:t xml:space="preserve">Články 183, 184, 185, 186, 193, 205, 273 smernice Rady 2006/112/ES z 28. novembra 2006 o spoločnom systéme dane z pridanej hodnoty a články 369e a 369l  smernice Rady 2017/2455 z 5. decembra 2017, ktorou sa mení smernica 2006/112/ES a smernica 2009/132/ES, pokiaľ ide o určité povinnosti týkajúce sa dane z pridanej hodnoty pri poskytovaní služieb a predaji tovaru na diaľku. </w:t>
            </w:r>
          </w:p>
          <w:p w:rsidR="001F4363" w:rsidRPr="001F4363" w:rsidRDefault="001F4363" w:rsidP="001F4363">
            <w:pPr>
              <w:jc w:val="both"/>
            </w:pPr>
            <w:r w:rsidRPr="001F4363">
              <w:t xml:space="preserve">Smernica Rady (EÚ) 2019/2235 zo 16. decembra 2019, ktorou sa mení smernica 2006/112/ES o spoločnom systéme dane z pridanej hodnoty a smernica 2008/118/ES o všeobecnom systéme spotrebných daní, pokiaľ ide o obranné úsilie v rámci Únie. </w:t>
            </w:r>
          </w:p>
          <w:p w:rsidR="001F4363" w:rsidRDefault="001F4363" w:rsidP="00C15A3F">
            <w:pPr>
              <w:jc w:val="both"/>
            </w:pPr>
          </w:p>
          <w:p w:rsidR="005A36C0" w:rsidRPr="00A70F69" w:rsidRDefault="005A36C0" w:rsidP="00C15A3F">
            <w:pPr>
              <w:jc w:val="both"/>
              <w:rPr>
                <w:lang w:eastAsia="en-US"/>
              </w:rPr>
            </w:pPr>
          </w:p>
        </w:tc>
      </w:tr>
      <w:tr w:rsidR="00E76D31" w:rsidRPr="00A70F69" w:rsidTr="00E5689B">
        <w:tc>
          <w:tcPr>
            <w:tcW w:w="5634" w:type="dxa"/>
            <w:gridSpan w:val="5"/>
            <w:tcBorders>
              <w:top w:val="single" w:sz="4" w:space="0" w:color="000000"/>
              <w:bottom w:val="single" w:sz="4" w:space="0" w:color="FFFFFF"/>
            </w:tcBorders>
            <w:shd w:val="clear" w:color="auto" w:fill="E2E2E2"/>
          </w:tcPr>
          <w:p w:rsidR="00E76D31" w:rsidRPr="00634A9E" w:rsidRDefault="00E76D31" w:rsidP="00033F02">
            <w:pPr>
              <w:keepNext/>
              <w:keepLines/>
              <w:spacing w:before="60" w:after="60"/>
              <w:jc w:val="both"/>
              <w:rPr>
                <w:rFonts w:eastAsia="ヒラギノ角ゴ Pro W3"/>
                <w:b/>
                <w:color w:val="000000"/>
              </w:rPr>
            </w:pPr>
            <w:r w:rsidRPr="00634A9E">
              <w:rPr>
                <w:rFonts w:eastAsia="ヒラギノ角ゴ Pro W3"/>
                <w:b/>
                <w:color w:val="000000"/>
              </w:rPr>
              <w:t>Termín začiatku a ukončenia PPK</w:t>
            </w:r>
          </w:p>
        </w:tc>
        <w:tc>
          <w:tcPr>
            <w:tcW w:w="3546" w:type="dxa"/>
            <w:gridSpan w:val="5"/>
            <w:tcBorders>
              <w:top w:val="single" w:sz="4" w:space="0" w:color="000000"/>
            </w:tcBorders>
          </w:tcPr>
          <w:p w:rsidR="00E76D31" w:rsidRPr="00903420" w:rsidRDefault="00B00949" w:rsidP="00610E53">
            <w:pPr>
              <w:rPr>
                <w:i/>
                <w:lang w:eastAsia="en-US"/>
              </w:rPr>
            </w:pPr>
            <w:r w:rsidRPr="00903420">
              <w:rPr>
                <w:i/>
                <w:lang w:eastAsia="en-US"/>
              </w:rPr>
              <w:t>marec 2021</w:t>
            </w:r>
          </w:p>
        </w:tc>
      </w:tr>
      <w:tr w:rsidR="00E76D31" w:rsidRPr="00A70F69" w:rsidTr="00E5689B">
        <w:tc>
          <w:tcPr>
            <w:tcW w:w="5634" w:type="dxa"/>
            <w:gridSpan w:val="5"/>
            <w:tcBorders>
              <w:bottom w:val="single" w:sz="4" w:space="0" w:color="FFFFFF"/>
            </w:tcBorders>
            <w:shd w:val="clear" w:color="auto" w:fill="E2E2E2"/>
          </w:tcPr>
          <w:p w:rsidR="00E76D31" w:rsidRPr="00634A9E" w:rsidRDefault="00E76D31" w:rsidP="0080343C">
            <w:pPr>
              <w:keepNext/>
              <w:keepLines/>
              <w:spacing w:before="60" w:after="60"/>
              <w:jc w:val="both"/>
              <w:rPr>
                <w:rFonts w:eastAsia="ヒラギノ角ゴ Pro W3"/>
                <w:b/>
                <w:color w:val="000000"/>
              </w:rPr>
            </w:pPr>
            <w:r w:rsidRPr="00634A9E">
              <w:rPr>
                <w:rFonts w:eastAsia="ヒラギノ角ゴ Pro W3"/>
                <w:b/>
                <w:color w:val="000000"/>
              </w:rPr>
              <w:t>Predpokladaný termín predloženia na MPK*</w:t>
            </w:r>
          </w:p>
        </w:tc>
        <w:tc>
          <w:tcPr>
            <w:tcW w:w="3546" w:type="dxa"/>
            <w:gridSpan w:val="5"/>
          </w:tcPr>
          <w:p w:rsidR="00E76D31" w:rsidRPr="00903420" w:rsidRDefault="0021219E" w:rsidP="002D1B55">
            <w:pPr>
              <w:rPr>
                <w:i/>
                <w:lang w:eastAsia="en-US"/>
              </w:rPr>
            </w:pPr>
            <w:r>
              <w:rPr>
                <w:i/>
                <w:lang w:eastAsia="en-US"/>
              </w:rPr>
              <w:t>apríl</w:t>
            </w:r>
            <w:r w:rsidRPr="00903420">
              <w:rPr>
                <w:i/>
                <w:lang w:eastAsia="en-US"/>
              </w:rPr>
              <w:t xml:space="preserve"> </w:t>
            </w:r>
            <w:r w:rsidR="00B00949" w:rsidRPr="00903420">
              <w:rPr>
                <w:i/>
                <w:lang w:eastAsia="en-US"/>
              </w:rPr>
              <w:t>2021</w:t>
            </w:r>
          </w:p>
        </w:tc>
      </w:tr>
      <w:tr w:rsidR="00E76D31" w:rsidRPr="00A70F69" w:rsidTr="00E5689B">
        <w:tc>
          <w:tcPr>
            <w:tcW w:w="5634" w:type="dxa"/>
            <w:gridSpan w:val="5"/>
            <w:tcBorders>
              <w:bottom w:val="single" w:sz="4" w:space="0" w:color="FFFFFF"/>
            </w:tcBorders>
            <w:shd w:val="clear" w:color="auto" w:fill="E2E2E2"/>
          </w:tcPr>
          <w:p w:rsidR="00E76D31" w:rsidRPr="00634A9E" w:rsidRDefault="00E76D31" w:rsidP="0080343C">
            <w:pPr>
              <w:keepNext/>
              <w:keepLines/>
              <w:spacing w:before="60" w:after="60"/>
              <w:jc w:val="both"/>
              <w:rPr>
                <w:rFonts w:eastAsia="ヒラギノ角ゴ Pro W3"/>
                <w:b/>
                <w:color w:val="000000"/>
              </w:rPr>
            </w:pPr>
            <w:r w:rsidRPr="00634A9E">
              <w:rPr>
                <w:rFonts w:eastAsia="ヒラギノ角ゴ Pro W3"/>
                <w:b/>
                <w:color w:val="000000"/>
              </w:rPr>
              <w:t>Predpokladaný termín predloženia na Rokovanie vlády SR*</w:t>
            </w:r>
          </w:p>
        </w:tc>
        <w:tc>
          <w:tcPr>
            <w:tcW w:w="3546" w:type="dxa"/>
            <w:gridSpan w:val="5"/>
          </w:tcPr>
          <w:p w:rsidR="00E76D31" w:rsidRPr="00903420" w:rsidRDefault="0021219E" w:rsidP="002D1B55">
            <w:pPr>
              <w:rPr>
                <w:i/>
                <w:lang w:eastAsia="en-US"/>
              </w:rPr>
            </w:pPr>
            <w:r>
              <w:rPr>
                <w:i/>
                <w:lang w:eastAsia="en-US"/>
              </w:rPr>
              <w:t>jún</w:t>
            </w:r>
            <w:r w:rsidRPr="00903420">
              <w:rPr>
                <w:i/>
                <w:lang w:eastAsia="en-US"/>
              </w:rPr>
              <w:t xml:space="preserve"> </w:t>
            </w:r>
            <w:r w:rsidR="00B00949" w:rsidRPr="00903420">
              <w:rPr>
                <w:i/>
                <w:lang w:eastAsia="en-US"/>
              </w:rPr>
              <w:t>2021</w:t>
            </w:r>
          </w:p>
        </w:tc>
      </w:tr>
      <w:tr w:rsidR="00E76D31" w:rsidRPr="00A70F69" w:rsidTr="00E5689B">
        <w:tc>
          <w:tcPr>
            <w:tcW w:w="9180" w:type="dxa"/>
            <w:gridSpan w:val="10"/>
            <w:tcBorders>
              <w:left w:val="nil"/>
              <w:right w:val="nil"/>
            </w:tcBorders>
            <w:shd w:val="clear" w:color="auto" w:fill="FFFFFF"/>
          </w:tcPr>
          <w:p w:rsidR="00E76D31" w:rsidRPr="00A70F69" w:rsidRDefault="00E76D31" w:rsidP="00E5689B">
            <w:pPr>
              <w:rPr>
                <w:lang w:eastAsia="en-US"/>
              </w:rPr>
            </w:pP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Definícia problému</w:t>
            </w:r>
          </w:p>
        </w:tc>
      </w:tr>
      <w:tr w:rsidR="00E76D31" w:rsidRPr="00A70F69" w:rsidTr="005A36C0">
        <w:trPr>
          <w:trHeight w:val="552"/>
        </w:trPr>
        <w:tc>
          <w:tcPr>
            <w:tcW w:w="9180" w:type="dxa"/>
            <w:gridSpan w:val="10"/>
            <w:tcBorders>
              <w:top w:val="single" w:sz="4" w:space="0" w:color="FFFFFF"/>
            </w:tcBorders>
            <w:shd w:val="clear" w:color="auto" w:fill="FFFFFF"/>
          </w:tcPr>
          <w:p w:rsidR="00ED3E4A" w:rsidRDefault="00F17830" w:rsidP="00ED3E4A">
            <w:pPr>
              <w:jc w:val="both"/>
            </w:pPr>
            <w:r w:rsidRPr="00F17830">
              <w:t>Návrh zákona reaguje na priority vyplývajúce z Programového vyhlásenia vlády SR</w:t>
            </w:r>
            <w:r>
              <w:t xml:space="preserve"> - pokračovanie v boji</w:t>
            </w:r>
            <w:r w:rsidR="00D21F67">
              <w:t xml:space="preserve"> proti daňovým podvodom.</w:t>
            </w:r>
          </w:p>
          <w:p w:rsidR="001E19B2" w:rsidRPr="00A70F69" w:rsidRDefault="001E19B2" w:rsidP="00ED3E4A">
            <w:pPr>
              <w:jc w:val="both"/>
            </w:pPr>
          </w:p>
          <w:p w:rsidR="00B00949" w:rsidRPr="00903420" w:rsidRDefault="00B00949" w:rsidP="00B00949">
            <w:pPr>
              <w:jc w:val="both"/>
            </w:pPr>
            <w:r w:rsidRPr="00903420">
              <w:t xml:space="preserve">Aktuálna právna úprava ručenia za daň z pridanej hodnoty je v aplikačnej praxi málo uplatňovaná z dôvodu veľmi úzkeho vymedzenia skutočností, ktoré zakladajú povinnosť odberateľa ručiť za nezaplatenú daň. Kontrolné zistenia orgánov finančnej správy, ako aj zistenia v rámci analytickej činnosti Finančného riaditeľstva SR, pritom preukázali rozsiahle zneužívanie skutočnosti, že v súvislosti s vykonávaním ekonomickej činnosti platiteľov dane nie je explicitne vyžadovaná existencia vlastného podnikateľského účtu platiteľa dane, čo v početných prípadoch spôsobuje obchodovanie využívaním cudzích bankových účtov, na ktoré správca dane, napriek závažným kontrolným a iným zisteniam, nemá dosah. Navrhované legislatívne opatrenia z tohto dôvodu zavádzajú povinnosť platiteľovi dane oznámiť (a v prípade zmeny aj aktualizovať) Finančnému riaditeľstvu SR každý vlastný bankový účet, na ktorom bude sústreďovať finančné prostriedky z ekonomickej činnosti podliehajúcej DPH, a v tejto súvislosti posilňujú inštitút ručenia za daň z pridanej hodnoty tak, že rozširujú vedomostný test odberateľa o novú skutočnosť. Odberateľovi bude vznikať povinnosť ručiť za dodávateľom nezaplatenú daň aj v prípade, ak dodávateľovi  zaplatil protihodnotu (alebo jej časť) za plnenie na iný bankový účet ako bankový účet dodávateľa, ktorý v deň uskutočnenia platby bol zverejnený na webovom sídle FR SR. </w:t>
            </w:r>
          </w:p>
          <w:p w:rsidR="005A36C0" w:rsidRDefault="00B00949" w:rsidP="005A36C0">
            <w:pPr>
              <w:jc w:val="both"/>
            </w:pPr>
            <w:r w:rsidRPr="00903420">
              <w:t xml:space="preserve">Za účelom zníženia rizika ručenia za nezaplatenú daň sa odberateľovi umožní využiť osobitný spôsob úhrady dane, keď daň uvedenú na faktúre uhradí na číslo účtu správcu dane vedeného pre dodávateľa. Takýto spôsobom úhrady dane umožní odberateľovi vyhnúť sa situácii, kedy </w:t>
            </w:r>
            <w:r w:rsidRPr="00903420">
              <w:lastRenderedPageBreak/>
              <w:t>v prípade naplnenia zákonom ustanovenej domnienky, bude voči nemu uplatnený inštitút ručenia za daň.</w:t>
            </w:r>
          </w:p>
          <w:p w:rsidR="001F4363" w:rsidRPr="00A70F69" w:rsidRDefault="001F4363" w:rsidP="005A36C0">
            <w:pPr>
              <w:jc w:val="both"/>
            </w:pPr>
            <w:r w:rsidRPr="001F4363">
              <w:t>Slovenskej republike taktiež vyplýva povinnosť prijať a uverejniť zákon potrebný na dosiahnutie súladu zákona č. 222/2004 Z. z. o dani z pridanej hodnoty v znení neskorších predpisov so smernicou (EÚ) 2019/2235. </w:t>
            </w:r>
          </w:p>
        </w:tc>
      </w:tr>
      <w:tr w:rsidR="00E76D31" w:rsidRPr="00A70F69" w:rsidTr="00E5689B">
        <w:tc>
          <w:tcPr>
            <w:tcW w:w="9180" w:type="dxa"/>
            <w:gridSpan w:val="10"/>
            <w:tcBorders>
              <w:bottom w:val="nil"/>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lastRenderedPageBreak/>
              <w:t>Ciele a výsledný stav</w:t>
            </w:r>
          </w:p>
        </w:tc>
      </w:tr>
      <w:tr w:rsidR="00E76D31" w:rsidRPr="00A70F69" w:rsidTr="00E5689B">
        <w:trPr>
          <w:trHeight w:val="741"/>
        </w:trPr>
        <w:tc>
          <w:tcPr>
            <w:tcW w:w="9180" w:type="dxa"/>
            <w:gridSpan w:val="10"/>
            <w:tcBorders>
              <w:top w:val="nil"/>
            </w:tcBorders>
            <w:shd w:val="clear" w:color="auto" w:fill="FFFFFF"/>
          </w:tcPr>
          <w:p w:rsidR="00E76D31" w:rsidRPr="00A70F69" w:rsidRDefault="00E76D31" w:rsidP="00E5689B">
            <w:pPr>
              <w:rPr>
                <w:i/>
                <w:lang w:eastAsia="en-US"/>
              </w:rPr>
            </w:pPr>
            <w:r w:rsidRPr="00A70F69">
              <w:rPr>
                <w:i/>
                <w:lang w:eastAsia="en-US"/>
              </w:rPr>
              <w:t>Uveďte hlavné ciele navrhovaného predpisu (aký výsledný stav chcete reguláciou dosiahnuť).</w:t>
            </w:r>
          </w:p>
          <w:p w:rsidR="000836D2" w:rsidRDefault="0065479F" w:rsidP="00B1257C">
            <w:pPr>
              <w:autoSpaceDN w:val="0"/>
              <w:spacing w:after="160" w:line="252" w:lineRule="auto"/>
              <w:jc w:val="both"/>
              <w:textAlignment w:val="baseline"/>
            </w:pPr>
            <w:r>
              <w:t>Primárnym cieľom predkladaného návrhu</w:t>
            </w:r>
            <w:r w:rsidR="005C5F7E">
              <w:t xml:space="preserve"> je </w:t>
            </w:r>
            <w:r w:rsidR="00475219">
              <w:t>zavedenie ďalších</w:t>
            </w:r>
            <w:r w:rsidR="005C5F7E">
              <w:t xml:space="preserve"> </w:t>
            </w:r>
            <w:r w:rsidR="00DE1AE5">
              <w:t xml:space="preserve">efektívnych </w:t>
            </w:r>
            <w:r w:rsidR="005C5F7E">
              <w:t>nástrojov boja proti daňovým podvodom.</w:t>
            </w:r>
            <w:r w:rsidR="00D21F67">
              <w:t xml:space="preserve"> </w:t>
            </w:r>
            <w:r w:rsidR="00475219">
              <w:t xml:space="preserve">Ide </w:t>
            </w:r>
            <w:r w:rsidR="00DE1AE5">
              <w:t xml:space="preserve">o </w:t>
            </w:r>
            <w:r w:rsidR="00475219">
              <w:t xml:space="preserve">nové opatrenia, </w:t>
            </w:r>
            <w:r w:rsidR="009E1AC3">
              <w:t>ktorými sú diskvalifikácia osôb</w:t>
            </w:r>
            <w:r w:rsidR="00475219">
              <w:t xml:space="preserve"> </w:t>
            </w:r>
            <w:r w:rsidR="00DE1AE5">
              <w:t>a</w:t>
            </w:r>
            <w:r w:rsidR="00A74126">
              <w:t xml:space="preserve"> index daňovej spoľahlivosti.</w:t>
            </w:r>
          </w:p>
          <w:p w:rsidR="001E19B2" w:rsidRPr="006933A9" w:rsidRDefault="0071180C" w:rsidP="00B1257C">
            <w:pPr>
              <w:jc w:val="both"/>
            </w:pPr>
            <w:r>
              <w:t>Index daňovej spoľahlivosti - z</w:t>
            </w:r>
            <w:r w:rsidRPr="006933A9">
              <w:t xml:space="preserve"> neverejnej formy hodnotenia sa navrhuje prejsť na transparentnú formu hodnotenia. Daňové subjekty, ktoré si budú zodpovedne plniť svoje daňové povinnosti (napr. včasné podávanie daňových priznaní a platenie dane), budú odmeňované benefitmi. Naopak tí podnikatelia, ktorí nebudú hodnotení ako spoľahliví, budú motivovaní k zodpovednejšiemu prístupu.</w:t>
            </w:r>
            <w:r>
              <w:t xml:space="preserve"> Hodnotenie daňového subjektu bude zverejnené v zozname na webe finančnej správy.</w:t>
            </w:r>
          </w:p>
          <w:p w:rsidR="0071180C" w:rsidRPr="006933A9" w:rsidRDefault="0071180C" w:rsidP="00B1257C">
            <w:pPr>
              <w:jc w:val="both"/>
            </w:pPr>
          </w:p>
          <w:p w:rsidR="0071180C" w:rsidRDefault="0071180C" w:rsidP="00B1257C">
            <w:pPr>
              <w:jc w:val="both"/>
            </w:pPr>
            <w:r w:rsidRPr="006933A9">
              <w:t xml:space="preserve">Na skvalitnenie výberu daní a očistenie podnikateľského prostredia prispeje aj </w:t>
            </w:r>
            <w:r w:rsidR="009E1AC3">
              <w:br/>
            </w:r>
            <w:r w:rsidRPr="006933A9">
              <w:t>vylúčenie – diskvalifikácia fyzických osôb, ktoré sú štatutármi daňov</w:t>
            </w:r>
            <w:r w:rsidR="00A35FEF">
              <w:t>ých</w:t>
            </w:r>
            <w:r w:rsidRPr="006933A9">
              <w:t xml:space="preserve"> subjektov, ktoré si neplnia zákonné povinnosti. Zámerom tohto opatrenia je, aby mal správca dane možnosť rozhodnúť o vylúčení fyzickej osoby, ak sa na to naplnia zákonom ustanovené dôvody. Týmto rozhodnutím bude fyzická osoba vylúčená z možnosti byť najmä štatutárnym orgánom alebo jeho členom, členom dozorného orgánu alebo prokuristom vo všetkých obchodných spoločnostiach a družstvách, a to na tri roky.</w:t>
            </w:r>
          </w:p>
          <w:p w:rsidR="001E19B2" w:rsidRDefault="001E19B2" w:rsidP="00B1257C">
            <w:pPr>
              <w:jc w:val="both"/>
            </w:pPr>
          </w:p>
          <w:p w:rsidR="001E19B2" w:rsidRDefault="001E19B2" w:rsidP="001E19B2">
            <w:pPr>
              <w:jc w:val="both"/>
              <w:rPr>
                <w:color w:val="000000" w:themeColor="text1"/>
              </w:rPr>
            </w:pPr>
            <w:r>
              <w:rPr>
                <w:color w:val="000000" w:themeColor="text1"/>
              </w:rPr>
              <w:t xml:space="preserve">Znížením sumy úhrady za poskytnutie záväzných stanovísk sa umožní daňovým subjektom častejšie využitie tohto inštitútu, keďže vďaka zníženiu sumy budú takého stanoviská prístupnejšie. </w:t>
            </w:r>
          </w:p>
          <w:p w:rsidR="001E19B2" w:rsidRDefault="001E19B2" w:rsidP="00BA0968"/>
          <w:p w:rsidR="004F113C" w:rsidRDefault="00D93715" w:rsidP="00D93715">
            <w:pPr>
              <w:autoSpaceDN w:val="0"/>
              <w:spacing w:after="160" w:line="252" w:lineRule="auto"/>
              <w:jc w:val="both"/>
              <w:textAlignment w:val="baseline"/>
            </w:pPr>
            <w:r>
              <w:t xml:space="preserve">Navrhuje </w:t>
            </w:r>
            <w:r w:rsidR="004F113C">
              <w:t xml:space="preserve">sa aj </w:t>
            </w:r>
            <w:r w:rsidR="008E3893">
              <w:t>zmena</w:t>
            </w:r>
            <w:r w:rsidR="004F113C">
              <w:t xml:space="preserve"> na zníženie administratívnej náročnosti, a to aby </w:t>
            </w:r>
            <w:r w:rsidR="0038230E">
              <w:t>správca dane nemusel daňovým subjektom zasielať osvedčenie o registrácii tzv. „kartičky“</w:t>
            </w:r>
            <w:r>
              <w:t>, ktoré je potrebné vrátiť po skončení podnikania a priniesť správcovi dane vždy za účelom vyznačenia zmien</w:t>
            </w:r>
            <w:r w:rsidR="0038230E">
              <w:t>.</w:t>
            </w:r>
          </w:p>
          <w:p w:rsidR="00BA7EED" w:rsidRDefault="00B00949" w:rsidP="005A36C0">
            <w:pPr>
              <w:jc w:val="both"/>
              <w:rPr>
                <w:bCs/>
              </w:rPr>
            </w:pPr>
            <w:r w:rsidRPr="00903420">
              <w:rPr>
                <w:bCs/>
              </w:rPr>
              <w:t xml:space="preserve">Cieľom legislatívnych opatrení týkajúcich sa zmien v zákone č. 222/2004 Z. z. o dani z pridanej hodnoty v znení neskorších predpisov je zabrániť zneužívaniu systému DPH na získanie neoprávnených ekonomických výhod a tak zlepšiť výber dane z pridanej hodnoty do štátneho rozpočtu. Rovnako očakávame, že navrhované legislatívne opatrenia prispejú k zlepšeniu podnikateľského prostredia, keďže sa pravidelným aktualizovaním zoznamu vlastných bankových účtov platiteľov dane umožní lepšie preverenie obchodného partnera a zefektívni sa práca správcu dane pri vyplácaní nadmerných odpočtov dane z pridanej hodnoty. </w:t>
            </w:r>
          </w:p>
          <w:p w:rsidR="001F4363" w:rsidRDefault="001F4363" w:rsidP="005A36C0">
            <w:pPr>
              <w:jc w:val="both"/>
              <w:rPr>
                <w:bCs/>
              </w:rPr>
            </w:pPr>
          </w:p>
          <w:p w:rsidR="001F4363" w:rsidRPr="00A70F69" w:rsidRDefault="001F4363" w:rsidP="005A36C0">
            <w:pPr>
              <w:jc w:val="both"/>
            </w:pPr>
            <w:r w:rsidRPr="001F4363">
              <w:rPr>
                <w:bCs/>
              </w:rPr>
              <w:t>Návrhom sa do zákona č. 222/2004 Z. z. o dani z pridanej hodnoty v znení neskorších predpisov preberá aj smernica (EÚ) 2019/2235, čím sa zosúlaďuje uplatňovanie režimu DPH na obranné úsilie v rámci EÚ a v rámci NATO.</w:t>
            </w:r>
          </w:p>
        </w:tc>
      </w:tr>
      <w:tr w:rsidR="00E76D31" w:rsidRPr="00A70F69" w:rsidTr="00E5689B">
        <w:tc>
          <w:tcPr>
            <w:tcW w:w="9180" w:type="dxa"/>
            <w:gridSpan w:val="10"/>
            <w:tcBorders>
              <w:bottom w:val="nil"/>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Dotknuté subjekty</w:t>
            </w:r>
          </w:p>
        </w:tc>
      </w:tr>
      <w:tr w:rsidR="00E76D31" w:rsidRPr="00A70F69" w:rsidTr="00E5689B">
        <w:tc>
          <w:tcPr>
            <w:tcW w:w="9180" w:type="dxa"/>
            <w:gridSpan w:val="10"/>
            <w:tcBorders>
              <w:top w:val="nil"/>
            </w:tcBorders>
            <w:shd w:val="clear" w:color="auto" w:fill="FFFFFF"/>
          </w:tcPr>
          <w:p w:rsidR="00E76D31" w:rsidRPr="00A70F69" w:rsidRDefault="00E76D31" w:rsidP="00E5689B">
            <w:pPr>
              <w:rPr>
                <w:i/>
                <w:lang w:eastAsia="en-US"/>
              </w:rPr>
            </w:pPr>
            <w:r w:rsidRPr="00A70F69">
              <w:rPr>
                <w:i/>
                <w:lang w:eastAsia="en-US"/>
              </w:rPr>
              <w:t>Uveďte subjekty, ktorých sa zmeny návrhu dotknú priamo aj nepriamo:</w:t>
            </w:r>
          </w:p>
          <w:p w:rsidR="00BA7EED" w:rsidRDefault="00504061" w:rsidP="005A36C0">
            <w:pPr>
              <w:rPr>
                <w:lang w:eastAsia="en-US"/>
              </w:rPr>
            </w:pPr>
            <w:r w:rsidRPr="00A70F69">
              <w:rPr>
                <w:lang w:eastAsia="en-US"/>
              </w:rPr>
              <w:t>Finančn</w:t>
            </w:r>
            <w:r w:rsidR="001456D1" w:rsidRPr="00A70F69">
              <w:rPr>
                <w:lang w:eastAsia="en-US"/>
              </w:rPr>
              <w:t>á</w:t>
            </w:r>
            <w:r w:rsidRPr="00A70F69">
              <w:rPr>
                <w:lang w:eastAsia="en-US"/>
              </w:rPr>
              <w:t xml:space="preserve"> </w:t>
            </w:r>
            <w:r w:rsidR="006F47E1" w:rsidRPr="00A70F69">
              <w:rPr>
                <w:lang w:eastAsia="en-US"/>
              </w:rPr>
              <w:t>správa,</w:t>
            </w:r>
            <w:r w:rsidR="000836D2" w:rsidRPr="00A70F69">
              <w:rPr>
                <w:lang w:eastAsia="en-US"/>
              </w:rPr>
              <w:t> daňové subjekty</w:t>
            </w:r>
            <w:r w:rsidR="006F47E1" w:rsidRPr="00A70F69">
              <w:rPr>
                <w:lang w:eastAsia="en-US"/>
              </w:rPr>
              <w:t>.</w:t>
            </w:r>
          </w:p>
          <w:p w:rsidR="005A36C0" w:rsidRPr="00A70F69" w:rsidRDefault="005A36C0" w:rsidP="005A36C0">
            <w:pPr>
              <w:rPr>
                <w:lang w:eastAsia="en-US"/>
              </w:rPr>
            </w:pPr>
          </w:p>
        </w:tc>
      </w:tr>
      <w:tr w:rsidR="00E76D31" w:rsidRPr="00A70F69" w:rsidTr="00E5689B">
        <w:tc>
          <w:tcPr>
            <w:tcW w:w="9180" w:type="dxa"/>
            <w:gridSpan w:val="10"/>
            <w:tcBorders>
              <w:bottom w:val="nil"/>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Alternatívne riešenia</w:t>
            </w:r>
          </w:p>
        </w:tc>
      </w:tr>
      <w:tr w:rsidR="00E76D31" w:rsidRPr="00A70F69" w:rsidTr="00E5689B">
        <w:trPr>
          <w:trHeight w:val="709"/>
        </w:trPr>
        <w:tc>
          <w:tcPr>
            <w:tcW w:w="9180" w:type="dxa"/>
            <w:gridSpan w:val="10"/>
            <w:tcBorders>
              <w:top w:val="nil"/>
            </w:tcBorders>
            <w:shd w:val="clear" w:color="auto" w:fill="FFFFFF"/>
          </w:tcPr>
          <w:p w:rsidR="00FE45E7" w:rsidRDefault="00E76D31" w:rsidP="00342F59">
            <w:pPr>
              <w:rPr>
                <w:i/>
                <w:lang w:eastAsia="en-US"/>
              </w:rPr>
            </w:pPr>
            <w:r w:rsidRPr="00A70F69">
              <w:rPr>
                <w:i/>
                <w:lang w:eastAsia="en-US"/>
              </w:rPr>
              <w:t xml:space="preserve">Aké alternatívne riešenia boli posudzované? </w:t>
            </w:r>
            <w:r w:rsidR="00342F59" w:rsidRPr="00A70F69">
              <w:rPr>
                <w:i/>
                <w:lang w:eastAsia="en-US"/>
              </w:rPr>
              <w:t>Uveďte, aké alternatívne spôsoby na odstránenie definovaného problému boli identifikované a posudzované.</w:t>
            </w:r>
          </w:p>
          <w:p w:rsidR="00E76D31" w:rsidRPr="00A70F69" w:rsidRDefault="00342F59" w:rsidP="00342F59">
            <w:pPr>
              <w:rPr>
                <w:i/>
                <w:lang w:eastAsia="en-US"/>
              </w:rPr>
            </w:pPr>
            <w:r w:rsidRPr="00A70F69">
              <w:rPr>
                <w:i/>
                <w:lang w:eastAsia="en-US"/>
              </w:rPr>
              <w:t xml:space="preserve"> </w:t>
            </w:r>
          </w:p>
          <w:p w:rsidR="0062412B" w:rsidRDefault="00FE45E7" w:rsidP="0062412B">
            <w:pPr>
              <w:jc w:val="both"/>
              <w:rPr>
                <w:color w:val="000000" w:themeColor="text1"/>
              </w:rPr>
            </w:pPr>
            <w:r>
              <w:rPr>
                <w:color w:val="000000" w:themeColor="text1"/>
              </w:rPr>
              <w:t>Účelom z</w:t>
            </w:r>
            <w:r w:rsidR="0062412B">
              <w:rPr>
                <w:color w:val="000000" w:themeColor="text1"/>
              </w:rPr>
              <w:t>níže</w:t>
            </w:r>
            <w:r>
              <w:rPr>
                <w:color w:val="000000" w:themeColor="text1"/>
              </w:rPr>
              <w:t>nia</w:t>
            </w:r>
            <w:r w:rsidR="0062412B">
              <w:rPr>
                <w:color w:val="000000" w:themeColor="text1"/>
              </w:rPr>
              <w:t xml:space="preserve"> sumy úhrady za poskytnutie záväzných stanovísk je umožniť daňovým subjektom častejšie využitie tohto inštitútu, keďže znížením sumy budú takého stanoviská prístupnejšie.  </w:t>
            </w:r>
          </w:p>
          <w:p w:rsidR="0062412B" w:rsidRDefault="0062412B" w:rsidP="00342F59"/>
          <w:p w:rsidR="00476B08" w:rsidRDefault="00476B08" w:rsidP="00FE45E7">
            <w:pPr>
              <w:jc w:val="both"/>
              <w:rPr>
                <w:color w:val="000000" w:themeColor="text1"/>
              </w:rPr>
            </w:pPr>
            <w:r w:rsidRPr="008803ED">
              <w:rPr>
                <w:color w:val="000000" w:themeColor="text1"/>
              </w:rPr>
              <w:t xml:space="preserve">V súvislosti so zavedením tzv. verejného indexu daňovej spoľahlivosti sa navrhuje, aby </w:t>
            </w:r>
            <w:r>
              <w:rPr>
                <w:color w:val="000000" w:themeColor="text1"/>
              </w:rPr>
              <w:t>F</w:t>
            </w:r>
            <w:r w:rsidRPr="008803ED">
              <w:rPr>
                <w:color w:val="000000" w:themeColor="text1"/>
              </w:rPr>
              <w:t xml:space="preserve">inančné riaditeľstvo </w:t>
            </w:r>
            <w:r>
              <w:rPr>
                <w:color w:val="000000" w:themeColor="text1"/>
              </w:rPr>
              <w:t xml:space="preserve">SR </w:t>
            </w:r>
            <w:r w:rsidRPr="008803ED">
              <w:rPr>
                <w:color w:val="000000" w:themeColor="text1"/>
              </w:rPr>
              <w:t xml:space="preserve">zverejňovalo </w:t>
            </w:r>
            <w:r>
              <w:rPr>
                <w:color w:val="000000" w:themeColor="text1"/>
              </w:rPr>
              <w:t>v novom zozname</w:t>
            </w:r>
            <w:r w:rsidRPr="008803ED">
              <w:rPr>
                <w:color w:val="000000" w:themeColor="text1"/>
              </w:rPr>
              <w:t xml:space="preserve"> daňov</w:t>
            </w:r>
            <w:r>
              <w:rPr>
                <w:color w:val="000000" w:themeColor="text1"/>
              </w:rPr>
              <w:t>é</w:t>
            </w:r>
            <w:r w:rsidRPr="008803ED">
              <w:rPr>
                <w:color w:val="000000" w:themeColor="text1"/>
              </w:rPr>
              <w:t xml:space="preserve"> subjekt</w:t>
            </w:r>
            <w:r>
              <w:rPr>
                <w:color w:val="000000" w:themeColor="text1"/>
              </w:rPr>
              <w:t>y</w:t>
            </w:r>
            <w:r w:rsidRPr="008803ED">
              <w:rPr>
                <w:color w:val="000000" w:themeColor="text1"/>
              </w:rPr>
              <w:t xml:space="preserve"> </w:t>
            </w:r>
            <w:r>
              <w:rPr>
                <w:color w:val="000000" w:themeColor="text1"/>
              </w:rPr>
              <w:t>s prideleným</w:t>
            </w:r>
            <w:r w:rsidRPr="008803ED">
              <w:rPr>
                <w:color w:val="000000" w:themeColor="text1"/>
              </w:rPr>
              <w:t xml:space="preserve"> index</w:t>
            </w:r>
            <w:r>
              <w:rPr>
                <w:color w:val="000000" w:themeColor="text1"/>
              </w:rPr>
              <w:t>om</w:t>
            </w:r>
            <w:r w:rsidRPr="008803ED">
              <w:rPr>
                <w:color w:val="000000" w:themeColor="text1"/>
              </w:rPr>
              <w:t xml:space="preserve"> daňovej spoľahlivosti</w:t>
            </w:r>
            <w:r>
              <w:rPr>
                <w:color w:val="000000" w:themeColor="text1"/>
              </w:rPr>
              <w:t>. Na rozdiel od doterajšej úpravy indexu navrhované znenie zabezpečí, že index daňovej spoľahlivosti bude</w:t>
            </w:r>
            <w:r w:rsidRPr="008803ED">
              <w:rPr>
                <w:color w:val="000000" w:themeColor="text1"/>
              </w:rPr>
              <w:t xml:space="preserve"> transparentným, nezávislým, objektívnym a aplikovateľným hodnotením takýchto daňových subjektov, a to na základe plnenia ich povinností voči finančnej správe.</w:t>
            </w:r>
          </w:p>
          <w:p w:rsidR="00476B08" w:rsidRDefault="00476B08" w:rsidP="00FE45E7">
            <w:pPr>
              <w:jc w:val="both"/>
              <w:rPr>
                <w:color w:val="000000" w:themeColor="text1"/>
              </w:rPr>
            </w:pPr>
          </w:p>
          <w:p w:rsidR="0062412B" w:rsidRDefault="0062412B" w:rsidP="00FE45E7">
            <w:pPr>
              <w:jc w:val="both"/>
              <w:rPr>
                <w:color w:val="000000" w:themeColor="text1"/>
              </w:rPr>
            </w:pPr>
            <w:r w:rsidRPr="00FE45E7">
              <w:rPr>
                <w:color w:val="252525"/>
                <w:shd w:val="clear" w:color="auto" w:fill="FFFFFF"/>
              </w:rPr>
              <w:t xml:space="preserve">Inštitút vylúčenia sa pripravovanou novelou  navrhuje zaviesť z dôvodu záväzku vlády v zmysle Programového vyhlásenia na roky 2020 – 2024 v rámci boja proti daňovým podvodom.  Táto úprava umožní správcom dane vydať rozhodnutie o vylúčenia fyzickej osoby, ktorá je štatutárom daňového subjektu, ktorý vážnym spôsobom porušuje svoje daňové povinnosti. </w:t>
            </w:r>
            <w:r w:rsidRPr="0062412B">
              <w:rPr>
                <w:color w:val="000000" w:themeColor="text1"/>
              </w:rPr>
              <w:t>Ustanovenie sa navrhuje v súvislosti s úpravou diskvalifikácie osôb v Obchodnom zákonníku, ako aj v zákone o súdoch, podľa ktorých je možné, aby nielen súd, ale aj iný orgán, vydal rozhodnutie o diskvalifikácii, ak sú na to splnené zákonné dôvody.</w:t>
            </w:r>
          </w:p>
          <w:p w:rsidR="00FE45E7" w:rsidRDefault="00FE45E7" w:rsidP="00FE45E7">
            <w:pPr>
              <w:jc w:val="both"/>
              <w:rPr>
                <w:color w:val="000000" w:themeColor="text1"/>
              </w:rPr>
            </w:pPr>
          </w:p>
          <w:p w:rsidR="00BA7EED" w:rsidRDefault="00C15A3F" w:rsidP="00FE45E7">
            <w:pPr>
              <w:jc w:val="both"/>
            </w:pPr>
            <w:r w:rsidRPr="00C15A3F">
              <w:t>V aktuálnej právnej úprave absentuje povinnosť pre platiteľov dane z pridanej hodnoty oznamovať číslo bankového účtu, na ktorom sústreďuje finančné prostriedky z ekonomickej činnosti podliehajúcej DPH. Kontrolné zistenia orgánov finančnej správy preukázali rozsiahle zneužívanie systému DPH pri vykonávaním ekonomickej činnosti platiteľov dane, kedy nie je explicitne vyžadovaná existencia vlastného podnikateľského účtu platiteľa dane. Častým javom je využívanie cudzích bankových účtov, na ktoré správca dane, napriek závažným kontrolným</w:t>
            </w:r>
            <w:r w:rsidR="002C5DD0">
              <w:t xml:space="preserve"> zisteniam</w:t>
            </w:r>
            <w:r w:rsidRPr="00C15A3F">
              <w:t>, nemá dosah. Aktuálne finančná správa eviduje približne 6 000 aktívnych daňových subjektov, pri ktorých správca dane nemá informácie o ich bankových účtoch. Pritom práve u týchto daňových subjektov sa akumulujú neprimerane vysoké daňové nedoplatky. Povinnosť pre platiteľov dane z pridanej hodnoty oznamovať finančnej správe čísla všetkých vlastných bankových účtov, ktoré používajú na vykonávanie ekonomickej činnosti, ktorá je predmetom DPH, sa zavádza hlavne z dôvodu boja proti daňovým únikom. Od toh</w:t>
            </w:r>
            <w:r w:rsidR="005F1520">
              <w:t>t</w:t>
            </w:r>
            <w:r w:rsidRPr="00C15A3F">
              <w:t>o opatrenia sa očakáva zvýšenie efektivity výberu daní. Zároveň sa pri vyplácaní nadmerných odpočtov znížia administratívne náklady správcu dane a zamedzí sa situáciám, kedy sú nadmerné odpočty vyplácané na cudzie bankové účty alebo poštovým poukazom.</w:t>
            </w:r>
          </w:p>
          <w:p w:rsidR="00C15A3F" w:rsidRPr="00A70F69" w:rsidRDefault="00C15A3F" w:rsidP="00FE45E7">
            <w:pPr>
              <w:jc w:val="both"/>
              <w:rPr>
                <w:i/>
                <w:lang w:eastAsia="en-US"/>
              </w:rPr>
            </w:pP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Vykonávacie predpisy</w:t>
            </w:r>
          </w:p>
        </w:tc>
      </w:tr>
      <w:tr w:rsidR="00E76D31" w:rsidRPr="00A70F69" w:rsidTr="00E5689B">
        <w:tc>
          <w:tcPr>
            <w:tcW w:w="6203" w:type="dxa"/>
            <w:gridSpan w:val="6"/>
            <w:tcBorders>
              <w:top w:val="single" w:sz="4" w:space="0" w:color="FFFFFF"/>
              <w:bottom w:val="nil"/>
              <w:right w:val="nil"/>
            </w:tcBorders>
            <w:shd w:val="clear" w:color="auto" w:fill="FFFFFF"/>
          </w:tcPr>
          <w:p w:rsidR="00E76D31" w:rsidRPr="00A70F69" w:rsidRDefault="00E76D31" w:rsidP="00E5689B">
            <w:pPr>
              <w:rPr>
                <w:i/>
                <w:lang w:eastAsia="en-US"/>
              </w:rPr>
            </w:pPr>
            <w:r w:rsidRPr="00A70F69">
              <w:rPr>
                <w:i/>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E76D31" w:rsidRPr="00A70F69" w:rsidRDefault="003128E2" w:rsidP="00E5689B">
            <w:pPr>
              <w:jc w:val="center"/>
              <w:rPr>
                <w:lang w:eastAsia="en-US"/>
              </w:rPr>
            </w:pPr>
            <w:r w:rsidRPr="00A70F69">
              <w:rPr>
                <w:rFonts w:ascii="Segoe UI Symbol" w:eastAsia="MS Mincho" w:hAnsi="Segoe UI Symbol" w:cs="Segoe UI Symbol"/>
                <w:lang w:eastAsia="en-US"/>
              </w:rPr>
              <w:t>☐</w:t>
            </w:r>
            <w:r w:rsidR="00E76D31" w:rsidRPr="00A70F69">
              <w:rPr>
                <w:lang w:eastAsia="en-US"/>
              </w:rPr>
              <w:t xml:space="preserve">  Áno</w:t>
            </w:r>
          </w:p>
        </w:tc>
        <w:tc>
          <w:tcPr>
            <w:tcW w:w="1560" w:type="dxa"/>
            <w:gridSpan w:val="2"/>
            <w:tcBorders>
              <w:top w:val="single" w:sz="4" w:space="0" w:color="FFFFFF"/>
              <w:left w:val="nil"/>
              <w:bottom w:val="nil"/>
            </w:tcBorders>
            <w:shd w:val="clear" w:color="auto" w:fill="FFFFFF"/>
          </w:tcPr>
          <w:p w:rsidR="00E76D31" w:rsidRPr="00A70F69" w:rsidRDefault="0065479F" w:rsidP="0065479F">
            <w:pPr>
              <w:jc w:val="center"/>
              <w:rPr>
                <w:lang w:eastAsia="en-US"/>
              </w:rPr>
            </w:pPr>
            <w:r w:rsidRPr="00A70F69">
              <w:rPr>
                <w:rFonts w:ascii="Segoe UI Symbol" w:eastAsia="MS Mincho" w:hAnsi="Segoe UI Symbol" w:cs="Segoe UI Symbol"/>
                <w:lang w:eastAsia="en-US"/>
              </w:rPr>
              <w:t>☒</w:t>
            </w:r>
            <w:r w:rsidR="00E76D31" w:rsidRPr="00A70F69">
              <w:rPr>
                <w:lang w:eastAsia="en-US"/>
              </w:rPr>
              <w:t xml:space="preserve"> Nie</w:t>
            </w:r>
          </w:p>
        </w:tc>
      </w:tr>
      <w:tr w:rsidR="00E76D31" w:rsidRPr="00A70F69" w:rsidTr="00E5689B">
        <w:tc>
          <w:tcPr>
            <w:tcW w:w="9180" w:type="dxa"/>
            <w:gridSpan w:val="10"/>
            <w:tcBorders>
              <w:top w:val="nil"/>
            </w:tcBorders>
            <w:shd w:val="clear" w:color="auto" w:fill="FFFFFF"/>
          </w:tcPr>
          <w:p w:rsidR="00893F7B" w:rsidRPr="00EE13AB" w:rsidRDefault="00E76D31" w:rsidP="003F48B9">
            <w:pPr>
              <w:rPr>
                <w:lang w:eastAsia="en-US"/>
              </w:rPr>
            </w:pPr>
            <w:r w:rsidRPr="00A70F69">
              <w:rPr>
                <w:i/>
                <w:lang w:eastAsia="en-US"/>
              </w:rPr>
              <w:t>Ak áno, uveďte ktoré oblasti budú nimi upravené, resp. ktorých vykonávacích predpisov sa zmena dotkne:</w:t>
            </w: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 xml:space="preserve">Transpozícia práva EÚ </w:t>
            </w:r>
          </w:p>
        </w:tc>
      </w:tr>
      <w:tr w:rsidR="00E76D31" w:rsidRPr="00A70F69" w:rsidTr="00E5689B">
        <w:trPr>
          <w:trHeight w:val="157"/>
        </w:trPr>
        <w:tc>
          <w:tcPr>
            <w:tcW w:w="9180" w:type="dxa"/>
            <w:gridSpan w:val="10"/>
            <w:tcBorders>
              <w:top w:val="nil"/>
              <w:left w:val="single" w:sz="4" w:space="0" w:color="000000"/>
              <w:bottom w:val="nil"/>
            </w:tcBorders>
            <w:shd w:val="clear" w:color="auto" w:fill="FFFFFF"/>
          </w:tcPr>
          <w:p w:rsidR="00E76D31" w:rsidRDefault="00E76D31" w:rsidP="00E5689B">
            <w:pPr>
              <w:rPr>
                <w:i/>
                <w:lang w:eastAsia="en-US"/>
              </w:rPr>
            </w:pPr>
            <w:r w:rsidRPr="00A70F69">
              <w:rPr>
                <w:i/>
                <w:lang w:eastAsia="en-US"/>
              </w:rPr>
              <w:t>Uveďte, v ktorých ustanoveniach ide národná právna úprava nad rámec minimálnych požiadaviek EÚ spolu s odôvodnením.</w:t>
            </w:r>
          </w:p>
          <w:p w:rsidR="00903420" w:rsidRDefault="00903420" w:rsidP="00E5689B">
            <w:pPr>
              <w:rPr>
                <w:i/>
                <w:lang w:eastAsia="en-US"/>
              </w:rPr>
            </w:pPr>
          </w:p>
          <w:p w:rsidR="005A36C0" w:rsidRDefault="005A36C0" w:rsidP="005A36C0">
            <w:pPr>
              <w:jc w:val="both"/>
            </w:pPr>
            <w:r w:rsidRPr="005A36C0">
              <w:t>Návrh právneho predpisu, týkajúci sa zmien  v § 6, § 69 ods. 14, § 69c a § 85kk zákona č. 222/2004 Z. z. v znení neskorších predpisov, predstavuje transpozíciu článkov 193, 205 v kontexte článku  273 smernice Rady 2006/112/ES. Na základe posledného zmieneného ustanovenia smernice rady 2006/112/ES môžu členské štáty, pri splnení podmienok rovnakého zaobchádzania a nezavádzania formalít spojených s prechodom hraníc, prijať opatrenia potrebné na riadny výber DPH a predchádzanie daňovým podvodom.  Nové opatrenia sa prijímajú z dôvodu naplnenia cieľov uvedených v bode 3 a eliminácie negatívnych situácií popísaných v bode 5.</w:t>
            </w:r>
          </w:p>
          <w:p w:rsidR="005A36C0" w:rsidRPr="00B0573E" w:rsidRDefault="001F4363" w:rsidP="005A36C0">
            <w:pPr>
              <w:jc w:val="both"/>
              <w:rPr>
                <w:lang w:eastAsia="en-US"/>
              </w:rPr>
            </w:pPr>
            <w:r w:rsidRPr="001F4363">
              <w:rPr>
                <w:lang w:eastAsia="en-US"/>
              </w:rPr>
              <w:t>Transpozíciou smernice (EÚ) 2019/2235 nedochádza k rozšíreniu pôsobnosti smernice nad rámec minimálnych požiadaviek, nedošlo k využitiu resp. nevyužitiu výnimiek, ktoré by udržali požiadavky na minime a rovnako nedošlo k skoršej implementácii, t. j. pred dátumom, ktorý ustanovuje smernica.</w:t>
            </w:r>
            <w:bookmarkStart w:id="0" w:name="_GoBack"/>
            <w:bookmarkEnd w:id="0"/>
          </w:p>
        </w:tc>
      </w:tr>
      <w:tr w:rsidR="00E76D31" w:rsidRPr="00A70F69" w:rsidTr="00E5689B">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595F17" w:rsidRPr="00A70F69" w:rsidRDefault="00595F17" w:rsidP="00EE13AB">
            <w:pPr>
              <w:jc w:val="both"/>
            </w:pPr>
          </w:p>
        </w:tc>
      </w:tr>
      <w:tr w:rsidR="00E76D31" w:rsidRPr="00A70F69" w:rsidTr="00E5689B">
        <w:tc>
          <w:tcPr>
            <w:tcW w:w="9180" w:type="dxa"/>
            <w:gridSpan w:val="10"/>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Preskúmanie účelnosti**</w:t>
            </w:r>
          </w:p>
        </w:tc>
      </w:tr>
      <w:tr w:rsidR="00E76D31" w:rsidRPr="00A70F69" w:rsidTr="00E5689B">
        <w:tc>
          <w:tcPr>
            <w:tcW w:w="9180" w:type="dxa"/>
            <w:gridSpan w:val="10"/>
            <w:tcBorders>
              <w:top w:val="single" w:sz="4" w:space="0" w:color="FFFFFF"/>
            </w:tcBorders>
            <w:shd w:val="clear" w:color="auto" w:fill="FFFFFF"/>
          </w:tcPr>
          <w:p w:rsidR="00E76D31" w:rsidRPr="00A70F69" w:rsidRDefault="00E76D31" w:rsidP="00E5689B">
            <w:pPr>
              <w:rPr>
                <w:i/>
                <w:lang w:eastAsia="en-US"/>
              </w:rPr>
            </w:pPr>
            <w:r w:rsidRPr="00A70F69">
              <w:rPr>
                <w:i/>
                <w:lang w:eastAsia="en-US"/>
              </w:rPr>
              <w:t>Uveďte termín, kedy by malo dôjsť k preskúmaniu účinnosti a účelnosti navrhovaného predpisu.</w:t>
            </w:r>
          </w:p>
          <w:p w:rsidR="0080343C" w:rsidRDefault="00E76D31" w:rsidP="00893F7B">
            <w:pPr>
              <w:rPr>
                <w:i/>
                <w:lang w:eastAsia="en-US"/>
              </w:rPr>
            </w:pPr>
            <w:r w:rsidRPr="00A70F69">
              <w:rPr>
                <w:i/>
                <w:lang w:eastAsia="en-US"/>
              </w:rPr>
              <w:t>Uveďte kritériá, na základe kt</w:t>
            </w:r>
            <w:r w:rsidR="00342F59" w:rsidRPr="00A70F69">
              <w:rPr>
                <w:i/>
                <w:lang w:eastAsia="en-US"/>
              </w:rPr>
              <w:t>orých bude preskúmanie vykonané</w:t>
            </w:r>
          </w:p>
          <w:p w:rsidR="00BA7EED" w:rsidRPr="00A70F69" w:rsidRDefault="00BA7EED" w:rsidP="00893F7B">
            <w:pPr>
              <w:rPr>
                <w:lang w:eastAsia="en-US"/>
              </w:rPr>
            </w:pPr>
          </w:p>
        </w:tc>
      </w:tr>
      <w:tr w:rsidR="00E76D31" w:rsidRPr="00A70F69" w:rsidTr="00E5689B">
        <w:trPr>
          <w:trHeight w:val="715"/>
        </w:trPr>
        <w:tc>
          <w:tcPr>
            <w:tcW w:w="9180" w:type="dxa"/>
            <w:gridSpan w:val="10"/>
            <w:tcBorders>
              <w:left w:val="nil"/>
              <w:bottom w:val="nil"/>
              <w:right w:val="nil"/>
            </w:tcBorders>
            <w:shd w:val="clear" w:color="auto" w:fill="FFFFFF"/>
          </w:tcPr>
          <w:p w:rsidR="00E76D31" w:rsidRPr="00A70F69" w:rsidRDefault="00E76D31" w:rsidP="0021734B">
            <w:pPr>
              <w:rPr>
                <w:lang w:eastAsia="en-US"/>
              </w:rPr>
            </w:pPr>
            <w:r w:rsidRPr="00A70F69">
              <w:rPr>
                <w:lang w:eastAsia="en-US"/>
              </w:rPr>
              <w:t>* vyplniť iba v prípade, ak materiál nie je zahrnutý do Plánu práce vlády Slovensk</w:t>
            </w:r>
            <w:r w:rsidR="00595F17" w:rsidRPr="00A70F69">
              <w:rPr>
                <w:lang w:eastAsia="en-US"/>
              </w:rPr>
              <w:t xml:space="preserve">ej republiky alebo Plánu </w:t>
            </w:r>
            <w:r w:rsidRPr="00A70F69">
              <w:rPr>
                <w:lang w:eastAsia="en-US"/>
              </w:rPr>
              <w:t xml:space="preserve">legislatívnych úloh vlády Slovenskej republiky. </w:t>
            </w:r>
          </w:p>
          <w:p w:rsidR="00E76D31" w:rsidRPr="00A70F69" w:rsidRDefault="00E76D31" w:rsidP="00E5689B">
            <w:pPr>
              <w:rPr>
                <w:lang w:eastAsia="en-US"/>
              </w:rPr>
            </w:pPr>
            <w:r w:rsidRPr="00A70F69">
              <w:rPr>
                <w:lang w:eastAsia="en-US"/>
              </w:rPr>
              <w:t>** nepovinné</w:t>
            </w:r>
          </w:p>
        </w:tc>
      </w:tr>
      <w:tr w:rsidR="00E76D31" w:rsidRPr="00A70F69" w:rsidTr="00E5689B">
        <w:tc>
          <w:tcPr>
            <w:tcW w:w="9180" w:type="dxa"/>
            <w:gridSpan w:val="10"/>
            <w:tcBorders>
              <w:top w:val="nil"/>
              <w:left w:val="nil"/>
              <w:right w:val="nil"/>
            </w:tcBorders>
            <w:shd w:val="clear" w:color="auto" w:fill="FFFFFF"/>
          </w:tcPr>
          <w:p w:rsidR="00E76D31" w:rsidRPr="00A70F69" w:rsidRDefault="00E76D31" w:rsidP="00E5689B">
            <w:pPr>
              <w:rPr>
                <w:b/>
                <w:lang w:eastAsia="en-US"/>
              </w:rPr>
            </w:pPr>
          </w:p>
        </w:tc>
      </w:tr>
      <w:tr w:rsidR="00E76D31" w:rsidRPr="00A70F69" w:rsidTr="00E5689B">
        <w:trPr>
          <w:trHeight w:val="577"/>
        </w:trPr>
        <w:tc>
          <w:tcPr>
            <w:tcW w:w="9180" w:type="dxa"/>
            <w:gridSpan w:val="10"/>
            <w:tcBorders>
              <w:bottom w:val="single" w:sz="4" w:space="0" w:color="FFFFFF"/>
            </w:tcBorders>
            <w:shd w:val="clear" w:color="auto" w:fill="E2E2E2"/>
            <w:vAlign w:val="center"/>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Vplyvy navrhovaného materiálu</w:t>
            </w:r>
          </w:p>
        </w:tc>
      </w:tr>
      <w:tr w:rsidR="00E76D31" w:rsidRPr="00A70F69" w:rsidTr="00E5689B">
        <w:tc>
          <w:tcPr>
            <w:tcW w:w="3812" w:type="dxa"/>
            <w:tcBorders>
              <w:bottom w:val="nil"/>
            </w:tcBorders>
            <w:shd w:val="clear" w:color="auto" w:fill="E2E2E2"/>
          </w:tcPr>
          <w:p w:rsidR="00E76D31" w:rsidRPr="00A70F69" w:rsidRDefault="00E76D31" w:rsidP="00E5689B">
            <w:pPr>
              <w:rPr>
                <w:b/>
                <w:lang w:eastAsia="en-US"/>
              </w:rPr>
            </w:pPr>
            <w:r w:rsidRPr="00A70F69">
              <w:rPr>
                <w:b/>
                <w:lang w:eastAsia="en-US"/>
              </w:rPr>
              <w:t>Vplyvy na rozpočet verejnej správy</w:t>
            </w:r>
          </w:p>
        </w:tc>
        <w:tc>
          <w:tcPr>
            <w:tcW w:w="541" w:type="dxa"/>
            <w:gridSpan w:val="2"/>
            <w:tcBorders>
              <w:right w:val="nil"/>
            </w:tcBorders>
          </w:tcPr>
          <w:p w:rsidR="00E76D31" w:rsidRPr="00A70F69" w:rsidRDefault="00CF4140" w:rsidP="006833A1">
            <w:pPr>
              <w:jc w:val="center"/>
              <w:rPr>
                <w:b/>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rPr>
                <w:b/>
                <w:lang w:eastAsia="en-US"/>
              </w:rPr>
            </w:pPr>
            <w:r w:rsidRPr="00A70F69">
              <w:rPr>
                <w:b/>
                <w:lang w:eastAsia="en-US"/>
              </w:rPr>
              <w:t>Pozitívne</w:t>
            </w:r>
          </w:p>
        </w:tc>
        <w:tc>
          <w:tcPr>
            <w:tcW w:w="569" w:type="dxa"/>
            <w:tcBorders>
              <w:left w:val="nil"/>
              <w:right w:val="nil"/>
            </w:tcBorders>
          </w:tcPr>
          <w:p w:rsidR="00E76D31" w:rsidRPr="00A70F69" w:rsidRDefault="0080343C" w:rsidP="00E5689B">
            <w:pPr>
              <w:jc w:val="center"/>
              <w:rPr>
                <w:b/>
                <w:lang w:eastAsia="en-US"/>
              </w:rPr>
            </w:pPr>
            <w:r w:rsidRPr="00A70F69">
              <w:rPr>
                <w:rFonts w:ascii="Segoe UI Symbol" w:eastAsia="MS Mincho" w:hAnsi="Segoe UI Symbol" w:cs="Segoe UI Symbol"/>
                <w:b/>
                <w:lang w:eastAsia="en-US"/>
              </w:rPr>
              <w:t>☐</w:t>
            </w:r>
          </w:p>
        </w:tc>
        <w:tc>
          <w:tcPr>
            <w:tcW w:w="1133" w:type="dxa"/>
            <w:tcBorders>
              <w:left w:val="nil"/>
              <w:right w:val="nil"/>
            </w:tcBorders>
          </w:tcPr>
          <w:p w:rsidR="00E76D31" w:rsidRPr="00A70F69" w:rsidRDefault="00E76D31" w:rsidP="00E5689B">
            <w:pPr>
              <w:rPr>
                <w:b/>
                <w:lang w:eastAsia="en-US"/>
              </w:rPr>
            </w:pPr>
            <w:r w:rsidRPr="00A70F69">
              <w:rPr>
                <w:b/>
                <w:lang w:eastAsia="en-US"/>
              </w:rPr>
              <w:t>Žiadne</w:t>
            </w:r>
          </w:p>
        </w:tc>
        <w:tc>
          <w:tcPr>
            <w:tcW w:w="547" w:type="dxa"/>
            <w:gridSpan w:val="2"/>
            <w:tcBorders>
              <w:left w:val="nil"/>
              <w:right w:val="nil"/>
            </w:tcBorders>
          </w:tcPr>
          <w:p w:rsidR="00E76D31" w:rsidRPr="00A70F69" w:rsidRDefault="001450CE" w:rsidP="00E5689B">
            <w:pPr>
              <w:ind w:left="-107" w:right="-108"/>
              <w:jc w:val="center"/>
              <w:rPr>
                <w:b/>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A70F69" w:rsidRDefault="00E76D31" w:rsidP="00E5689B">
            <w:pPr>
              <w:ind w:left="34"/>
              <w:rPr>
                <w:b/>
                <w:lang w:eastAsia="en-US"/>
              </w:rPr>
            </w:pPr>
            <w:r w:rsidRPr="00A70F69">
              <w:rPr>
                <w:b/>
                <w:lang w:eastAsia="en-US"/>
              </w:rPr>
              <w:t>Negatívne</w:t>
            </w:r>
          </w:p>
        </w:tc>
      </w:tr>
      <w:tr w:rsidR="00E76D31" w:rsidRPr="00A70F69" w:rsidTr="00E5689B">
        <w:tc>
          <w:tcPr>
            <w:tcW w:w="3812" w:type="dxa"/>
            <w:tcBorders>
              <w:top w:val="nil"/>
              <w:bottom w:val="single" w:sz="4" w:space="0" w:color="000000"/>
            </w:tcBorders>
            <w:shd w:val="clear" w:color="auto" w:fill="E2E2E2"/>
          </w:tcPr>
          <w:p w:rsidR="00E76D31" w:rsidRPr="00A70F69" w:rsidRDefault="00E76D31" w:rsidP="00E5689B">
            <w:pPr>
              <w:rPr>
                <w:lang w:eastAsia="en-US"/>
              </w:rPr>
            </w:pPr>
            <w:r w:rsidRPr="00A70F69">
              <w:rPr>
                <w:lang w:eastAsia="en-US"/>
              </w:rPr>
              <w:t xml:space="preserve">    z toho rozpočtovo zabezpečené vplyvy</w:t>
            </w:r>
          </w:p>
        </w:tc>
        <w:tc>
          <w:tcPr>
            <w:tcW w:w="541" w:type="dxa"/>
            <w:gridSpan w:val="2"/>
            <w:tcBorders>
              <w:right w:val="nil"/>
            </w:tcBorders>
          </w:tcPr>
          <w:p w:rsidR="00E76D31" w:rsidRPr="00A70F69" w:rsidRDefault="00F00ADB" w:rsidP="004C1AEB">
            <w:pPr>
              <w:jc w:val="center"/>
              <w:rPr>
                <w:lang w:eastAsia="en-US"/>
              </w:rPr>
            </w:pPr>
            <w:r w:rsidRPr="00D93715">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rPr>
                <w:lang w:eastAsia="en-US"/>
              </w:rPr>
            </w:pPr>
            <w:r w:rsidRPr="00A70F69">
              <w:rPr>
                <w:lang w:eastAsia="en-US"/>
              </w:rPr>
              <w:t>Áno</w:t>
            </w:r>
          </w:p>
        </w:tc>
        <w:tc>
          <w:tcPr>
            <w:tcW w:w="569" w:type="dxa"/>
            <w:tcBorders>
              <w:left w:val="nil"/>
              <w:right w:val="nil"/>
            </w:tcBorders>
          </w:tcPr>
          <w:p w:rsidR="00E76D31" w:rsidRPr="00A70F69" w:rsidRDefault="00F00ADB" w:rsidP="00E5689B">
            <w:pPr>
              <w:jc w:val="center"/>
              <w:rPr>
                <w:highlight w:val="yellow"/>
                <w:lang w:eastAsia="en-US"/>
              </w:rPr>
            </w:pPr>
            <w:r w:rsidRPr="00A70F69">
              <w:rPr>
                <w:rFonts w:ascii="Segoe UI Symbol" w:eastAsia="MS Mincho" w:hAnsi="Segoe UI Symbol" w:cs="Segoe UI Symbol"/>
                <w:lang w:eastAsia="en-US"/>
              </w:rPr>
              <w:t>☐</w:t>
            </w:r>
          </w:p>
        </w:tc>
        <w:tc>
          <w:tcPr>
            <w:tcW w:w="1133" w:type="dxa"/>
            <w:tcBorders>
              <w:left w:val="nil"/>
              <w:right w:val="nil"/>
            </w:tcBorders>
          </w:tcPr>
          <w:p w:rsidR="00E76D31" w:rsidRPr="00A70F69" w:rsidRDefault="00E76D31" w:rsidP="00E5689B">
            <w:pPr>
              <w:rPr>
                <w:highlight w:val="yellow"/>
                <w:lang w:eastAsia="en-US"/>
              </w:rPr>
            </w:pPr>
            <w:r w:rsidRPr="00A70F69">
              <w:rPr>
                <w:lang w:eastAsia="en-US"/>
              </w:rPr>
              <w:t>Nie</w:t>
            </w:r>
          </w:p>
        </w:tc>
        <w:tc>
          <w:tcPr>
            <w:tcW w:w="547" w:type="dxa"/>
            <w:gridSpan w:val="2"/>
            <w:tcBorders>
              <w:left w:val="nil"/>
              <w:right w:val="nil"/>
            </w:tcBorders>
          </w:tcPr>
          <w:p w:rsidR="00E76D31" w:rsidRPr="00A70F69" w:rsidRDefault="00E76D31" w:rsidP="00E5689B">
            <w:pPr>
              <w:ind w:left="-107" w:right="-108"/>
              <w:jc w:val="center"/>
              <w:rPr>
                <w:lang w:eastAsia="en-US"/>
              </w:rPr>
            </w:pPr>
            <w:r w:rsidRPr="00A70F69">
              <w:rPr>
                <w:rFonts w:ascii="Segoe UI Symbol" w:eastAsia="MS Mincho" w:hAnsi="Segoe UI Symbol" w:cs="Segoe UI Symbol"/>
                <w:lang w:eastAsia="en-US"/>
              </w:rPr>
              <w:t>☐</w:t>
            </w:r>
          </w:p>
        </w:tc>
        <w:tc>
          <w:tcPr>
            <w:tcW w:w="1297" w:type="dxa"/>
            <w:tcBorders>
              <w:left w:val="nil"/>
            </w:tcBorders>
          </w:tcPr>
          <w:p w:rsidR="00E76D31" w:rsidRPr="00A70F69" w:rsidRDefault="00E76D31" w:rsidP="00E5689B">
            <w:pPr>
              <w:ind w:left="34"/>
              <w:rPr>
                <w:lang w:eastAsia="en-US"/>
              </w:rPr>
            </w:pPr>
            <w:r w:rsidRPr="00A70F69">
              <w:rPr>
                <w:lang w:eastAsia="en-US"/>
              </w:rPr>
              <w:t>Čiastočne</w:t>
            </w:r>
          </w:p>
        </w:tc>
      </w:tr>
      <w:tr w:rsidR="00E76D31" w:rsidRPr="00A70F69" w:rsidTr="00E5689B">
        <w:tc>
          <w:tcPr>
            <w:tcW w:w="3812" w:type="dxa"/>
            <w:tcBorders>
              <w:top w:val="single" w:sz="4" w:space="0" w:color="000000"/>
              <w:bottom w:val="nil"/>
            </w:tcBorders>
            <w:shd w:val="clear" w:color="auto" w:fill="E2E2E2"/>
          </w:tcPr>
          <w:p w:rsidR="00E76D31" w:rsidRPr="00A70F69" w:rsidRDefault="00E76D31" w:rsidP="00E5689B">
            <w:pPr>
              <w:rPr>
                <w:b/>
                <w:lang w:eastAsia="en-US"/>
              </w:rPr>
            </w:pPr>
            <w:r w:rsidRPr="00A70F69">
              <w:rPr>
                <w:b/>
                <w:lang w:eastAsia="en-US"/>
              </w:rPr>
              <w:t>Vplyvy na podnikateľské prostredie</w:t>
            </w:r>
          </w:p>
        </w:tc>
        <w:tc>
          <w:tcPr>
            <w:tcW w:w="541" w:type="dxa"/>
            <w:gridSpan w:val="2"/>
            <w:tcBorders>
              <w:right w:val="nil"/>
            </w:tcBorders>
          </w:tcPr>
          <w:p w:rsidR="00E76D31" w:rsidRPr="00A70F69" w:rsidRDefault="009072E3" w:rsidP="00E5689B">
            <w:pPr>
              <w:jc w:val="center"/>
              <w:rPr>
                <w:b/>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ind w:right="-108"/>
              <w:rPr>
                <w:b/>
                <w:lang w:eastAsia="en-US"/>
              </w:rPr>
            </w:pPr>
            <w:r w:rsidRPr="00A70F69">
              <w:rPr>
                <w:b/>
                <w:lang w:eastAsia="en-US"/>
              </w:rPr>
              <w:t>Pozitívne</w:t>
            </w:r>
          </w:p>
        </w:tc>
        <w:tc>
          <w:tcPr>
            <w:tcW w:w="569" w:type="dxa"/>
            <w:tcBorders>
              <w:left w:val="nil"/>
              <w:right w:val="nil"/>
            </w:tcBorders>
          </w:tcPr>
          <w:p w:rsidR="00E76D31" w:rsidRPr="00A70F69" w:rsidRDefault="00504061" w:rsidP="00E5689B">
            <w:pPr>
              <w:jc w:val="center"/>
              <w:rPr>
                <w:b/>
                <w:lang w:eastAsia="en-US"/>
              </w:rPr>
            </w:pPr>
            <w:r w:rsidRPr="00A70F69">
              <w:rPr>
                <w:rFonts w:ascii="Segoe UI Symbol" w:eastAsia="MS Mincho" w:hAnsi="Segoe UI Symbol" w:cs="Segoe UI Symbol"/>
                <w:b/>
                <w:lang w:eastAsia="en-US"/>
              </w:rPr>
              <w:t>☐</w:t>
            </w:r>
          </w:p>
        </w:tc>
        <w:tc>
          <w:tcPr>
            <w:tcW w:w="1133" w:type="dxa"/>
            <w:tcBorders>
              <w:left w:val="nil"/>
              <w:right w:val="nil"/>
            </w:tcBorders>
          </w:tcPr>
          <w:p w:rsidR="00E76D31" w:rsidRPr="00A70F69" w:rsidRDefault="00E76D31" w:rsidP="00E5689B">
            <w:pPr>
              <w:rPr>
                <w:b/>
                <w:lang w:eastAsia="en-US"/>
              </w:rPr>
            </w:pPr>
            <w:r w:rsidRPr="00A70F69">
              <w:rPr>
                <w:b/>
                <w:lang w:eastAsia="en-US"/>
              </w:rPr>
              <w:t>Žiadne</w:t>
            </w:r>
          </w:p>
        </w:tc>
        <w:tc>
          <w:tcPr>
            <w:tcW w:w="547" w:type="dxa"/>
            <w:gridSpan w:val="2"/>
            <w:tcBorders>
              <w:left w:val="nil"/>
              <w:right w:val="nil"/>
            </w:tcBorders>
          </w:tcPr>
          <w:p w:rsidR="00E76D31" w:rsidRPr="00A70F69" w:rsidRDefault="00095530" w:rsidP="00E5689B">
            <w:pPr>
              <w:jc w:val="center"/>
              <w:rPr>
                <w:b/>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A70F69" w:rsidRDefault="00E76D31" w:rsidP="00E5689B">
            <w:pPr>
              <w:ind w:left="54"/>
              <w:rPr>
                <w:b/>
                <w:lang w:eastAsia="en-US"/>
              </w:rPr>
            </w:pPr>
            <w:r w:rsidRPr="00A70F69">
              <w:rPr>
                <w:b/>
                <w:lang w:eastAsia="en-US"/>
              </w:rPr>
              <w:t>Negatívne</w:t>
            </w:r>
          </w:p>
        </w:tc>
      </w:tr>
      <w:tr w:rsidR="00E76D31" w:rsidRPr="00A70F69" w:rsidTr="00E5689B">
        <w:tc>
          <w:tcPr>
            <w:tcW w:w="3812" w:type="dxa"/>
            <w:tcBorders>
              <w:top w:val="nil"/>
              <w:left w:val="single" w:sz="4" w:space="0" w:color="000000"/>
              <w:bottom w:val="single" w:sz="4" w:space="0" w:color="000000"/>
              <w:right w:val="single" w:sz="4" w:space="0" w:color="000000"/>
            </w:tcBorders>
            <w:shd w:val="clear" w:color="auto" w:fill="E2E2E2"/>
          </w:tcPr>
          <w:p w:rsidR="00E76D31" w:rsidRPr="00A70F69" w:rsidRDefault="00E76D31" w:rsidP="00E5689B">
            <w:pPr>
              <w:rPr>
                <w:lang w:eastAsia="en-US"/>
              </w:rPr>
            </w:pPr>
            <w:r w:rsidRPr="00A70F69">
              <w:rPr>
                <w:lang w:eastAsia="en-US"/>
              </w:rPr>
              <w:t xml:space="preserve">    z toho vplyvy na MSP</w:t>
            </w:r>
          </w:p>
        </w:tc>
        <w:tc>
          <w:tcPr>
            <w:tcW w:w="541" w:type="dxa"/>
            <w:gridSpan w:val="2"/>
            <w:tcBorders>
              <w:left w:val="single" w:sz="4" w:space="0" w:color="000000"/>
              <w:right w:val="nil"/>
            </w:tcBorders>
          </w:tcPr>
          <w:p w:rsidR="00E76D31" w:rsidRPr="00A70F69" w:rsidRDefault="009072E3" w:rsidP="00E5689B">
            <w:pPr>
              <w:jc w:val="center"/>
              <w:rPr>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ind w:right="-108"/>
              <w:rPr>
                <w:lang w:eastAsia="en-US"/>
              </w:rPr>
            </w:pPr>
            <w:r w:rsidRPr="00A70F69">
              <w:rPr>
                <w:lang w:eastAsia="en-US"/>
              </w:rPr>
              <w:t>Pozitívne</w:t>
            </w:r>
          </w:p>
        </w:tc>
        <w:tc>
          <w:tcPr>
            <w:tcW w:w="569" w:type="dxa"/>
            <w:tcBorders>
              <w:left w:val="nil"/>
              <w:right w:val="nil"/>
            </w:tcBorders>
          </w:tcPr>
          <w:p w:rsidR="00E76D31" w:rsidRPr="00A70F69" w:rsidRDefault="00030EA2" w:rsidP="00E5689B">
            <w:pPr>
              <w:jc w:val="center"/>
              <w:rPr>
                <w:lang w:eastAsia="en-US"/>
              </w:rPr>
            </w:pPr>
            <w:r w:rsidRPr="00A70F69">
              <w:rPr>
                <w:rFonts w:ascii="Segoe UI Symbol" w:eastAsia="MS Mincho" w:hAnsi="Segoe UI Symbol" w:cs="Segoe UI Symbol"/>
                <w:b/>
                <w:lang w:eastAsia="en-US"/>
              </w:rPr>
              <w:t>☐</w:t>
            </w:r>
          </w:p>
        </w:tc>
        <w:tc>
          <w:tcPr>
            <w:tcW w:w="1133" w:type="dxa"/>
            <w:tcBorders>
              <w:left w:val="nil"/>
              <w:right w:val="nil"/>
            </w:tcBorders>
          </w:tcPr>
          <w:p w:rsidR="00E76D31" w:rsidRPr="00A70F69" w:rsidRDefault="00E76D31" w:rsidP="00E5689B">
            <w:pPr>
              <w:rPr>
                <w:lang w:eastAsia="en-US"/>
              </w:rPr>
            </w:pPr>
            <w:r w:rsidRPr="00A70F69">
              <w:rPr>
                <w:lang w:eastAsia="en-US"/>
              </w:rPr>
              <w:t>Žiadne</w:t>
            </w:r>
          </w:p>
        </w:tc>
        <w:tc>
          <w:tcPr>
            <w:tcW w:w="547" w:type="dxa"/>
            <w:gridSpan w:val="2"/>
            <w:tcBorders>
              <w:left w:val="nil"/>
              <w:right w:val="nil"/>
            </w:tcBorders>
          </w:tcPr>
          <w:p w:rsidR="00E76D31" w:rsidRPr="00A70F69" w:rsidRDefault="00095530" w:rsidP="00E5689B">
            <w:pPr>
              <w:jc w:val="center"/>
              <w:rPr>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A70F69" w:rsidRDefault="00E76D31" w:rsidP="00E5689B">
            <w:pPr>
              <w:ind w:left="54"/>
              <w:rPr>
                <w:lang w:eastAsia="en-US"/>
              </w:rPr>
            </w:pPr>
            <w:r w:rsidRPr="00A70F69">
              <w:rPr>
                <w:lang w:eastAsia="en-US"/>
              </w:rPr>
              <w:t>Negatívne</w:t>
            </w:r>
          </w:p>
        </w:tc>
      </w:tr>
      <w:tr w:rsidR="00E76D31" w:rsidRPr="00A70F69" w:rsidTr="00E5689B">
        <w:tc>
          <w:tcPr>
            <w:tcW w:w="3812" w:type="dxa"/>
            <w:tcBorders>
              <w:top w:val="single" w:sz="4" w:space="0" w:color="000000"/>
            </w:tcBorders>
            <w:shd w:val="clear" w:color="auto" w:fill="E2E2E2"/>
          </w:tcPr>
          <w:p w:rsidR="00E76D31" w:rsidRPr="00A70F69" w:rsidRDefault="00E76D31" w:rsidP="00E5689B">
            <w:pPr>
              <w:rPr>
                <w:b/>
                <w:lang w:eastAsia="en-US"/>
              </w:rPr>
            </w:pPr>
            <w:r w:rsidRPr="00A70F69">
              <w:rPr>
                <w:b/>
                <w:lang w:eastAsia="en-US"/>
              </w:rPr>
              <w:t>Sociálne vplyvy</w:t>
            </w:r>
          </w:p>
        </w:tc>
        <w:tc>
          <w:tcPr>
            <w:tcW w:w="541" w:type="dxa"/>
            <w:gridSpan w:val="2"/>
            <w:tcBorders>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ind w:right="-108"/>
              <w:rPr>
                <w:b/>
                <w:lang w:eastAsia="en-US"/>
              </w:rPr>
            </w:pPr>
            <w:r w:rsidRPr="00A70F69">
              <w:rPr>
                <w:b/>
                <w:lang w:eastAsia="en-US"/>
              </w:rPr>
              <w:t>Pozitívne</w:t>
            </w:r>
          </w:p>
        </w:tc>
        <w:tc>
          <w:tcPr>
            <w:tcW w:w="569" w:type="dxa"/>
            <w:tcBorders>
              <w:left w:val="nil"/>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133" w:type="dxa"/>
            <w:tcBorders>
              <w:left w:val="nil"/>
              <w:right w:val="nil"/>
            </w:tcBorders>
          </w:tcPr>
          <w:p w:rsidR="00030EA2" w:rsidRPr="00A70F69" w:rsidRDefault="00E76D31" w:rsidP="00E5689B">
            <w:pPr>
              <w:rPr>
                <w:b/>
                <w:lang w:eastAsia="en-US"/>
              </w:rPr>
            </w:pPr>
            <w:r w:rsidRPr="00A70F69">
              <w:rPr>
                <w:b/>
                <w:lang w:eastAsia="en-US"/>
              </w:rPr>
              <w:t>Žiadne</w:t>
            </w:r>
          </w:p>
        </w:tc>
        <w:tc>
          <w:tcPr>
            <w:tcW w:w="547" w:type="dxa"/>
            <w:gridSpan w:val="2"/>
            <w:tcBorders>
              <w:left w:val="nil"/>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A70F69" w:rsidRDefault="00E76D31" w:rsidP="00E5689B">
            <w:pPr>
              <w:ind w:left="54"/>
              <w:rPr>
                <w:b/>
                <w:lang w:eastAsia="en-US"/>
              </w:rPr>
            </w:pPr>
            <w:r w:rsidRPr="00A70F69">
              <w:rPr>
                <w:b/>
                <w:lang w:eastAsia="en-US"/>
              </w:rPr>
              <w:t>Negatívne</w:t>
            </w:r>
          </w:p>
        </w:tc>
      </w:tr>
      <w:tr w:rsidR="00E76D31" w:rsidRPr="00A70F69" w:rsidTr="00E5689B">
        <w:tc>
          <w:tcPr>
            <w:tcW w:w="3812" w:type="dxa"/>
            <w:shd w:val="clear" w:color="auto" w:fill="E2E2E2"/>
          </w:tcPr>
          <w:p w:rsidR="00E76D31" w:rsidRPr="00A70F69" w:rsidRDefault="00E76D31" w:rsidP="00E5689B">
            <w:pPr>
              <w:rPr>
                <w:b/>
                <w:lang w:eastAsia="en-US"/>
              </w:rPr>
            </w:pPr>
            <w:r w:rsidRPr="00A70F69">
              <w:rPr>
                <w:b/>
                <w:lang w:eastAsia="en-US"/>
              </w:rPr>
              <w:t>Vplyvy na životné prostredie</w:t>
            </w:r>
          </w:p>
        </w:tc>
        <w:tc>
          <w:tcPr>
            <w:tcW w:w="541" w:type="dxa"/>
            <w:gridSpan w:val="2"/>
            <w:tcBorders>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A70F69" w:rsidRDefault="00E76D31" w:rsidP="00E5689B">
            <w:pPr>
              <w:ind w:right="-108"/>
              <w:rPr>
                <w:b/>
                <w:lang w:eastAsia="en-US"/>
              </w:rPr>
            </w:pPr>
            <w:r w:rsidRPr="00A70F69">
              <w:rPr>
                <w:b/>
                <w:lang w:eastAsia="en-US"/>
              </w:rPr>
              <w:t>Pozitívne</w:t>
            </w:r>
          </w:p>
        </w:tc>
        <w:tc>
          <w:tcPr>
            <w:tcW w:w="569" w:type="dxa"/>
            <w:tcBorders>
              <w:left w:val="nil"/>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133" w:type="dxa"/>
            <w:tcBorders>
              <w:left w:val="nil"/>
              <w:right w:val="nil"/>
            </w:tcBorders>
          </w:tcPr>
          <w:p w:rsidR="00E76D31" w:rsidRPr="00A70F69" w:rsidRDefault="00E76D31" w:rsidP="00E5689B">
            <w:pPr>
              <w:rPr>
                <w:b/>
                <w:lang w:eastAsia="en-US"/>
              </w:rPr>
            </w:pPr>
            <w:r w:rsidRPr="00A70F69">
              <w:rPr>
                <w:b/>
                <w:lang w:eastAsia="en-US"/>
              </w:rPr>
              <w:t>Žiadne</w:t>
            </w:r>
          </w:p>
        </w:tc>
        <w:tc>
          <w:tcPr>
            <w:tcW w:w="547" w:type="dxa"/>
            <w:gridSpan w:val="2"/>
            <w:tcBorders>
              <w:left w:val="nil"/>
              <w:right w:val="nil"/>
            </w:tcBorders>
          </w:tcPr>
          <w:p w:rsidR="00E76D31" w:rsidRPr="00A70F69" w:rsidRDefault="00E76D31" w:rsidP="00E5689B">
            <w:pPr>
              <w:jc w:val="center"/>
              <w:rPr>
                <w:b/>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A70F69" w:rsidRDefault="00E76D31" w:rsidP="00E5689B">
            <w:pPr>
              <w:ind w:left="54"/>
              <w:rPr>
                <w:b/>
                <w:lang w:eastAsia="en-US"/>
              </w:rPr>
            </w:pPr>
            <w:r w:rsidRPr="00A70F69">
              <w:rPr>
                <w:b/>
                <w:lang w:eastAsia="en-US"/>
              </w:rPr>
              <w:t>Negatívne</w:t>
            </w:r>
          </w:p>
        </w:tc>
      </w:tr>
      <w:tr w:rsidR="00E76D31" w:rsidRPr="00A70F69" w:rsidTr="00E5689B">
        <w:tc>
          <w:tcPr>
            <w:tcW w:w="3812" w:type="dxa"/>
            <w:shd w:val="clear" w:color="auto" w:fill="E2E2E2"/>
          </w:tcPr>
          <w:p w:rsidR="00E76D31" w:rsidRPr="00575F20" w:rsidRDefault="00E76D31" w:rsidP="00E5689B">
            <w:pPr>
              <w:rPr>
                <w:b/>
                <w:lang w:eastAsia="en-US"/>
              </w:rPr>
            </w:pPr>
            <w:r w:rsidRPr="00575F20">
              <w:rPr>
                <w:b/>
                <w:lang w:eastAsia="en-US"/>
              </w:rPr>
              <w:t>Vplyvy na informatizáciu</w:t>
            </w:r>
          </w:p>
        </w:tc>
        <w:tc>
          <w:tcPr>
            <w:tcW w:w="541" w:type="dxa"/>
            <w:gridSpan w:val="2"/>
            <w:tcBorders>
              <w:right w:val="nil"/>
            </w:tcBorders>
          </w:tcPr>
          <w:p w:rsidR="00E76D31" w:rsidRPr="00575F20" w:rsidRDefault="00A0690F" w:rsidP="00E5689B">
            <w:pPr>
              <w:jc w:val="center"/>
              <w:rPr>
                <w:b/>
                <w:lang w:eastAsia="en-US"/>
              </w:rPr>
            </w:pPr>
            <w:r w:rsidRPr="00A70F69">
              <w:rPr>
                <w:rFonts w:ascii="Segoe UI Symbol" w:eastAsia="MS Mincho" w:hAnsi="Segoe UI Symbol" w:cs="Segoe UI Symbol"/>
                <w:b/>
                <w:lang w:eastAsia="en-US"/>
              </w:rPr>
              <w:t>☒</w:t>
            </w:r>
          </w:p>
        </w:tc>
        <w:tc>
          <w:tcPr>
            <w:tcW w:w="1281" w:type="dxa"/>
            <w:gridSpan w:val="2"/>
            <w:tcBorders>
              <w:left w:val="nil"/>
              <w:right w:val="nil"/>
            </w:tcBorders>
          </w:tcPr>
          <w:p w:rsidR="00E76D31" w:rsidRPr="00575F20" w:rsidRDefault="00E76D31" w:rsidP="00E5689B">
            <w:pPr>
              <w:ind w:right="-108"/>
              <w:rPr>
                <w:b/>
                <w:lang w:eastAsia="en-US"/>
              </w:rPr>
            </w:pPr>
            <w:r w:rsidRPr="00575F20">
              <w:rPr>
                <w:b/>
                <w:lang w:eastAsia="en-US"/>
              </w:rPr>
              <w:t>Pozitívne</w:t>
            </w:r>
          </w:p>
        </w:tc>
        <w:tc>
          <w:tcPr>
            <w:tcW w:w="569" w:type="dxa"/>
            <w:tcBorders>
              <w:left w:val="nil"/>
              <w:right w:val="nil"/>
            </w:tcBorders>
          </w:tcPr>
          <w:p w:rsidR="00E76D31" w:rsidRPr="00575F20" w:rsidRDefault="004F434C" w:rsidP="00E5689B">
            <w:pPr>
              <w:jc w:val="center"/>
              <w:rPr>
                <w:b/>
                <w:lang w:eastAsia="en-US"/>
              </w:rPr>
            </w:pPr>
            <w:r w:rsidRPr="00575F20">
              <w:rPr>
                <w:rFonts w:ascii="Segoe UI Symbol" w:eastAsia="MS Mincho" w:hAnsi="Segoe UI Symbol" w:cs="Segoe UI Symbol"/>
                <w:b/>
                <w:lang w:eastAsia="en-US"/>
              </w:rPr>
              <w:t>☐</w:t>
            </w:r>
          </w:p>
        </w:tc>
        <w:tc>
          <w:tcPr>
            <w:tcW w:w="1133" w:type="dxa"/>
            <w:tcBorders>
              <w:left w:val="nil"/>
              <w:right w:val="nil"/>
            </w:tcBorders>
          </w:tcPr>
          <w:p w:rsidR="00E76D31" w:rsidRPr="00575F20" w:rsidRDefault="00E76D31" w:rsidP="00E5689B">
            <w:pPr>
              <w:rPr>
                <w:b/>
                <w:lang w:eastAsia="en-US"/>
              </w:rPr>
            </w:pPr>
            <w:r w:rsidRPr="00575F20">
              <w:rPr>
                <w:b/>
                <w:lang w:eastAsia="en-US"/>
              </w:rPr>
              <w:t>Žiadne</w:t>
            </w:r>
          </w:p>
        </w:tc>
        <w:tc>
          <w:tcPr>
            <w:tcW w:w="547" w:type="dxa"/>
            <w:gridSpan w:val="2"/>
            <w:tcBorders>
              <w:left w:val="nil"/>
              <w:right w:val="nil"/>
            </w:tcBorders>
          </w:tcPr>
          <w:p w:rsidR="00E76D31" w:rsidRPr="00575F20" w:rsidRDefault="00A0690F" w:rsidP="00E5689B">
            <w:pPr>
              <w:jc w:val="center"/>
              <w:rPr>
                <w:b/>
                <w:lang w:eastAsia="en-US"/>
              </w:rPr>
            </w:pPr>
            <w:r w:rsidRPr="00A70F69">
              <w:rPr>
                <w:rFonts w:ascii="Segoe UI Symbol" w:eastAsia="MS Mincho" w:hAnsi="Segoe UI Symbol" w:cs="Segoe UI Symbol"/>
                <w:b/>
                <w:lang w:eastAsia="en-US"/>
              </w:rPr>
              <w:t>☒</w:t>
            </w:r>
          </w:p>
        </w:tc>
        <w:tc>
          <w:tcPr>
            <w:tcW w:w="1297" w:type="dxa"/>
            <w:tcBorders>
              <w:left w:val="nil"/>
            </w:tcBorders>
          </w:tcPr>
          <w:p w:rsidR="00E76D31" w:rsidRPr="00575F20" w:rsidRDefault="00E76D31" w:rsidP="00E5689B">
            <w:pPr>
              <w:ind w:left="54"/>
              <w:rPr>
                <w:b/>
                <w:lang w:eastAsia="en-US"/>
              </w:rPr>
            </w:pPr>
            <w:r w:rsidRPr="00575F20">
              <w:rPr>
                <w:b/>
                <w:lang w:eastAsia="en-US"/>
              </w:rPr>
              <w:t>Negatívne</w:t>
            </w:r>
          </w:p>
        </w:tc>
      </w:tr>
      <w:tr w:rsidR="00B41B3E" w:rsidRPr="00A70F69" w:rsidTr="00E5689B">
        <w:tc>
          <w:tcPr>
            <w:tcW w:w="3812" w:type="dxa"/>
            <w:shd w:val="clear" w:color="auto" w:fill="E2E2E2"/>
          </w:tcPr>
          <w:p w:rsidR="00B41B3E" w:rsidRPr="00B41B3E" w:rsidRDefault="00B41B3E" w:rsidP="00B41B3E">
            <w:pPr>
              <w:rPr>
                <w:b/>
              </w:rPr>
            </w:pPr>
            <w:r w:rsidRPr="00B41B3E">
              <w:rPr>
                <w:b/>
                <w:lang w:eastAsia="en-US"/>
              </w:rPr>
              <w:t>Vplyvy na služby verejnej správy pre občana, z toho</w:t>
            </w:r>
          </w:p>
        </w:tc>
        <w:tc>
          <w:tcPr>
            <w:tcW w:w="541" w:type="dxa"/>
            <w:gridSpan w:val="2"/>
            <w:tcBorders>
              <w:right w:val="nil"/>
            </w:tcBorders>
          </w:tcPr>
          <w:p w:rsidR="00B41B3E" w:rsidRPr="00B41B3E" w:rsidRDefault="00B41B3E" w:rsidP="00B41B3E">
            <w:pPr>
              <w:jc w:val="center"/>
              <w:rPr>
                <w:rFonts w:eastAsia="MS Mincho"/>
                <w:b/>
              </w:rPr>
            </w:pPr>
          </w:p>
        </w:tc>
        <w:tc>
          <w:tcPr>
            <w:tcW w:w="1281" w:type="dxa"/>
            <w:gridSpan w:val="2"/>
            <w:tcBorders>
              <w:left w:val="nil"/>
              <w:right w:val="nil"/>
            </w:tcBorders>
          </w:tcPr>
          <w:p w:rsidR="00B41B3E" w:rsidRPr="00B41B3E" w:rsidRDefault="00B41B3E" w:rsidP="00B41B3E">
            <w:pPr>
              <w:ind w:right="-108"/>
              <w:rPr>
                <w:b/>
              </w:rPr>
            </w:pPr>
          </w:p>
        </w:tc>
        <w:tc>
          <w:tcPr>
            <w:tcW w:w="569" w:type="dxa"/>
            <w:tcBorders>
              <w:left w:val="nil"/>
              <w:right w:val="nil"/>
            </w:tcBorders>
          </w:tcPr>
          <w:p w:rsidR="00B41B3E" w:rsidRPr="00B41B3E" w:rsidRDefault="00B41B3E" w:rsidP="00B41B3E">
            <w:pPr>
              <w:jc w:val="center"/>
              <w:rPr>
                <w:rFonts w:eastAsia="MS Mincho"/>
                <w:b/>
              </w:rPr>
            </w:pPr>
          </w:p>
        </w:tc>
        <w:tc>
          <w:tcPr>
            <w:tcW w:w="1133" w:type="dxa"/>
            <w:tcBorders>
              <w:left w:val="nil"/>
              <w:right w:val="nil"/>
            </w:tcBorders>
          </w:tcPr>
          <w:p w:rsidR="00B41B3E" w:rsidRPr="00B41B3E" w:rsidRDefault="00B41B3E" w:rsidP="00B41B3E">
            <w:pPr>
              <w:rPr>
                <w:b/>
              </w:rPr>
            </w:pPr>
          </w:p>
        </w:tc>
        <w:tc>
          <w:tcPr>
            <w:tcW w:w="547" w:type="dxa"/>
            <w:gridSpan w:val="2"/>
            <w:tcBorders>
              <w:left w:val="nil"/>
              <w:right w:val="nil"/>
            </w:tcBorders>
          </w:tcPr>
          <w:p w:rsidR="00B41B3E" w:rsidRPr="00B41B3E" w:rsidRDefault="00B41B3E" w:rsidP="00B41B3E">
            <w:pPr>
              <w:jc w:val="center"/>
              <w:rPr>
                <w:rFonts w:eastAsia="MS Mincho"/>
                <w:b/>
              </w:rPr>
            </w:pPr>
          </w:p>
        </w:tc>
        <w:tc>
          <w:tcPr>
            <w:tcW w:w="1297" w:type="dxa"/>
            <w:tcBorders>
              <w:left w:val="nil"/>
            </w:tcBorders>
          </w:tcPr>
          <w:p w:rsidR="00B41B3E" w:rsidRPr="00B41B3E" w:rsidRDefault="00B41B3E" w:rsidP="00B41B3E">
            <w:pPr>
              <w:ind w:left="54"/>
              <w:rPr>
                <w:b/>
              </w:rPr>
            </w:pPr>
          </w:p>
        </w:tc>
      </w:tr>
      <w:tr w:rsidR="00B41B3E" w:rsidRPr="00A70F69" w:rsidTr="00E5689B">
        <w:tc>
          <w:tcPr>
            <w:tcW w:w="3812" w:type="dxa"/>
            <w:shd w:val="clear" w:color="auto" w:fill="E2E2E2"/>
          </w:tcPr>
          <w:p w:rsidR="00B41B3E" w:rsidRPr="00B41B3E" w:rsidRDefault="00B41B3E" w:rsidP="00B41B3E">
            <w:pPr>
              <w:ind w:left="196" w:hanging="196"/>
              <w:rPr>
                <w:b/>
                <w:lang w:eastAsia="en-US"/>
              </w:rPr>
            </w:pPr>
            <w:r w:rsidRPr="00B41B3E">
              <w:rPr>
                <w:b/>
                <w:lang w:eastAsia="en-US"/>
              </w:rPr>
              <w:t xml:space="preserve">    vplyvy služieb verejnej správy na občana</w:t>
            </w:r>
          </w:p>
        </w:tc>
        <w:tc>
          <w:tcPr>
            <w:tcW w:w="541" w:type="dxa"/>
            <w:gridSpan w:val="2"/>
            <w:tcBorders>
              <w:right w:val="nil"/>
            </w:tcBorders>
          </w:tcPr>
          <w:p w:rsidR="00B41B3E" w:rsidRPr="00B41B3E" w:rsidRDefault="00B41B3E" w:rsidP="00B41B3E">
            <w:pPr>
              <w:jc w:val="center"/>
              <w:rPr>
                <w:b/>
              </w:rPr>
            </w:pPr>
            <w:r w:rsidRPr="00B41B3E">
              <w:rPr>
                <w:rFonts w:ascii="Segoe UI Symbol" w:eastAsia="MS Gothic" w:hAnsi="Segoe UI Symbol" w:cs="Segoe UI Symbol"/>
                <w:b/>
              </w:rPr>
              <w:t>☐</w:t>
            </w:r>
          </w:p>
        </w:tc>
        <w:tc>
          <w:tcPr>
            <w:tcW w:w="1281" w:type="dxa"/>
            <w:gridSpan w:val="2"/>
            <w:tcBorders>
              <w:left w:val="nil"/>
              <w:right w:val="nil"/>
            </w:tcBorders>
          </w:tcPr>
          <w:p w:rsidR="00B41B3E" w:rsidRPr="00B41B3E" w:rsidRDefault="00B41B3E" w:rsidP="00B41B3E">
            <w:pPr>
              <w:ind w:right="-108"/>
              <w:rPr>
                <w:b/>
              </w:rPr>
            </w:pPr>
            <w:r w:rsidRPr="00B41B3E">
              <w:rPr>
                <w:b/>
              </w:rPr>
              <w:t>Pozitívne</w:t>
            </w:r>
          </w:p>
        </w:tc>
        <w:tc>
          <w:tcPr>
            <w:tcW w:w="569" w:type="dxa"/>
            <w:tcBorders>
              <w:left w:val="nil"/>
              <w:right w:val="nil"/>
            </w:tcBorders>
          </w:tcPr>
          <w:p w:rsidR="00B41B3E" w:rsidRPr="00B41B3E" w:rsidRDefault="00B41B3E" w:rsidP="00B41B3E">
            <w:pPr>
              <w:jc w:val="center"/>
              <w:rPr>
                <w:b/>
              </w:rPr>
            </w:pPr>
            <w:r w:rsidRPr="00B41B3E">
              <w:rPr>
                <w:rFonts w:ascii="Segoe UI Symbol" w:eastAsia="MS Gothic" w:hAnsi="Segoe UI Symbol" w:cs="Segoe UI Symbol"/>
                <w:b/>
              </w:rPr>
              <w:t>☒</w:t>
            </w:r>
          </w:p>
        </w:tc>
        <w:tc>
          <w:tcPr>
            <w:tcW w:w="1133" w:type="dxa"/>
            <w:tcBorders>
              <w:left w:val="nil"/>
              <w:right w:val="nil"/>
            </w:tcBorders>
          </w:tcPr>
          <w:p w:rsidR="00B41B3E" w:rsidRPr="00B41B3E" w:rsidRDefault="00B41B3E" w:rsidP="00B41B3E">
            <w:pPr>
              <w:rPr>
                <w:b/>
              </w:rPr>
            </w:pPr>
            <w:r w:rsidRPr="00B41B3E">
              <w:rPr>
                <w:b/>
              </w:rPr>
              <w:t>Žiadne</w:t>
            </w:r>
          </w:p>
        </w:tc>
        <w:tc>
          <w:tcPr>
            <w:tcW w:w="547" w:type="dxa"/>
            <w:gridSpan w:val="2"/>
            <w:tcBorders>
              <w:left w:val="nil"/>
              <w:right w:val="nil"/>
            </w:tcBorders>
          </w:tcPr>
          <w:p w:rsidR="00B41B3E" w:rsidRPr="00B41B3E" w:rsidRDefault="00B41B3E" w:rsidP="00B41B3E">
            <w:pPr>
              <w:jc w:val="center"/>
              <w:rPr>
                <w:b/>
              </w:rPr>
            </w:pPr>
            <w:r w:rsidRPr="00B41B3E">
              <w:rPr>
                <w:rFonts w:ascii="Segoe UI Symbol" w:eastAsia="MS Mincho" w:hAnsi="Segoe UI Symbol" w:cs="Segoe UI Symbol"/>
                <w:b/>
              </w:rPr>
              <w:t>☐</w:t>
            </w:r>
          </w:p>
        </w:tc>
        <w:tc>
          <w:tcPr>
            <w:tcW w:w="1297" w:type="dxa"/>
            <w:tcBorders>
              <w:left w:val="nil"/>
            </w:tcBorders>
          </w:tcPr>
          <w:p w:rsidR="00B41B3E" w:rsidRPr="00B41B3E" w:rsidRDefault="00B41B3E" w:rsidP="00B41B3E">
            <w:pPr>
              <w:ind w:left="54"/>
              <w:rPr>
                <w:b/>
              </w:rPr>
            </w:pPr>
            <w:r w:rsidRPr="00B41B3E">
              <w:rPr>
                <w:b/>
              </w:rPr>
              <w:t>Negatívne</w:t>
            </w:r>
          </w:p>
        </w:tc>
      </w:tr>
      <w:tr w:rsidR="00B41B3E" w:rsidRPr="00A70F69" w:rsidTr="00E5689B">
        <w:tc>
          <w:tcPr>
            <w:tcW w:w="3812" w:type="dxa"/>
            <w:shd w:val="clear" w:color="auto" w:fill="E2E2E2"/>
          </w:tcPr>
          <w:p w:rsidR="00B41B3E" w:rsidRPr="00B41B3E" w:rsidRDefault="00B41B3E" w:rsidP="00B41B3E">
            <w:pPr>
              <w:ind w:left="168" w:hanging="168"/>
              <w:rPr>
                <w:b/>
                <w:lang w:eastAsia="en-US"/>
              </w:rPr>
            </w:pPr>
            <w:r w:rsidRPr="00B41B3E">
              <w:rPr>
                <w:b/>
                <w:lang w:eastAsia="en-US"/>
              </w:rPr>
              <w:t xml:space="preserve">    vplyvy na procesy služieb vo verejnej správe</w:t>
            </w:r>
          </w:p>
        </w:tc>
        <w:tc>
          <w:tcPr>
            <w:tcW w:w="541" w:type="dxa"/>
            <w:gridSpan w:val="2"/>
            <w:tcBorders>
              <w:right w:val="nil"/>
            </w:tcBorders>
          </w:tcPr>
          <w:p w:rsidR="00B41B3E" w:rsidRPr="00B41B3E" w:rsidRDefault="00B41B3E" w:rsidP="00B41B3E">
            <w:pPr>
              <w:jc w:val="center"/>
              <w:rPr>
                <w:b/>
              </w:rPr>
            </w:pPr>
            <w:r w:rsidRPr="00B41B3E">
              <w:rPr>
                <w:rFonts w:ascii="Segoe UI Symbol" w:eastAsia="MS Mincho" w:hAnsi="Segoe UI Symbol" w:cs="Segoe UI Symbol"/>
                <w:b/>
              </w:rPr>
              <w:t>☐</w:t>
            </w:r>
          </w:p>
        </w:tc>
        <w:tc>
          <w:tcPr>
            <w:tcW w:w="1281" w:type="dxa"/>
            <w:gridSpan w:val="2"/>
            <w:tcBorders>
              <w:left w:val="nil"/>
              <w:right w:val="nil"/>
            </w:tcBorders>
          </w:tcPr>
          <w:p w:rsidR="00B41B3E" w:rsidRPr="00B41B3E" w:rsidRDefault="00B41B3E" w:rsidP="00B41B3E">
            <w:pPr>
              <w:ind w:right="-108"/>
              <w:rPr>
                <w:b/>
              </w:rPr>
            </w:pPr>
            <w:r w:rsidRPr="00B41B3E">
              <w:rPr>
                <w:b/>
              </w:rPr>
              <w:t>Pozitívne</w:t>
            </w:r>
          </w:p>
        </w:tc>
        <w:tc>
          <w:tcPr>
            <w:tcW w:w="569" w:type="dxa"/>
            <w:tcBorders>
              <w:left w:val="nil"/>
              <w:right w:val="nil"/>
            </w:tcBorders>
          </w:tcPr>
          <w:p w:rsidR="00B41B3E" w:rsidRPr="00B41B3E" w:rsidRDefault="00B41B3E" w:rsidP="00B41B3E">
            <w:pPr>
              <w:jc w:val="center"/>
              <w:rPr>
                <w:b/>
              </w:rPr>
            </w:pPr>
            <w:r w:rsidRPr="00B41B3E">
              <w:rPr>
                <w:rFonts w:ascii="Segoe UI Symbol" w:eastAsia="MS Gothic" w:hAnsi="Segoe UI Symbol" w:cs="Segoe UI Symbol"/>
                <w:b/>
              </w:rPr>
              <w:t>☒</w:t>
            </w:r>
          </w:p>
        </w:tc>
        <w:tc>
          <w:tcPr>
            <w:tcW w:w="1133" w:type="dxa"/>
            <w:tcBorders>
              <w:left w:val="nil"/>
              <w:right w:val="nil"/>
            </w:tcBorders>
          </w:tcPr>
          <w:p w:rsidR="00B41B3E" w:rsidRPr="00B41B3E" w:rsidRDefault="00B41B3E" w:rsidP="00B41B3E">
            <w:pPr>
              <w:rPr>
                <w:b/>
              </w:rPr>
            </w:pPr>
            <w:r w:rsidRPr="00B41B3E">
              <w:rPr>
                <w:b/>
              </w:rPr>
              <w:t>Žiadne</w:t>
            </w:r>
          </w:p>
        </w:tc>
        <w:tc>
          <w:tcPr>
            <w:tcW w:w="547" w:type="dxa"/>
            <w:gridSpan w:val="2"/>
            <w:tcBorders>
              <w:left w:val="nil"/>
              <w:right w:val="nil"/>
            </w:tcBorders>
          </w:tcPr>
          <w:p w:rsidR="00B41B3E" w:rsidRPr="00B41B3E" w:rsidRDefault="00B41B3E" w:rsidP="00B41B3E">
            <w:pPr>
              <w:jc w:val="center"/>
              <w:rPr>
                <w:b/>
              </w:rPr>
            </w:pPr>
            <w:r w:rsidRPr="00B41B3E">
              <w:rPr>
                <w:rFonts w:ascii="Segoe UI Symbol" w:eastAsia="MS Mincho" w:hAnsi="Segoe UI Symbol" w:cs="Segoe UI Symbol"/>
                <w:b/>
              </w:rPr>
              <w:t>☐</w:t>
            </w:r>
          </w:p>
        </w:tc>
        <w:tc>
          <w:tcPr>
            <w:tcW w:w="1297" w:type="dxa"/>
            <w:tcBorders>
              <w:left w:val="nil"/>
            </w:tcBorders>
          </w:tcPr>
          <w:p w:rsidR="00B41B3E" w:rsidRPr="00B41B3E" w:rsidRDefault="00B41B3E" w:rsidP="00B41B3E">
            <w:pPr>
              <w:ind w:left="54"/>
              <w:rPr>
                <w:b/>
              </w:rPr>
            </w:pPr>
            <w:r w:rsidRPr="00B41B3E">
              <w:rPr>
                <w:b/>
              </w:rPr>
              <w:t>Negatívne</w:t>
            </w:r>
          </w:p>
        </w:tc>
      </w:tr>
    </w:tbl>
    <w:p w:rsidR="00E76D31" w:rsidRDefault="00E76D31" w:rsidP="00E76D31">
      <w:pPr>
        <w:ind w:right="141"/>
        <w:rPr>
          <w:b/>
        </w:rPr>
      </w:pPr>
    </w:p>
    <w:p w:rsidR="001E19B2" w:rsidRPr="00A70F69" w:rsidRDefault="001E19B2" w:rsidP="00E76D31">
      <w:pPr>
        <w:ind w:right="141"/>
        <w:rPr>
          <w:b/>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E76D31" w:rsidRPr="00A70F69" w:rsidTr="00E5689B">
        <w:tc>
          <w:tcPr>
            <w:tcW w:w="9176" w:type="dxa"/>
            <w:tcBorders>
              <w:bottom w:val="nil"/>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Poznámky</w:t>
            </w:r>
          </w:p>
        </w:tc>
      </w:tr>
      <w:tr w:rsidR="00E76D31" w:rsidRPr="00A70F69" w:rsidTr="00E5689B">
        <w:trPr>
          <w:trHeight w:val="217"/>
        </w:trPr>
        <w:tc>
          <w:tcPr>
            <w:tcW w:w="9176" w:type="dxa"/>
            <w:tcBorders>
              <w:top w:val="nil"/>
              <w:bottom w:val="single" w:sz="4" w:space="0" w:color="FFFFFF"/>
            </w:tcBorders>
          </w:tcPr>
          <w:p w:rsidR="00D370E6" w:rsidRPr="00E445A1" w:rsidRDefault="005E4E62" w:rsidP="00C626E2">
            <w:pPr>
              <w:pBdr>
                <w:top w:val="single" w:sz="4" w:space="1" w:color="auto"/>
                <w:left w:val="single" w:sz="4" w:space="4" w:color="auto"/>
                <w:bottom w:val="single" w:sz="4" w:space="0" w:color="auto"/>
                <w:right w:val="single" w:sz="4" w:space="4" w:color="auto"/>
              </w:pBdr>
              <w:rPr>
                <w:lang w:eastAsia="en-US"/>
              </w:rPr>
            </w:pPr>
            <w:r w:rsidRPr="00E445A1">
              <w:rPr>
                <w:lang w:eastAsia="en-US"/>
              </w:rPr>
              <w:t xml:space="preserve">Navrhujú sa </w:t>
            </w:r>
            <w:proofErr w:type="spellStart"/>
            <w:r w:rsidRPr="00E445A1">
              <w:rPr>
                <w:lang w:eastAsia="en-US"/>
              </w:rPr>
              <w:t>propodnikateľské</w:t>
            </w:r>
            <w:proofErr w:type="spellEnd"/>
            <w:r w:rsidRPr="00E445A1">
              <w:rPr>
                <w:lang w:eastAsia="en-US"/>
              </w:rPr>
              <w:t xml:space="preserve"> opatrenia, a to:</w:t>
            </w:r>
          </w:p>
          <w:p w:rsidR="005E4E62" w:rsidRDefault="005E4E62" w:rsidP="00B1257C">
            <w:pPr>
              <w:pBdr>
                <w:top w:val="single" w:sz="4" w:space="1" w:color="auto"/>
                <w:left w:val="single" w:sz="4" w:space="4" w:color="auto"/>
                <w:bottom w:val="single" w:sz="4" w:space="0" w:color="auto"/>
                <w:right w:val="single" w:sz="4" w:space="4" w:color="auto"/>
              </w:pBdr>
              <w:jc w:val="both"/>
              <w:rPr>
                <w:lang w:eastAsia="en-US"/>
              </w:rPr>
            </w:pPr>
            <w:r w:rsidRPr="00E445A1">
              <w:rPr>
                <w:lang w:eastAsia="en-US"/>
              </w:rPr>
              <w:t>- správca dane nebude daňovým subjektom zasielať o registrácii tzv. „kartičky“</w:t>
            </w:r>
            <w:r w:rsidR="00D93715">
              <w:rPr>
                <w:lang w:eastAsia="en-US"/>
              </w:rPr>
              <w:t xml:space="preserve">, ktoré </w:t>
            </w:r>
            <w:r w:rsidRPr="00E445A1">
              <w:rPr>
                <w:lang w:eastAsia="en-US"/>
              </w:rPr>
              <w:t xml:space="preserve">daňový subjekt </w:t>
            </w:r>
            <w:r w:rsidR="00D93715">
              <w:rPr>
                <w:lang w:eastAsia="en-US"/>
              </w:rPr>
              <w:t>m</w:t>
            </w:r>
            <w:r w:rsidRPr="00E445A1">
              <w:rPr>
                <w:lang w:eastAsia="en-US"/>
              </w:rPr>
              <w:t>us</w:t>
            </w:r>
            <w:r w:rsidR="00D93715">
              <w:rPr>
                <w:lang w:eastAsia="en-US"/>
              </w:rPr>
              <w:t xml:space="preserve">el </w:t>
            </w:r>
            <w:r w:rsidRPr="00E445A1">
              <w:rPr>
                <w:lang w:eastAsia="en-US"/>
              </w:rPr>
              <w:t xml:space="preserve">predkladať </w:t>
            </w:r>
            <w:r w:rsidR="00EA0287">
              <w:rPr>
                <w:lang w:eastAsia="en-US"/>
              </w:rPr>
              <w:t xml:space="preserve">správcovi dane </w:t>
            </w:r>
            <w:r w:rsidRPr="00E445A1">
              <w:rPr>
                <w:lang w:eastAsia="en-US"/>
              </w:rPr>
              <w:t>za účelom zápisu zmien</w:t>
            </w:r>
            <w:r w:rsidR="00D93715">
              <w:rPr>
                <w:lang w:eastAsia="en-US"/>
              </w:rPr>
              <w:t xml:space="preserve"> a po skončení podnikania vrátiť</w:t>
            </w:r>
            <w:r w:rsidR="00B1257C">
              <w:rPr>
                <w:lang w:eastAsia="en-US"/>
              </w:rPr>
              <w:t>,</w:t>
            </w:r>
          </w:p>
          <w:p w:rsidR="005D486C" w:rsidRPr="00E445A1" w:rsidRDefault="005D486C" w:rsidP="00B1257C">
            <w:pPr>
              <w:pBdr>
                <w:top w:val="single" w:sz="4" w:space="1" w:color="auto"/>
                <w:left w:val="single" w:sz="4" w:space="4" w:color="auto"/>
                <w:bottom w:val="single" w:sz="4" w:space="0" w:color="auto"/>
                <w:right w:val="single" w:sz="4" w:space="4" w:color="auto"/>
              </w:pBdr>
              <w:jc w:val="both"/>
              <w:rPr>
                <w:lang w:eastAsia="en-US"/>
              </w:rPr>
            </w:pPr>
            <w:r>
              <w:rPr>
                <w:lang w:eastAsia="en-US"/>
              </w:rPr>
              <w:t>- zníženie sumy úhrady za záväzné stanovisko čím sa stane tento inštitút prístupnejším,</w:t>
            </w:r>
          </w:p>
          <w:p w:rsidR="00E445A1" w:rsidRDefault="00E445A1" w:rsidP="00B1257C">
            <w:pPr>
              <w:pBdr>
                <w:top w:val="single" w:sz="4" w:space="1" w:color="auto"/>
                <w:left w:val="single" w:sz="4" w:space="4" w:color="auto"/>
                <w:bottom w:val="single" w:sz="4" w:space="0" w:color="auto"/>
                <w:right w:val="single" w:sz="4" w:space="4" w:color="auto"/>
              </w:pBdr>
              <w:jc w:val="both"/>
              <w:rPr>
                <w:lang w:eastAsia="en-US"/>
              </w:rPr>
            </w:pPr>
            <w:r w:rsidRPr="00E445A1">
              <w:rPr>
                <w:lang w:eastAsia="en-US"/>
              </w:rPr>
              <w:t>- zvyšovanie daňovej transparentnosti – zverejňovanie hodnotenia daňového subjektu v zozna</w:t>
            </w:r>
            <w:r w:rsidR="00D46EBD">
              <w:rPr>
                <w:lang w:eastAsia="en-US"/>
              </w:rPr>
              <w:t>moch vedených finančnou správou</w:t>
            </w:r>
            <w:r w:rsidR="00B1257C">
              <w:rPr>
                <w:lang w:eastAsia="en-US"/>
              </w:rPr>
              <w:t>,</w:t>
            </w:r>
          </w:p>
          <w:p w:rsidR="00A83A8A" w:rsidRDefault="00B00949" w:rsidP="00FE45E7">
            <w:pPr>
              <w:pBdr>
                <w:top w:val="single" w:sz="4" w:space="1" w:color="auto"/>
                <w:left w:val="single" w:sz="4" w:space="4" w:color="auto"/>
                <w:bottom w:val="single" w:sz="4" w:space="0" w:color="auto"/>
                <w:right w:val="single" w:sz="4" w:space="4" w:color="auto"/>
              </w:pBdr>
              <w:jc w:val="both"/>
              <w:rPr>
                <w:lang w:eastAsia="en-US"/>
              </w:rPr>
            </w:pPr>
            <w:r w:rsidRPr="00903420">
              <w:rPr>
                <w:lang w:eastAsia="en-US"/>
              </w:rPr>
              <w:t>- možnosť skontrolovať vlastný bankový účet dodávateľa v zozname zverejnenom Finančným riaditeľstvom SR.</w:t>
            </w:r>
          </w:p>
          <w:p w:rsidR="00BA7EED" w:rsidRPr="00903420" w:rsidRDefault="00BA7EED" w:rsidP="00FE45E7">
            <w:pPr>
              <w:pBdr>
                <w:top w:val="single" w:sz="4" w:space="1" w:color="auto"/>
                <w:left w:val="single" w:sz="4" w:space="4" w:color="auto"/>
                <w:bottom w:val="single" w:sz="4" w:space="0" w:color="auto"/>
                <w:right w:val="single" w:sz="4" w:space="4" w:color="auto"/>
              </w:pBdr>
              <w:jc w:val="both"/>
              <w:rPr>
                <w:i/>
                <w:lang w:eastAsia="en-US"/>
              </w:rPr>
            </w:pPr>
          </w:p>
        </w:tc>
      </w:tr>
      <w:tr w:rsidR="00E76D31" w:rsidRPr="00A70F69" w:rsidTr="00E5689B">
        <w:tc>
          <w:tcPr>
            <w:tcW w:w="9176" w:type="dxa"/>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Kontakt na spracovateľa</w:t>
            </w:r>
          </w:p>
        </w:tc>
      </w:tr>
      <w:tr w:rsidR="00E76D31" w:rsidRPr="00A70F69" w:rsidTr="00E5689B">
        <w:trPr>
          <w:trHeight w:val="586"/>
        </w:trPr>
        <w:tc>
          <w:tcPr>
            <w:tcW w:w="9176" w:type="dxa"/>
            <w:tcBorders>
              <w:top w:val="single" w:sz="4" w:space="0" w:color="FFFFFF"/>
            </w:tcBorders>
            <w:shd w:val="clear" w:color="auto" w:fill="FFFFFF"/>
          </w:tcPr>
          <w:p w:rsidR="00E76D31" w:rsidRPr="00A70F69" w:rsidRDefault="00E76D31" w:rsidP="00E5689B">
            <w:pPr>
              <w:rPr>
                <w:i/>
                <w:lang w:eastAsia="en-US"/>
              </w:rPr>
            </w:pPr>
            <w:r w:rsidRPr="00A70F69">
              <w:rPr>
                <w:i/>
                <w:lang w:eastAsia="en-US"/>
              </w:rPr>
              <w:t>Uveďte údaje na kontaktnú osobu, ktorú je možné kontaktovať v súvislosti s posúdením vybraných vplyvov</w:t>
            </w:r>
          </w:p>
          <w:p w:rsidR="00E76D31" w:rsidRDefault="00CB143E" w:rsidP="003128E2">
            <w:r w:rsidRPr="00A70F69">
              <w:t>MF SR –</w:t>
            </w:r>
            <w:r w:rsidR="003128E2">
              <w:t xml:space="preserve"> </w:t>
            </w:r>
            <w:hyperlink r:id="rId9" w:history="1">
              <w:r w:rsidR="00592009" w:rsidRPr="004C3C17">
                <w:rPr>
                  <w:rStyle w:val="Hypertextovprepojenie"/>
                </w:rPr>
                <w:t>peter.turenic@mfsr.sk</w:t>
              </w:r>
            </w:hyperlink>
            <w:r w:rsidR="00030EA2" w:rsidRPr="00A70F69">
              <w:rPr>
                <w:i/>
                <w:lang w:eastAsia="en-US"/>
              </w:rPr>
              <w:t xml:space="preserve"> </w:t>
            </w:r>
            <w:r w:rsidR="00EB5806" w:rsidRPr="00A70F69">
              <w:t>tel. 5958</w:t>
            </w:r>
            <w:r w:rsidR="00592009">
              <w:t>5474</w:t>
            </w:r>
          </w:p>
          <w:p w:rsidR="009937A9" w:rsidRDefault="009937A9" w:rsidP="00592009">
            <w:r>
              <w:t xml:space="preserve">MF SR – </w:t>
            </w:r>
            <w:hyperlink r:id="rId10" w:history="1">
              <w:r w:rsidR="00592009" w:rsidRPr="004C3C17">
                <w:rPr>
                  <w:rStyle w:val="Hypertextovprepojenie"/>
                </w:rPr>
                <w:t>lucia.blazekova@mfsr.sk</w:t>
              </w:r>
            </w:hyperlink>
            <w:r>
              <w:t xml:space="preserve"> </w:t>
            </w:r>
            <w:r w:rsidRPr="00A70F69">
              <w:t>tel. 5958</w:t>
            </w:r>
            <w:r w:rsidR="00592009">
              <w:t>3473</w:t>
            </w:r>
          </w:p>
          <w:p w:rsidR="00BA7EED" w:rsidRDefault="00B00949" w:rsidP="00BA7EED">
            <w:r w:rsidRPr="00903420">
              <w:t xml:space="preserve">MFSR –  </w:t>
            </w:r>
            <w:hyperlink r:id="rId11" w:history="1">
              <w:r w:rsidR="00C43AC0" w:rsidRPr="0086420A">
                <w:rPr>
                  <w:rStyle w:val="Hypertextovprepojenie"/>
                </w:rPr>
                <w:t>milos.miklos@mfsr.sk</w:t>
              </w:r>
            </w:hyperlink>
            <w:r w:rsidR="00C43AC0">
              <w:rPr>
                <w:rStyle w:val="Hypertextovprepojenie"/>
                <w:color w:val="auto"/>
                <w:u w:val="none"/>
              </w:rPr>
              <w:t xml:space="preserve"> </w:t>
            </w:r>
            <w:r w:rsidRPr="00903420">
              <w:t>tel. 59583494</w:t>
            </w:r>
          </w:p>
          <w:p w:rsidR="00BA7EED" w:rsidRPr="003128E2" w:rsidRDefault="00BA7EED" w:rsidP="00BA7EED"/>
        </w:tc>
      </w:tr>
      <w:tr w:rsidR="00E76D31" w:rsidRPr="00A70F69" w:rsidTr="00E5689B">
        <w:tc>
          <w:tcPr>
            <w:tcW w:w="9176" w:type="dxa"/>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Zdroje</w:t>
            </w:r>
          </w:p>
        </w:tc>
      </w:tr>
      <w:tr w:rsidR="00E76D31" w:rsidRPr="00A70F69" w:rsidTr="00E5689B">
        <w:trPr>
          <w:trHeight w:val="401"/>
        </w:trPr>
        <w:tc>
          <w:tcPr>
            <w:tcW w:w="9176" w:type="dxa"/>
            <w:tcBorders>
              <w:top w:val="single" w:sz="4" w:space="0" w:color="FFFFFF"/>
            </w:tcBorders>
            <w:shd w:val="clear" w:color="auto" w:fill="FFFFFF"/>
          </w:tcPr>
          <w:p w:rsidR="00030EA2" w:rsidRPr="00A70F69" w:rsidRDefault="00E76D31" w:rsidP="00E5689B">
            <w:pPr>
              <w:rPr>
                <w:i/>
                <w:lang w:eastAsia="en-US"/>
              </w:rPr>
            </w:pPr>
            <w:r w:rsidRPr="00A70F69">
              <w:rPr>
                <w:i/>
                <w:lang w:eastAsia="en-US"/>
              </w:rPr>
              <w:t>Uveďte zdroje (štatistiky, prieskumy, spoluprácu s odborníkmi a iné), z ktorých ste pri vypracovávaní doložky, príp. analýz vplyvov vychádzali.</w:t>
            </w:r>
          </w:p>
          <w:p w:rsidR="00B00949" w:rsidRDefault="00373963" w:rsidP="003128E2">
            <w:pPr>
              <w:rPr>
                <w:lang w:eastAsia="en-US"/>
              </w:rPr>
            </w:pPr>
            <w:r w:rsidRPr="00A70F69">
              <w:rPr>
                <w:lang w:eastAsia="en-US"/>
              </w:rPr>
              <w:t>MF SR</w:t>
            </w:r>
            <w:r w:rsidR="006F1FB3" w:rsidRPr="00A70F69">
              <w:rPr>
                <w:lang w:eastAsia="en-US"/>
              </w:rPr>
              <w:t xml:space="preserve"> </w:t>
            </w:r>
            <w:r w:rsidR="003128E2">
              <w:rPr>
                <w:lang w:eastAsia="en-US"/>
              </w:rPr>
              <w:t xml:space="preserve">a </w:t>
            </w:r>
            <w:r w:rsidRPr="00A70F69">
              <w:rPr>
                <w:lang w:eastAsia="en-US"/>
              </w:rPr>
              <w:t xml:space="preserve"> Finančné riaditeľstvo SR</w:t>
            </w:r>
            <w:r w:rsidR="003128E2">
              <w:rPr>
                <w:lang w:eastAsia="en-US"/>
              </w:rPr>
              <w:t xml:space="preserve">  a</w:t>
            </w:r>
            <w:r w:rsidR="006F1FB3" w:rsidRPr="00A70F69">
              <w:rPr>
                <w:lang w:eastAsia="en-US"/>
              </w:rPr>
              <w:t>plikačná prax</w:t>
            </w:r>
            <w:r w:rsidRPr="00A70F69">
              <w:rPr>
                <w:lang w:eastAsia="en-US"/>
              </w:rPr>
              <w:t>.</w:t>
            </w:r>
          </w:p>
          <w:p w:rsidR="00373963" w:rsidRDefault="00B00949" w:rsidP="003128E2">
            <w:pPr>
              <w:rPr>
                <w:lang w:eastAsia="en-US"/>
              </w:rPr>
            </w:pPr>
            <w:r w:rsidRPr="00903420">
              <w:rPr>
                <w:lang w:eastAsia="en-US"/>
              </w:rPr>
              <w:t>Analýza vplyvov Finančného riaditeľstva SR.</w:t>
            </w:r>
          </w:p>
          <w:p w:rsidR="00BA7EED" w:rsidRDefault="00BA7EED" w:rsidP="003128E2">
            <w:pPr>
              <w:rPr>
                <w:lang w:eastAsia="en-US"/>
              </w:rPr>
            </w:pPr>
          </w:p>
          <w:p w:rsidR="00BA7EED" w:rsidRPr="00A70F69" w:rsidRDefault="00BA7EED" w:rsidP="003128E2">
            <w:pPr>
              <w:rPr>
                <w:i/>
                <w:lang w:eastAsia="en-US"/>
              </w:rPr>
            </w:pPr>
          </w:p>
        </w:tc>
      </w:tr>
      <w:tr w:rsidR="00E76D31" w:rsidRPr="00A70F69" w:rsidTr="00E5689B">
        <w:tc>
          <w:tcPr>
            <w:tcW w:w="9176" w:type="dxa"/>
            <w:tcBorders>
              <w:bottom w:val="single" w:sz="4" w:space="0" w:color="FFFFFF"/>
            </w:tcBorders>
            <w:shd w:val="clear" w:color="auto" w:fill="E2E2E2"/>
          </w:tcPr>
          <w:p w:rsidR="00E76D31" w:rsidRPr="00A70F69" w:rsidRDefault="00E76D31" w:rsidP="00E5689B">
            <w:pPr>
              <w:pStyle w:val="Odsekzoznamu"/>
              <w:numPr>
                <w:ilvl w:val="0"/>
                <w:numId w:val="1"/>
              </w:numPr>
              <w:spacing w:after="0" w:line="240" w:lineRule="auto"/>
              <w:ind w:left="426"/>
              <w:rPr>
                <w:rFonts w:ascii="Times New Roman" w:eastAsia="ヒラギノ角ゴ Pro W3" w:hAnsi="Times New Roman"/>
                <w:b/>
                <w:color w:val="000000"/>
                <w:sz w:val="24"/>
                <w:szCs w:val="24"/>
                <w:lang w:eastAsia="sk-SK"/>
              </w:rPr>
            </w:pPr>
            <w:r w:rsidRPr="00A70F69">
              <w:rPr>
                <w:rFonts w:ascii="Times New Roman" w:eastAsia="ヒラギノ角ゴ Pro W3" w:hAnsi="Times New Roman"/>
                <w:b/>
                <w:color w:val="000000"/>
                <w:sz w:val="24"/>
                <w:szCs w:val="24"/>
                <w:lang w:eastAsia="sk-SK"/>
              </w:rPr>
              <w:t>Stanovisko Komisie pre posudzovanie vybraných vplyvov z PPK</w:t>
            </w:r>
          </w:p>
        </w:tc>
      </w:tr>
      <w:tr w:rsidR="00E76D31" w:rsidRPr="00A70F69" w:rsidTr="00E5689B">
        <w:tc>
          <w:tcPr>
            <w:tcW w:w="9176" w:type="dxa"/>
            <w:tcBorders>
              <w:top w:val="single" w:sz="4" w:space="0" w:color="FFFFFF"/>
            </w:tcBorders>
            <w:shd w:val="clear" w:color="auto" w:fill="FFFFFF"/>
          </w:tcPr>
          <w:p w:rsidR="00BA7EED" w:rsidRDefault="00BA7EED" w:rsidP="00BA7EED">
            <w:pPr>
              <w:suppressAutoHyphens/>
              <w:spacing w:line="100" w:lineRule="atLeast"/>
              <w:ind w:right="-2"/>
              <w:jc w:val="center"/>
              <w:rPr>
                <w:szCs w:val="20"/>
                <w:lang w:eastAsia="ar-SA"/>
              </w:rPr>
            </w:pPr>
          </w:p>
          <w:p w:rsidR="00BA7EED" w:rsidRPr="00BA7EED" w:rsidRDefault="00BA7EED" w:rsidP="00BA7EED">
            <w:pPr>
              <w:keepNext/>
              <w:tabs>
                <w:tab w:val="num" w:pos="0"/>
              </w:tabs>
              <w:suppressAutoHyphens/>
              <w:ind w:right="-2"/>
              <w:jc w:val="center"/>
              <w:outlineLvl w:val="3"/>
              <w:rPr>
                <w:b/>
                <w:smallCaps/>
                <w:lang w:eastAsia="ar-SA"/>
              </w:rPr>
            </w:pPr>
            <w:r w:rsidRPr="00BA7EED">
              <w:rPr>
                <w:b/>
                <w:smallCaps/>
                <w:spacing w:val="20"/>
                <w:lang w:eastAsia="ar-SA"/>
              </w:rPr>
              <w:t>stanovisko komisie</w:t>
            </w:r>
          </w:p>
          <w:p w:rsidR="00BA7EED" w:rsidRPr="00BA7EED" w:rsidRDefault="00BA7EED" w:rsidP="00BA7EED">
            <w:pPr>
              <w:suppressAutoHyphens/>
              <w:ind w:right="-2"/>
              <w:jc w:val="center"/>
              <w:rPr>
                <w:b/>
                <w:smallCaps/>
                <w:lang w:eastAsia="ar-SA"/>
              </w:rPr>
            </w:pPr>
          </w:p>
          <w:p w:rsidR="00BA7EED" w:rsidRPr="00BA7EED" w:rsidRDefault="00BA7EED" w:rsidP="00BA7EED">
            <w:pPr>
              <w:suppressAutoHyphens/>
              <w:ind w:right="-2"/>
              <w:jc w:val="center"/>
              <w:rPr>
                <w:b/>
                <w:smallCaps/>
                <w:lang w:eastAsia="ar-SA"/>
              </w:rPr>
            </w:pPr>
            <w:r w:rsidRPr="00BA7EED">
              <w:rPr>
                <w:b/>
                <w:smallCaps/>
                <w:lang w:eastAsia="ar-SA"/>
              </w:rPr>
              <w:t>(Predbežné pripomienkové konanie)</w:t>
            </w:r>
          </w:p>
          <w:p w:rsidR="00BA7EED" w:rsidRPr="00BA7EED" w:rsidRDefault="00BA7EED" w:rsidP="00BA7EED">
            <w:pPr>
              <w:suppressAutoHyphens/>
              <w:ind w:right="-2"/>
              <w:jc w:val="center"/>
              <w:rPr>
                <w:b/>
                <w:smallCaps/>
                <w:lang w:eastAsia="ar-SA"/>
              </w:rPr>
            </w:pPr>
          </w:p>
          <w:p w:rsidR="00BA7EED" w:rsidRPr="00BA7EED" w:rsidRDefault="00BA7EED" w:rsidP="00BA7EED">
            <w:pPr>
              <w:shd w:val="clear" w:color="auto" w:fill="FFFFFF"/>
              <w:suppressAutoHyphens/>
              <w:ind w:right="-2"/>
              <w:jc w:val="center"/>
              <w:rPr>
                <w:b/>
                <w:smallCaps/>
                <w:lang w:eastAsia="ar-SA"/>
              </w:rPr>
            </w:pPr>
            <w:r w:rsidRPr="00BA7EED">
              <w:rPr>
                <w:b/>
                <w:smallCaps/>
                <w:lang w:eastAsia="ar-SA"/>
              </w:rPr>
              <w:t>k materiálu</w:t>
            </w:r>
          </w:p>
          <w:p w:rsidR="00BA7EED" w:rsidRPr="00BA7EED" w:rsidRDefault="00BA7EED" w:rsidP="00BA7EED">
            <w:pPr>
              <w:shd w:val="clear" w:color="auto" w:fill="FFFFFF"/>
              <w:suppressAutoHyphens/>
              <w:spacing w:line="100" w:lineRule="atLeast"/>
              <w:ind w:right="-2"/>
              <w:jc w:val="both"/>
              <w:rPr>
                <w:b/>
                <w:smallCaps/>
                <w:lang w:eastAsia="ar-SA"/>
              </w:rPr>
            </w:pPr>
          </w:p>
          <w:p w:rsidR="00BA7EED" w:rsidRPr="00BA7EED" w:rsidRDefault="00BA7EED" w:rsidP="00BA7EED">
            <w:pPr>
              <w:pBdr>
                <w:bottom w:val="single" w:sz="4" w:space="1" w:color="000000"/>
              </w:pBdr>
              <w:shd w:val="clear" w:color="auto" w:fill="FFFFFF"/>
              <w:suppressAutoHyphens/>
              <w:spacing w:line="100" w:lineRule="atLeast"/>
              <w:ind w:right="-2"/>
              <w:jc w:val="both"/>
              <w:rPr>
                <w:b/>
                <w:smallCaps/>
                <w:lang w:eastAsia="ar-SA"/>
              </w:rPr>
            </w:pPr>
            <w:r w:rsidRPr="00BA7EED">
              <w:rPr>
                <w:b/>
                <w:smallCaps/>
                <w:lang w:eastAsia="ar-SA"/>
              </w:rPr>
              <w:t>Návrh zákona, ktorým sa mení a dopĺňa zákon č. 563/2009 Z. z. o správe daní (daňový poriadok) a o zmene a doplnení niektorých zákonov v znení neskorších predpisov a ktorým sa menia a dopĺňajú niektoré zákony</w:t>
            </w:r>
          </w:p>
          <w:p w:rsidR="00BA7EED" w:rsidRPr="00BA7EED" w:rsidRDefault="00BA7EED" w:rsidP="00BA7EED">
            <w:pPr>
              <w:suppressAutoHyphens/>
              <w:spacing w:line="100" w:lineRule="atLeast"/>
              <w:jc w:val="both"/>
              <w:rPr>
                <w:b/>
                <w:bCs/>
                <w:shd w:val="clear" w:color="auto" w:fill="FFFFFF"/>
                <w:lang w:eastAsia="ar-SA"/>
              </w:rPr>
            </w:pPr>
          </w:p>
          <w:p w:rsidR="00BA7EED" w:rsidRPr="00BA7EED" w:rsidRDefault="00BA7EED" w:rsidP="00BA7EED">
            <w:pPr>
              <w:suppressAutoHyphens/>
              <w:spacing w:line="100" w:lineRule="atLeast"/>
              <w:jc w:val="both"/>
              <w:rPr>
                <w:bCs/>
                <w:lang w:eastAsia="ar-SA"/>
              </w:rPr>
            </w:pPr>
            <w:r w:rsidRPr="00BA7EED">
              <w:rPr>
                <w:b/>
                <w:bCs/>
                <w:shd w:val="clear" w:color="auto" w:fill="FFFFFF"/>
                <w:lang w:eastAsia="ar-SA"/>
              </w:rPr>
              <w:t xml:space="preserve">I. </w:t>
            </w:r>
            <w:r w:rsidRPr="00BA7EED">
              <w:rPr>
                <w:b/>
                <w:bCs/>
                <w:lang w:eastAsia="ar-SA"/>
              </w:rPr>
              <w:t xml:space="preserve">Úvod: </w:t>
            </w:r>
            <w:r w:rsidRPr="00BA7EED">
              <w:rPr>
                <w:bCs/>
                <w:lang w:eastAsia="ar-SA"/>
              </w:rPr>
              <w:t>Ministerstvo financií SR predložilo dňa 12. marca 2021 Stálej pracovnej komisii na posudzovanie vybraných vplyvov (ďalej len „Komisia“) na predbežné pripomienkové konanie materiál:</w:t>
            </w:r>
            <w:r w:rsidRPr="00BA7EED">
              <w:rPr>
                <w:bCs/>
                <w:i/>
                <w:lang w:eastAsia="ar-SA"/>
              </w:rPr>
              <w:t xml:space="preserve"> „Návrh zákona, ktorým sa mení a dopĺňa zákon č. 563/2009 Z. z. o správe daní (daňový poriadok) a o zmene a doplnení niektorých zákonov v znení neskorších predpisov a ktorým sa menia a dopĺňajú niektoré zákony“</w:t>
            </w:r>
            <w:r w:rsidRPr="00BA7EED">
              <w:rPr>
                <w:bCs/>
                <w:lang w:eastAsia="ar-SA"/>
              </w:rPr>
              <w:t>.</w:t>
            </w:r>
          </w:p>
          <w:p w:rsidR="00BA7EED" w:rsidRPr="00BA7EED" w:rsidRDefault="00BA7EED" w:rsidP="00BA7EED">
            <w:pPr>
              <w:suppressAutoHyphens/>
              <w:spacing w:line="100" w:lineRule="atLeast"/>
              <w:jc w:val="both"/>
              <w:rPr>
                <w:b/>
                <w:bCs/>
                <w:lang w:eastAsia="ar-SA"/>
              </w:rPr>
            </w:pPr>
            <w:r w:rsidRPr="00BA7EED">
              <w:rPr>
                <w:bCs/>
                <w:lang w:eastAsia="ar-SA"/>
              </w:rPr>
              <w:t>Materiál predpokladá pozitívno-negatívne vplyvy na rozpočet verejnej správy, ktoré sú rozpočtovo zabezpečené, pozitívne vplyvy na podnikateľské prostredie, vrátane pozitívnych vplyvov na malé a stredné podniky a pozitívno-negatívne vplyvy na informatizáciu.</w:t>
            </w:r>
          </w:p>
          <w:p w:rsidR="00BA7EED" w:rsidRPr="00BA7EED" w:rsidRDefault="00BA7EED" w:rsidP="00BA7EED">
            <w:pPr>
              <w:suppressAutoHyphens/>
              <w:spacing w:line="100" w:lineRule="atLeast"/>
              <w:jc w:val="both"/>
              <w:rPr>
                <w:b/>
                <w:bCs/>
                <w:lang w:eastAsia="ar-SA"/>
              </w:rPr>
            </w:pPr>
          </w:p>
          <w:p w:rsidR="00BA7EED" w:rsidRPr="00BA7EED" w:rsidRDefault="00BA7EED" w:rsidP="00BA7EED">
            <w:pPr>
              <w:suppressAutoHyphens/>
              <w:spacing w:line="100" w:lineRule="atLeast"/>
              <w:jc w:val="both"/>
              <w:rPr>
                <w:bCs/>
                <w:lang w:eastAsia="ar-SA"/>
              </w:rPr>
            </w:pPr>
            <w:r w:rsidRPr="00BA7EED">
              <w:rPr>
                <w:b/>
                <w:bCs/>
                <w:lang w:eastAsia="ar-SA"/>
              </w:rPr>
              <w:t>II. P</w:t>
            </w:r>
            <w:r w:rsidRPr="00BA7EED">
              <w:rPr>
                <w:b/>
                <w:lang w:eastAsia="ar-SA"/>
              </w:rPr>
              <w:t>r</w:t>
            </w:r>
            <w:r w:rsidRPr="00BA7EED">
              <w:rPr>
                <w:b/>
                <w:bCs/>
                <w:lang w:eastAsia="ar-SA"/>
              </w:rPr>
              <w:t>ipomienky a návrhy zm</w:t>
            </w:r>
            <w:r w:rsidRPr="00BA7EED">
              <w:rPr>
                <w:b/>
                <w:lang w:eastAsia="ar-SA"/>
              </w:rPr>
              <w:t>ie</w:t>
            </w:r>
            <w:r w:rsidRPr="00BA7EED">
              <w:rPr>
                <w:b/>
                <w:bCs/>
                <w:lang w:eastAsia="ar-SA"/>
              </w:rPr>
              <w:t xml:space="preserve">n: </w:t>
            </w:r>
            <w:r w:rsidRPr="00BA7EED">
              <w:rPr>
                <w:bCs/>
                <w:lang w:eastAsia="ar-SA"/>
              </w:rPr>
              <w:t xml:space="preserve">Komisia uplatňuje k materiálu tieto pripomienky </w:t>
            </w:r>
            <w:r w:rsidRPr="00BA7EED">
              <w:rPr>
                <w:bCs/>
              </w:rPr>
              <w:t>a odporúčania</w:t>
            </w:r>
            <w:r w:rsidRPr="00BA7EED">
              <w:rPr>
                <w:bCs/>
                <w:lang w:eastAsia="ar-SA"/>
              </w:rPr>
              <w:t>:</w:t>
            </w:r>
          </w:p>
          <w:p w:rsidR="00BA7EED" w:rsidRPr="00BA7EED" w:rsidRDefault="00BA7EED" w:rsidP="00BA7EED">
            <w:pPr>
              <w:suppressAutoHyphens/>
              <w:spacing w:line="100" w:lineRule="atLeast"/>
              <w:jc w:val="both"/>
              <w:rPr>
                <w:bCs/>
                <w:lang w:eastAsia="ar-SA"/>
              </w:rPr>
            </w:pPr>
          </w:p>
          <w:p w:rsidR="00BA7EED" w:rsidRPr="00BA7EED" w:rsidRDefault="00BA7EED" w:rsidP="00BA7EED">
            <w:pPr>
              <w:suppressAutoHyphens/>
              <w:spacing w:line="100" w:lineRule="atLeast"/>
              <w:jc w:val="both"/>
              <w:rPr>
                <w:b/>
                <w:bCs/>
                <w:lang w:eastAsia="ar-SA"/>
              </w:rPr>
            </w:pPr>
            <w:r w:rsidRPr="00BA7EED">
              <w:rPr>
                <w:b/>
                <w:bCs/>
                <w:lang w:eastAsia="ar-SA"/>
              </w:rPr>
              <w:t>K doložke vybraných vplyvov</w:t>
            </w:r>
          </w:p>
          <w:p w:rsidR="00BA7EED" w:rsidRPr="00BA7EED" w:rsidRDefault="00BA7EED" w:rsidP="00BA7EED">
            <w:pPr>
              <w:suppressAutoHyphens/>
              <w:spacing w:line="100" w:lineRule="atLeast"/>
              <w:jc w:val="both"/>
              <w:rPr>
                <w:bCs/>
                <w:lang w:eastAsia="ar-SA"/>
              </w:rPr>
            </w:pPr>
            <w:r w:rsidRPr="00BA7EED">
              <w:rPr>
                <w:bCs/>
                <w:lang w:eastAsia="ar-SA"/>
              </w:rPr>
              <w:t>V predloženej doložke vybraných vplyvov je potrebné uviesť povinné informácie v bode 5. Alternatívne riešenia v súlade s minimálnymi obsahovými požiadavkami (vrátane nulového variantu)  pre tento bod doložky vybraných vplyvov upravenými v časti II. Jednotnej metodiky na posudzovanie vybraných vplyvov.</w:t>
            </w:r>
          </w:p>
          <w:p w:rsidR="00BA7EED" w:rsidRPr="00BA7EED" w:rsidRDefault="00BA7EED" w:rsidP="00BA7EED">
            <w:pPr>
              <w:suppressAutoHyphens/>
              <w:spacing w:line="100" w:lineRule="atLeast"/>
              <w:jc w:val="both"/>
              <w:rPr>
                <w:bCs/>
                <w:lang w:eastAsia="ar-SA"/>
              </w:rPr>
            </w:pPr>
            <w:r w:rsidRPr="00BA7EED">
              <w:rPr>
                <w:bCs/>
                <w:lang w:eastAsia="ar-SA"/>
              </w:rPr>
              <w:t>Komisia žiada predkladateľa o vyznačenie aj negatívneho vplyvu na podnikateľské prostredie, vrátane MSP, v časti 9. Vplyvy navrhovaného materiálu Doložky vybraných vplyvov.</w:t>
            </w:r>
          </w:p>
          <w:p w:rsidR="00BA7EED" w:rsidRDefault="00BA7EED" w:rsidP="00BA7EED">
            <w:pPr>
              <w:suppressAutoHyphens/>
              <w:spacing w:line="100" w:lineRule="atLeast"/>
              <w:jc w:val="both"/>
              <w:rPr>
                <w:bCs/>
                <w:lang w:eastAsia="ar-SA"/>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5A36C0" w:rsidRDefault="005A36C0" w:rsidP="005A36C0">
            <w:pPr>
              <w:suppressAutoHyphens/>
              <w:spacing w:line="100" w:lineRule="atLeast"/>
              <w:jc w:val="both"/>
              <w:rPr>
                <w:bCs/>
                <w:lang w:eastAsia="ar-SA"/>
              </w:rPr>
            </w:pPr>
            <w:r w:rsidRPr="005A36C0">
              <w:rPr>
                <w:bCs/>
                <w:lang w:eastAsia="ar-SA"/>
              </w:rPr>
              <w:t>Pripomienka bola akceptovaná a zapracovaná.</w:t>
            </w:r>
          </w:p>
          <w:p w:rsidR="005A36C0" w:rsidRPr="00BA7EED" w:rsidRDefault="005A36C0" w:rsidP="00BA7EED">
            <w:pPr>
              <w:suppressAutoHyphens/>
              <w:spacing w:line="100" w:lineRule="atLeast"/>
              <w:jc w:val="both"/>
              <w:rPr>
                <w:bCs/>
                <w:lang w:eastAsia="ar-SA"/>
              </w:rPr>
            </w:pPr>
          </w:p>
          <w:p w:rsidR="00BA7EED" w:rsidRDefault="00BA7EED" w:rsidP="00BA7EED">
            <w:pPr>
              <w:suppressAutoHyphens/>
              <w:spacing w:line="100" w:lineRule="atLeast"/>
              <w:jc w:val="both"/>
              <w:rPr>
                <w:bCs/>
                <w:lang w:eastAsia="ar-SA"/>
              </w:rPr>
            </w:pPr>
            <w:r w:rsidRPr="00BA7EED">
              <w:rPr>
                <w:bCs/>
                <w:lang w:eastAsia="ar-SA"/>
              </w:rPr>
              <w:t>Komisia zároveň žiada predkladateľa o kvalitatívne popísanie aj negatívnych vplyvov predloženého materiálu na podnikateľské prostredie, vrátane MSP, s uvedením prevládajúceho charakteru vplyvov. Komisia preto žiada predkladateľa o dopracovanie Doložky vybraných vplyvov a Analýzy vplyvov na podnikateľské prostredie.</w:t>
            </w:r>
          </w:p>
          <w:p w:rsidR="005A36C0" w:rsidRDefault="005A36C0" w:rsidP="00BA7EED">
            <w:pPr>
              <w:suppressAutoHyphens/>
              <w:spacing w:line="100" w:lineRule="atLeast"/>
              <w:jc w:val="both"/>
              <w:rPr>
                <w:bCs/>
                <w:lang w:eastAsia="ar-SA"/>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5A36C0" w:rsidRDefault="005A36C0" w:rsidP="005A36C0">
            <w:pPr>
              <w:suppressAutoHyphens/>
              <w:spacing w:line="100" w:lineRule="atLeast"/>
              <w:jc w:val="both"/>
              <w:rPr>
                <w:bCs/>
                <w:lang w:eastAsia="ar-SA"/>
              </w:rPr>
            </w:pPr>
            <w:r w:rsidRPr="005A36C0">
              <w:rPr>
                <w:bCs/>
                <w:lang w:eastAsia="ar-SA"/>
              </w:rPr>
              <w:t>Pripomienka bola akceptovaná a zapracovaná.</w:t>
            </w:r>
          </w:p>
          <w:p w:rsidR="00BA7EED" w:rsidRPr="00BA7EED" w:rsidRDefault="00BA7EED" w:rsidP="00BA7EED">
            <w:pPr>
              <w:suppressAutoHyphens/>
              <w:spacing w:line="100" w:lineRule="atLeast"/>
              <w:jc w:val="both"/>
              <w:rPr>
                <w:bCs/>
                <w:lang w:eastAsia="ar-SA"/>
              </w:rPr>
            </w:pPr>
          </w:p>
          <w:p w:rsidR="00BA7EED" w:rsidRPr="00BA7EED" w:rsidRDefault="00BA7EED" w:rsidP="00BA7EED">
            <w:pPr>
              <w:suppressAutoHyphens/>
              <w:spacing w:line="100" w:lineRule="atLeast"/>
              <w:jc w:val="both"/>
              <w:rPr>
                <w:b/>
                <w:bCs/>
                <w:lang w:eastAsia="ar-SA"/>
              </w:rPr>
            </w:pPr>
            <w:r w:rsidRPr="00BA7EED">
              <w:rPr>
                <w:b/>
                <w:bCs/>
                <w:lang w:eastAsia="ar-SA"/>
              </w:rPr>
              <w:t>K vplyvom na podnikateľské prostredie</w:t>
            </w:r>
          </w:p>
          <w:p w:rsidR="00BA7EED" w:rsidRPr="00BA7EED" w:rsidRDefault="00BA7EED" w:rsidP="00BA7EED">
            <w:pPr>
              <w:suppressAutoHyphens/>
              <w:spacing w:line="100" w:lineRule="atLeast"/>
              <w:jc w:val="both"/>
              <w:rPr>
                <w:bCs/>
                <w:lang w:eastAsia="ar-SA"/>
              </w:rPr>
            </w:pPr>
            <w:r w:rsidRPr="00BA7EED">
              <w:rPr>
                <w:bCs/>
                <w:lang w:eastAsia="ar-SA"/>
              </w:rPr>
              <w:t>V Analýze vplyvov na podnikateľské prostredie Komisia žiada popísať aj negatívne vplyvy na podnikateľské prostredie a vyčísliť náklady regulácie v bode 3.3.4. ako rozdiel nákladov (+) a úspor (-).</w:t>
            </w:r>
          </w:p>
          <w:p w:rsidR="00BA7EED" w:rsidRPr="00BA7EED" w:rsidRDefault="00BA7EED" w:rsidP="00BA7EED">
            <w:pPr>
              <w:suppressAutoHyphens/>
              <w:spacing w:line="100" w:lineRule="atLeast"/>
              <w:jc w:val="both"/>
              <w:rPr>
                <w:bCs/>
                <w:lang w:eastAsia="ar-SA"/>
              </w:rPr>
            </w:pPr>
            <w:r w:rsidRPr="00BA7EED">
              <w:rPr>
                <w:bCs/>
                <w:lang w:eastAsia="ar-SA"/>
              </w:rPr>
              <w:t>Odôvodnenie :</w:t>
            </w:r>
          </w:p>
          <w:p w:rsidR="00BA7EED" w:rsidRDefault="00BA7EED" w:rsidP="00BA7EED">
            <w:pPr>
              <w:suppressAutoHyphens/>
              <w:spacing w:line="100" w:lineRule="atLeast"/>
              <w:jc w:val="both"/>
              <w:rPr>
                <w:bCs/>
                <w:lang w:eastAsia="ar-SA"/>
              </w:rPr>
            </w:pPr>
            <w:r w:rsidRPr="00BA7EED">
              <w:rPr>
                <w:bCs/>
                <w:lang w:eastAsia="ar-SA"/>
              </w:rPr>
              <w:t>V Analýze vplyvov na podnikateľské prostredie  bude potrebné vyčísliť náklady regulácie na základe kalkulačky nákladov zverejnenej na stránke MH SR, pričom napr.  zníženie poplatku pri odsúhlasení metódy transferového oceňovania , je úsporou priamych finančných nákladov, ktoré sa označujú znamienkom (-). V prípade, že predkladateľ nebude vedieť uvedené náklady vyčísliť bude potrebné,  aby do tabuľky nákladov regulácie  uviedol N/A.</w:t>
            </w:r>
          </w:p>
          <w:p w:rsidR="005A36C0" w:rsidRDefault="005A36C0" w:rsidP="00BA7EED">
            <w:pPr>
              <w:suppressAutoHyphens/>
              <w:spacing w:line="100" w:lineRule="atLeast"/>
              <w:jc w:val="both"/>
              <w:rPr>
                <w:bCs/>
                <w:lang w:eastAsia="ar-SA"/>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5A36C0" w:rsidRDefault="005A36C0" w:rsidP="005A36C0">
            <w:pPr>
              <w:suppressAutoHyphens/>
              <w:spacing w:line="100" w:lineRule="atLeast"/>
              <w:jc w:val="both"/>
              <w:rPr>
                <w:bCs/>
                <w:lang w:eastAsia="ar-SA"/>
              </w:rPr>
            </w:pPr>
            <w:r w:rsidRPr="005A36C0">
              <w:rPr>
                <w:bCs/>
                <w:lang w:eastAsia="ar-SA"/>
              </w:rPr>
              <w:t>Pripomienka bola akceptovaná a zapracovaná.</w:t>
            </w:r>
          </w:p>
          <w:p w:rsidR="00BA7EED" w:rsidRPr="00BA7EED" w:rsidRDefault="00BA7EED" w:rsidP="00BA7EED">
            <w:pPr>
              <w:suppressAutoHyphens/>
              <w:spacing w:line="100" w:lineRule="atLeast"/>
              <w:jc w:val="both"/>
              <w:rPr>
                <w:bCs/>
                <w:lang w:eastAsia="ar-SA"/>
              </w:rPr>
            </w:pPr>
          </w:p>
          <w:p w:rsidR="00BA7EED" w:rsidRPr="00BA7EED" w:rsidRDefault="00BA7EED" w:rsidP="00BA7EED">
            <w:pPr>
              <w:suppressAutoHyphens/>
              <w:spacing w:line="100" w:lineRule="atLeast"/>
              <w:jc w:val="both"/>
              <w:rPr>
                <w:bCs/>
                <w:lang w:eastAsia="ar-SA"/>
              </w:rPr>
            </w:pPr>
            <w:r w:rsidRPr="00BA7EED">
              <w:rPr>
                <w:bCs/>
                <w:lang w:eastAsia="ar-SA"/>
              </w:rPr>
              <w:t xml:space="preserve">Komisia žiada predkladateľa o kvantifikáciu odhadovaných nákladov/úspor regulácie v Analýze vplyvov na podnikateľské prostredie, a to v každom prípade, v ktorom je takáto kvantifikácia možná, pričom jedným z riešení je  využitie modelového výpočtu na jeden dotknutý podnikateľský subjekt. </w:t>
            </w:r>
          </w:p>
          <w:p w:rsidR="00BA7EED" w:rsidRPr="00BA7EED" w:rsidRDefault="00BA7EED" w:rsidP="00BA7EED">
            <w:pPr>
              <w:suppressAutoHyphens/>
              <w:spacing w:line="100" w:lineRule="atLeast"/>
              <w:jc w:val="both"/>
              <w:rPr>
                <w:bCs/>
                <w:lang w:eastAsia="ar-SA"/>
              </w:rPr>
            </w:pPr>
          </w:p>
          <w:p w:rsidR="00BA7EED" w:rsidRPr="00BA7EED" w:rsidRDefault="00BA7EED" w:rsidP="00BA7EED">
            <w:pPr>
              <w:suppressAutoHyphens/>
              <w:spacing w:line="100" w:lineRule="atLeast"/>
              <w:jc w:val="both"/>
              <w:rPr>
                <w:bCs/>
                <w:lang w:eastAsia="ar-SA"/>
              </w:rPr>
            </w:pPr>
            <w:r w:rsidRPr="00BA7EED">
              <w:rPr>
                <w:bCs/>
                <w:lang w:eastAsia="ar-SA"/>
              </w:rPr>
              <w:t xml:space="preserve">Komisia žiada predkladateľa o kvantifikáciu odhadovaných nákladov/úspor regulácie v Analýze vplyvov na podnikateľské prostredie, a to v každom prípade, v ktorom je takáto kvantifikácia možná, pričom jedným z riešení je  využitie modelového výpočtu na jeden dotknutý podnikateľský subjekt. </w:t>
            </w:r>
          </w:p>
          <w:p w:rsidR="00BA7EED" w:rsidRPr="00BA7EED" w:rsidRDefault="00BA7EED" w:rsidP="00BA7EED">
            <w:pPr>
              <w:suppressAutoHyphens/>
              <w:spacing w:line="100" w:lineRule="atLeast"/>
              <w:jc w:val="both"/>
              <w:rPr>
                <w:bCs/>
                <w:lang w:eastAsia="ar-SA"/>
              </w:rPr>
            </w:pPr>
          </w:p>
          <w:p w:rsidR="00BA7EED" w:rsidRDefault="00BA7EED" w:rsidP="00BA7EED">
            <w:pPr>
              <w:suppressAutoHyphens/>
              <w:spacing w:line="100" w:lineRule="atLeast"/>
              <w:jc w:val="both"/>
              <w:rPr>
                <w:bCs/>
                <w:lang w:eastAsia="ar-SA"/>
              </w:rPr>
            </w:pPr>
            <w:r w:rsidRPr="00BA7EED">
              <w:rPr>
                <w:bCs/>
                <w:lang w:eastAsia="ar-SA"/>
              </w:rPr>
              <w:t>V nadväznosti na vyššie uvedené Komisia žiada predkladateľa o vyčíslenie úspory nepriamych finančných nákladov v prípade vyžiadania  záväzného stanoviska od FS. Nakoľko sa navrhuje znížiť daný poplatok na fixnú výšku 1 000 €, pričom v súčasnosti minimálna cena predstavuje 2000 € - 3000 €, Komisia odporúča vyčísliť celkovú úsporu v priemere na 1.500 €/stanovisko. Odhad celkovej úspory za všetky podnikateľské subjekty teda predstavuje počet vyžiadaných záväzných stanovísk (napr. za rok 2020) krát priemerná úspora vo výške 1500 €/stanovisko.</w:t>
            </w:r>
          </w:p>
          <w:p w:rsidR="005A36C0" w:rsidRDefault="005A36C0" w:rsidP="00BA7EED">
            <w:pPr>
              <w:suppressAutoHyphens/>
              <w:spacing w:line="100" w:lineRule="atLeast"/>
              <w:jc w:val="both"/>
              <w:rPr>
                <w:bCs/>
                <w:lang w:eastAsia="ar-SA"/>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5A36C0" w:rsidRDefault="005A36C0" w:rsidP="005A36C0">
            <w:pPr>
              <w:suppressAutoHyphens/>
              <w:spacing w:line="100" w:lineRule="atLeast"/>
              <w:jc w:val="both"/>
              <w:rPr>
                <w:bCs/>
                <w:lang w:eastAsia="ar-SA"/>
              </w:rPr>
            </w:pPr>
            <w:r w:rsidRPr="005A36C0">
              <w:rPr>
                <w:bCs/>
                <w:lang w:eastAsia="ar-SA"/>
              </w:rPr>
              <w:t>Pripomienka bola akceptovaná a zapracovaná.</w:t>
            </w:r>
          </w:p>
          <w:p w:rsidR="00BA7EED" w:rsidRPr="00BA7EED" w:rsidRDefault="00BA7EED" w:rsidP="00BA7EED">
            <w:pPr>
              <w:suppressAutoHyphens/>
              <w:spacing w:line="100" w:lineRule="atLeast"/>
              <w:jc w:val="both"/>
              <w:rPr>
                <w:bCs/>
                <w:lang w:eastAsia="ar-SA"/>
              </w:rPr>
            </w:pPr>
          </w:p>
          <w:p w:rsidR="00BA7EED" w:rsidRPr="00BA7EED" w:rsidRDefault="00BA7EED" w:rsidP="00BA7EED">
            <w:pPr>
              <w:suppressAutoHyphens/>
              <w:spacing w:line="100" w:lineRule="atLeast"/>
              <w:jc w:val="both"/>
              <w:rPr>
                <w:bCs/>
                <w:lang w:eastAsia="ar-SA"/>
              </w:rPr>
            </w:pPr>
            <w:r w:rsidRPr="00BA7EED">
              <w:rPr>
                <w:bCs/>
                <w:lang w:eastAsia="ar-SA"/>
              </w:rPr>
              <w:t>Komisia žiada predkladateľa o vyčíslenie dodatočných administratívnych nákladov vyplývajúcich z potreby nahlasovania finančnému riaditeľstvu čísla všetkých vlastných bankových účtov určených na podnikanie. Odporúčaným riešením je využitie výpočtu ako na celé PP, tak na jeden dotknutý podnikateľský subjekt. Využitím kalkulačky nákladov regulácie MH SR a nasledovných predpokladov:</w:t>
            </w:r>
          </w:p>
          <w:p w:rsidR="00BA7EED" w:rsidRPr="00BA7EED" w:rsidRDefault="00BA7EED" w:rsidP="00BA7EED">
            <w:pPr>
              <w:pStyle w:val="Odsekzoznamu"/>
              <w:numPr>
                <w:ilvl w:val="0"/>
                <w:numId w:val="7"/>
              </w:numPr>
              <w:suppressAutoHyphens/>
              <w:spacing w:after="0" w:line="100" w:lineRule="atLeast"/>
              <w:jc w:val="both"/>
              <w:rPr>
                <w:rFonts w:ascii="Times New Roman" w:hAnsi="Times New Roman"/>
                <w:bCs/>
                <w:sz w:val="24"/>
                <w:szCs w:val="24"/>
                <w:lang w:eastAsia="ar-SA"/>
              </w:rPr>
            </w:pPr>
            <w:r w:rsidRPr="00BA7EED">
              <w:rPr>
                <w:rFonts w:ascii="Times New Roman" w:hAnsi="Times New Roman"/>
                <w:bCs/>
                <w:sz w:val="24"/>
                <w:szCs w:val="24"/>
                <w:lang w:eastAsia="ar-SA"/>
              </w:rPr>
              <w:t>Počet daňových subjektov registrovaných pre DPH (zdroj: FS SR): 247 615</w:t>
            </w:r>
          </w:p>
          <w:p w:rsidR="00BA7EED" w:rsidRPr="00BA7EED" w:rsidRDefault="00BA7EED" w:rsidP="00BA7EED">
            <w:pPr>
              <w:pStyle w:val="Odsekzoznamu"/>
              <w:numPr>
                <w:ilvl w:val="0"/>
                <w:numId w:val="7"/>
              </w:numPr>
              <w:suppressAutoHyphens/>
              <w:spacing w:after="0" w:line="100" w:lineRule="atLeast"/>
              <w:jc w:val="both"/>
              <w:rPr>
                <w:rFonts w:ascii="Times New Roman" w:hAnsi="Times New Roman"/>
                <w:bCs/>
                <w:sz w:val="24"/>
                <w:szCs w:val="24"/>
                <w:lang w:eastAsia="ar-SA"/>
              </w:rPr>
            </w:pPr>
            <w:r w:rsidRPr="00BA7EED">
              <w:rPr>
                <w:rFonts w:ascii="Times New Roman" w:hAnsi="Times New Roman"/>
                <w:bCs/>
                <w:sz w:val="24"/>
                <w:szCs w:val="24"/>
                <w:lang w:eastAsia="ar-SA"/>
              </w:rPr>
              <w:t>Odhad trvania povinnosti: 30 min.</w:t>
            </w:r>
          </w:p>
          <w:p w:rsidR="00BA7EED" w:rsidRPr="00BA7EED" w:rsidRDefault="00BA7EED" w:rsidP="00BA7EED">
            <w:pPr>
              <w:pStyle w:val="Odsekzoznamu"/>
              <w:numPr>
                <w:ilvl w:val="0"/>
                <w:numId w:val="7"/>
              </w:numPr>
              <w:suppressAutoHyphens/>
              <w:spacing w:after="0" w:line="100" w:lineRule="atLeast"/>
              <w:jc w:val="both"/>
              <w:rPr>
                <w:rFonts w:ascii="Times New Roman" w:hAnsi="Times New Roman"/>
                <w:bCs/>
                <w:sz w:val="24"/>
                <w:szCs w:val="24"/>
                <w:lang w:eastAsia="ar-SA"/>
              </w:rPr>
            </w:pPr>
            <w:r w:rsidRPr="00BA7EED">
              <w:rPr>
                <w:rFonts w:ascii="Times New Roman" w:hAnsi="Times New Roman"/>
                <w:bCs/>
                <w:sz w:val="24"/>
                <w:szCs w:val="24"/>
                <w:lang w:eastAsia="ar-SA"/>
              </w:rPr>
              <w:t>Frekvencia plnenia povinnosti: nepravidelne/jednorazovo</w:t>
            </w:r>
          </w:p>
          <w:p w:rsidR="00BA7EED" w:rsidRPr="00BA7EED" w:rsidRDefault="00BA7EED" w:rsidP="00BA7EED">
            <w:pPr>
              <w:suppressAutoHyphens/>
              <w:spacing w:line="100" w:lineRule="atLeast"/>
              <w:jc w:val="both"/>
              <w:rPr>
                <w:bCs/>
                <w:lang w:eastAsia="ar-SA"/>
              </w:rPr>
            </w:pPr>
            <w:r w:rsidRPr="00BA7EED">
              <w:rPr>
                <w:bCs/>
                <w:lang w:eastAsia="ar-SA"/>
              </w:rPr>
              <w:t>Komisia tieto náklady odhaduje na cca. 844 986 €/celé PP a 3,41 €/1 podnikateľský subjekt.</w:t>
            </w:r>
          </w:p>
          <w:p w:rsidR="00BA7EED" w:rsidRDefault="00BA7EED" w:rsidP="00BA7EED">
            <w:pPr>
              <w:suppressAutoHyphens/>
              <w:spacing w:line="100" w:lineRule="atLeast"/>
              <w:jc w:val="both"/>
              <w:rPr>
                <w:b/>
                <w:bCs/>
                <w:lang w:eastAsia="ar-SA"/>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5A36C0" w:rsidRDefault="005A36C0" w:rsidP="005A36C0">
            <w:pPr>
              <w:suppressAutoHyphens/>
              <w:spacing w:line="100" w:lineRule="atLeast"/>
              <w:jc w:val="both"/>
              <w:rPr>
                <w:bCs/>
                <w:lang w:eastAsia="ar-SA"/>
              </w:rPr>
            </w:pPr>
            <w:r w:rsidRPr="005A36C0">
              <w:rPr>
                <w:bCs/>
                <w:lang w:eastAsia="ar-SA"/>
              </w:rPr>
              <w:t>Pripomienka bola akceptovaná a</w:t>
            </w:r>
            <w:r w:rsidR="005632E4">
              <w:rPr>
                <w:bCs/>
                <w:lang w:eastAsia="ar-SA"/>
              </w:rPr>
              <w:t> </w:t>
            </w:r>
            <w:r w:rsidRPr="005A36C0">
              <w:rPr>
                <w:bCs/>
                <w:lang w:eastAsia="ar-SA"/>
              </w:rPr>
              <w:t>zapracovaná</w:t>
            </w:r>
            <w:r w:rsidR="005632E4">
              <w:rPr>
                <w:bCs/>
                <w:lang w:eastAsia="ar-SA"/>
              </w:rPr>
              <w:t xml:space="preserve"> inak</w:t>
            </w:r>
            <w:r w:rsidRPr="005A36C0">
              <w:rPr>
                <w:bCs/>
                <w:lang w:eastAsia="ar-SA"/>
              </w:rPr>
              <w:t>.</w:t>
            </w:r>
          </w:p>
          <w:p w:rsidR="005A36C0" w:rsidRDefault="005A36C0" w:rsidP="00BA7EED">
            <w:pPr>
              <w:suppressAutoHyphens/>
              <w:spacing w:line="100" w:lineRule="atLeast"/>
              <w:jc w:val="both"/>
              <w:rPr>
                <w:b/>
                <w:bCs/>
                <w:lang w:eastAsia="ar-SA"/>
              </w:rPr>
            </w:pPr>
          </w:p>
          <w:p w:rsidR="005A36C0" w:rsidRPr="00BA7EED" w:rsidRDefault="005A36C0" w:rsidP="00BA7EED">
            <w:pPr>
              <w:suppressAutoHyphens/>
              <w:spacing w:line="100" w:lineRule="atLeast"/>
              <w:jc w:val="both"/>
              <w:rPr>
                <w:b/>
                <w:bCs/>
                <w:lang w:eastAsia="ar-SA"/>
              </w:rPr>
            </w:pPr>
          </w:p>
          <w:p w:rsidR="00BA7EED" w:rsidRPr="00BA7EED" w:rsidRDefault="00BA7EED" w:rsidP="00BA7EED">
            <w:pPr>
              <w:suppressAutoHyphens/>
              <w:spacing w:line="100" w:lineRule="atLeast"/>
              <w:jc w:val="both"/>
              <w:rPr>
                <w:b/>
                <w:bCs/>
                <w:lang w:eastAsia="ar-SA"/>
              </w:rPr>
            </w:pPr>
            <w:r w:rsidRPr="00BA7EED">
              <w:rPr>
                <w:b/>
                <w:bCs/>
                <w:lang w:eastAsia="ar-SA"/>
              </w:rPr>
              <w:t>K vplyvom na rozpočet verejnej správy</w:t>
            </w:r>
          </w:p>
          <w:p w:rsidR="00BA7EED" w:rsidRPr="00BA7EED" w:rsidRDefault="00BA7EED" w:rsidP="00BA7EED">
            <w:pPr>
              <w:suppressAutoHyphens/>
              <w:spacing w:line="100" w:lineRule="atLeast"/>
              <w:jc w:val="both"/>
              <w:rPr>
                <w:iCs/>
              </w:rPr>
            </w:pPr>
            <w:r w:rsidRPr="00BA7EED">
              <w:rPr>
                <w:iCs/>
              </w:rPr>
              <w:t>Podľa doložky vplyvov má predložený návrh zákona pozitívne a negatívne, rozpočtovo zabezpečené vplyvy na rozpočet verejnej správy.</w:t>
            </w:r>
          </w:p>
          <w:p w:rsidR="00BA7EED" w:rsidRPr="00BA7EED" w:rsidRDefault="00BA7EED" w:rsidP="00BA7EED">
            <w:pPr>
              <w:suppressAutoHyphens/>
              <w:spacing w:line="100" w:lineRule="atLeast"/>
              <w:jc w:val="both"/>
              <w:rPr>
                <w:iCs/>
              </w:rPr>
            </w:pPr>
            <w:r w:rsidRPr="00BA7EED">
              <w:rPr>
                <w:iCs/>
              </w:rPr>
              <w:t>V analýze vplyvov sú kvantifikované negatívne vplyvy v roku 2021 v sume 864 342 eur a predstavujú kapitálové výdavky spojené s aktualizáciou informačných systémov finančnej správy. Predkladateľ uvádza, že finančné prostriedky budú zabezpečené v rozpočte kapitoly MF SR (organizácia FR SR a MF SR – úrad) rozpočtovým opatrením v zmysle zákona č. 523/2004 Z. z. o rozpočtových pravidlách verejnej správy. Pozitívne vplyvy predstavujú prínos z pohľadu boja proti daňovým únikom, nie sú vyčíslené z dôvodu, že nie je možné prognózovať podnikateľské správanie pri povinnosti platiteľov dane oznamovať FR SR čísla vlastných bankových účtov, ktoré používajú na podnikanie podliehajúce DPH, ako aj každú zmenu týkajúcu sa týchto účtov.</w:t>
            </w:r>
          </w:p>
          <w:p w:rsidR="00BA7EED" w:rsidRPr="00BA7EED" w:rsidRDefault="00BA7EED" w:rsidP="00BA7EED">
            <w:pPr>
              <w:suppressAutoHyphens/>
              <w:spacing w:line="100" w:lineRule="atLeast"/>
              <w:jc w:val="both"/>
            </w:pPr>
          </w:p>
          <w:p w:rsidR="00BA7EED" w:rsidRPr="00BA7EED" w:rsidRDefault="00BA7EED" w:rsidP="00BA7EED">
            <w:pPr>
              <w:suppressAutoHyphens/>
              <w:spacing w:line="100" w:lineRule="atLeast"/>
              <w:jc w:val="both"/>
              <w:rPr>
                <w:bCs/>
              </w:rPr>
            </w:pPr>
            <w:r w:rsidRPr="00BA7EED">
              <w:rPr>
                <w:bCs/>
              </w:rPr>
              <w:t>V </w:t>
            </w:r>
            <w:r w:rsidRPr="00BA7EED">
              <w:rPr>
                <w:bCs/>
                <w:i/>
              </w:rPr>
              <w:t>tabuľke č. 1</w:t>
            </w:r>
            <w:r w:rsidRPr="00BA7EED">
              <w:rPr>
                <w:bCs/>
              </w:rPr>
              <w:t xml:space="preserve"> v analýze vplyvov na rozpočet verejnej správy Komisia žiada v riadku </w:t>
            </w:r>
            <w:r w:rsidRPr="00BA7EED">
              <w:rPr>
                <w:bCs/>
                <w:i/>
              </w:rPr>
              <w:t>Financovanie zabezpečené v rozpočte v tom: za každý subjekt verejnej správy/program zvlášť</w:t>
            </w:r>
            <w:r w:rsidRPr="00BA7EED">
              <w:rPr>
                <w:bCs/>
              </w:rPr>
              <w:t xml:space="preserve"> slová „MF SR (</w:t>
            </w:r>
            <w:proofErr w:type="spellStart"/>
            <w:r w:rsidRPr="00BA7EED">
              <w:rPr>
                <w:bCs/>
              </w:rPr>
              <w:t>org</w:t>
            </w:r>
            <w:proofErr w:type="spellEnd"/>
            <w:r w:rsidRPr="00BA7EED">
              <w:rPr>
                <w:bCs/>
              </w:rPr>
              <w:t>. FR SR) podprogram 0EK0D – informačné technológie“ nahradiť slovami „kapitola MF SR/0EK 0D IT financované zo ŠR – MF SR“.</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1"/>
              <w:gridCol w:w="1448"/>
              <w:gridCol w:w="992"/>
              <w:gridCol w:w="992"/>
              <w:gridCol w:w="992"/>
            </w:tblGrid>
            <w:tr w:rsidR="00BA7EED" w:rsidRPr="00BA7EED" w:rsidTr="00E57406">
              <w:trPr>
                <w:trHeight w:val="70"/>
              </w:trPr>
              <w:tc>
                <w:tcPr>
                  <w:tcW w:w="464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A7EED" w:rsidRPr="00BA7EED" w:rsidRDefault="00BA7EED" w:rsidP="00BA7EED">
                  <w:pPr>
                    <w:suppressAutoHyphens/>
                    <w:spacing w:line="100" w:lineRule="atLeast"/>
                    <w:jc w:val="both"/>
                    <w:rPr>
                      <w:b/>
                      <w:bCs/>
                    </w:rPr>
                  </w:pPr>
                  <w:r w:rsidRPr="00BA7EED">
                    <w:rPr>
                      <w:b/>
                      <w:bCs/>
                    </w:rPr>
                    <w:t>Financovanie zabezpečené v rozpočte</w:t>
                  </w:r>
                </w:p>
              </w:tc>
              <w:tc>
                <w:tcPr>
                  <w:tcW w:w="144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A7EED" w:rsidRPr="00BA7EED" w:rsidRDefault="00BA7EED" w:rsidP="00BA7EED">
                  <w:pPr>
                    <w:suppressAutoHyphens/>
                    <w:spacing w:line="100" w:lineRule="atLeast"/>
                    <w:jc w:val="both"/>
                    <w:rPr>
                      <w:b/>
                      <w:bCs/>
                    </w:rPr>
                  </w:pPr>
                  <w:r w:rsidRPr="00BA7EED">
                    <w:rPr>
                      <w:b/>
                      <w:bCs/>
                    </w:rPr>
                    <w:t>864 342</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A7EED" w:rsidRPr="00BA7EED" w:rsidRDefault="00BA7EED" w:rsidP="00BA7EED">
                  <w:pPr>
                    <w:suppressAutoHyphens/>
                    <w:spacing w:line="100" w:lineRule="atLeast"/>
                    <w:jc w:val="both"/>
                    <w:rPr>
                      <w:b/>
                      <w:bCs/>
                    </w:rPr>
                  </w:pPr>
                  <w:r w:rsidRPr="00BA7EED">
                    <w:rPr>
                      <w:b/>
                      <w:bCs/>
                    </w:rPr>
                    <w:t>0</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A7EED" w:rsidRPr="00BA7EED" w:rsidRDefault="00BA7EED" w:rsidP="00BA7EED">
                  <w:pPr>
                    <w:suppressAutoHyphens/>
                    <w:spacing w:line="100" w:lineRule="atLeast"/>
                    <w:jc w:val="both"/>
                    <w:rPr>
                      <w:b/>
                      <w:bCs/>
                    </w:rPr>
                  </w:pPr>
                  <w:r w:rsidRPr="00BA7EED">
                    <w:rPr>
                      <w:b/>
                      <w:bCs/>
                    </w:rPr>
                    <w:t>0</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BA7EED" w:rsidRPr="00BA7EED" w:rsidRDefault="00BA7EED" w:rsidP="00BA7EED">
                  <w:pPr>
                    <w:suppressAutoHyphens/>
                    <w:spacing w:line="100" w:lineRule="atLeast"/>
                    <w:jc w:val="both"/>
                    <w:rPr>
                      <w:b/>
                      <w:bCs/>
                    </w:rPr>
                  </w:pPr>
                  <w:r w:rsidRPr="00BA7EED">
                    <w:rPr>
                      <w:b/>
                      <w:bCs/>
                    </w:rPr>
                    <w:t>0</w:t>
                  </w:r>
                </w:p>
              </w:tc>
            </w:tr>
            <w:tr w:rsidR="00BA7EED" w:rsidRPr="00BA7EED" w:rsidTr="00E57406">
              <w:trPr>
                <w:trHeight w:val="70"/>
              </w:trPr>
              <w:tc>
                <w:tcPr>
                  <w:tcW w:w="4648" w:type="dxa"/>
                  <w:tcBorders>
                    <w:top w:val="single" w:sz="4" w:space="0" w:color="auto"/>
                    <w:left w:val="single" w:sz="4" w:space="0" w:color="auto"/>
                    <w:bottom w:val="single" w:sz="4" w:space="0" w:color="auto"/>
                    <w:right w:val="single" w:sz="4" w:space="0" w:color="auto"/>
                  </w:tcBorders>
                  <w:noWrap/>
                  <w:vAlign w:val="center"/>
                  <w:hideMark/>
                </w:tcPr>
                <w:p w:rsidR="00BA7EED" w:rsidRPr="00BA7EED" w:rsidRDefault="00BA7EED" w:rsidP="00BA7EED">
                  <w:pPr>
                    <w:suppressAutoHyphens/>
                    <w:spacing w:line="100" w:lineRule="atLeast"/>
                    <w:jc w:val="both"/>
                  </w:pPr>
                  <w:r w:rsidRPr="00BA7EED">
                    <w:t xml:space="preserve">v tom: </w:t>
                  </w:r>
                </w:p>
                <w:p w:rsidR="00BA7EED" w:rsidRPr="00BA7EED" w:rsidRDefault="00BA7EED" w:rsidP="00BA7EED">
                  <w:pPr>
                    <w:suppressAutoHyphens/>
                    <w:spacing w:line="100" w:lineRule="atLeast"/>
                    <w:jc w:val="both"/>
                  </w:pPr>
                  <w:r w:rsidRPr="00BA7EED">
                    <w:rPr>
                      <w:bCs/>
                      <w:iCs/>
                    </w:rPr>
                    <w:t>kapitola MF SR/0EK 0D IT financované zo ŠR – MF SR</w:t>
                  </w:r>
                </w:p>
              </w:tc>
              <w:tc>
                <w:tcPr>
                  <w:tcW w:w="1448" w:type="dxa"/>
                  <w:tcBorders>
                    <w:top w:val="single" w:sz="4" w:space="0" w:color="auto"/>
                    <w:left w:val="single" w:sz="4" w:space="0" w:color="auto"/>
                    <w:bottom w:val="single" w:sz="4" w:space="0" w:color="auto"/>
                    <w:right w:val="single" w:sz="4" w:space="0" w:color="auto"/>
                  </w:tcBorders>
                  <w:noWrap/>
                  <w:vAlign w:val="bottom"/>
                  <w:hideMark/>
                </w:tcPr>
                <w:p w:rsidR="00BA7EED" w:rsidRPr="00BA7EED" w:rsidRDefault="00BA7EED" w:rsidP="00BA7EED">
                  <w:pPr>
                    <w:suppressAutoHyphens/>
                    <w:spacing w:line="100" w:lineRule="atLeast"/>
                    <w:jc w:val="both"/>
                    <w:rPr>
                      <w:bCs/>
                    </w:rPr>
                  </w:pPr>
                  <w:r w:rsidRPr="00BA7EED">
                    <w:rPr>
                      <w:bCs/>
                    </w:rPr>
                    <w:t>864 342</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A7EED" w:rsidRPr="00BA7EED" w:rsidRDefault="00BA7EED" w:rsidP="00BA7EED">
                  <w:pPr>
                    <w:suppressAutoHyphens/>
                    <w:spacing w:line="100" w:lineRule="atLeast"/>
                    <w:jc w:val="both"/>
                    <w:rPr>
                      <w:bCs/>
                    </w:rPr>
                  </w:pPr>
                  <w:r w:rsidRPr="00BA7EED">
                    <w:rPr>
                      <w:bCs/>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A7EED" w:rsidRPr="00BA7EED" w:rsidRDefault="00BA7EED" w:rsidP="00BA7EED">
                  <w:pPr>
                    <w:suppressAutoHyphens/>
                    <w:spacing w:line="100" w:lineRule="atLeast"/>
                    <w:jc w:val="both"/>
                    <w:rPr>
                      <w:bCs/>
                    </w:rPr>
                  </w:pPr>
                  <w:r w:rsidRPr="00BA7EED">
                    <w:rPr>
                      <w:bCs/>
                    </w:rPr>
                    <w:t>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A7EED" w:rsidRPr="00BA7EED" w:rsidRDefault="00BA7EED" w:rsidP="00BA7EED">
                  <w:pPr>
                    <w:suppressAutoHyphens/>
                    <w:spacing w:line="100" w:lineRule="atLeast"/>
                    <w:jc w:val="both"/>
                    <w:rPr>
                      <w:bCs/>
                    </w:rPr>
                  </w:pPr>
                  <w:r w:rsidRPr="00BA7EED">
                    <w:rPr>
                      <w:bCs/>
                    </w:rPr>
                    <w:t>0</w:t>
                  </w:r>
                </w:p>
              </w:tc>
            </w:tr>
          </w:tbl>
          <w:p w:rsidR="00BA7EED" w:rsidRPr="00BA7EED" w:rsidRDefault="00BA7EED" w:rsidP="00BA7EED">
            <w:pPr>
              <w:suppressAutoHyphens/>
              <w:spacing w:line="100" w:lineRule="atLeast"/>
              <w:jc w:val="both"/>
              <w:rPr>
                <w:bCs/>
              </w:rPr>
            </w:pPr>
          </w:p>
          <w:p w:rsidR="005A36C0" w:rsidRPr="00EB26D5" w:rsidRDefault="005A36C0" w:rsidP="005A36C0">
            <w:pPr>
              <w:suppressAutoHyphens/>
              <w:spacing w:line="100" w:lineRule="atLeast"/>
              <w:jc w:val="both"/>
              <w:rPr>
                <w:bCs/>
                <w:i/>
                <w:u w:val="single"/>
                <w:lang w:eastAsia="ar-SA"/>
              </w:rPr>
            </w:pPr>
            <w:r w:rsidRPr="00EB26D5">
              <w:rPr>
                <w:bCs/>
                <w:i/>
                <w:u w:val="single"/>
                <w:lang w:eastAsia="ar-SA"/>
              </w:rPr>
              <w:t>Stanovisko predkladateľa:</w:t>
            </w:r>
          </w:p>
          <w:p w:rsidR="00D21952" w:rsidRDefault="00D21952" w:rsidP="00D21952">
            <w:pPr>
              <w:suppressAutoHyphens/>
              <w:spacing w:line="100" w:lineRule="atLeast"/>
              <w:jc w:val="both"/>
              <w:rPr>
                <w:bCs/>
                <w:lang w:eastAsia="ar-SA"/>
              </w:rPr>
            </w:pPr>
            <w:r w:rsidRPr="00EB26D5">
              <w:rPr>
                <w:bCs/>
                <w:lang w:eastAsia="ar-SA"/>
              </w:rPr>
              <w:t>Pripomienka bola akceptovaná a</w:t>
            </w:r>
            <w:r w:rsidR="00EB26D5" w:rsidRPr="00EB26D5">
              <w:rPr>
                <w:bCs/>
                <w:lang w:eastAsia="ar-SA"/>
              </w:rPr>
              <w:t> </w:t>
            </w:r>
            <w:r w:rsidRPr="00EB26D5">
              <w:rPr>
                <w:bCs/>
                <w:lang w:eastAsia="ar-SA"/>
              </w:rPr>
              <w:t>zapracovaná</w:t>
            </w:r>
            <w:r w:rsidR="00EB26D5" w:rsidRPr="00EB26D5">
              <w:rPr>
                <w:bCs/>
                <w:lang w:eastAsia="ar-SA"/>
              </w:rPr>
              <w:t xml:space="preserve"> inak.</w:t>
            </w:r>
          </w:p>
          <w:p w:rsidR="005A36C0" w:rsidRDefault="005A36C0" w:rsidP="00BA7EED">
            <w:pPr>
              <w:suppressAutoHyphens/>
              <w:spacing w:line="100" w:lineRule="atLeast"/>
              <w:jc w:val="both"/>
              <w:rPr>
                <w:bCs/>
              </w:rPr>
            </w:pPr>
          </w:p>
          <w:p w:rsidR="00BA7EED" w:rsidRPr="00BA7EED" w:rsidRDefault="00BA7EED" w:rsidP="00BA7EED">
            <w:pPr>
              <w:suppressAutoHyphens/>
              <w:spacing w:line="100" w:lineRule="atLeast"/>
              <w:jc w:val="both"/>
              <w:rPr>
                <w:bCs/>
              </w:rPr>
            </w:pPr>
            <w:r w:rsidRPr="00BA7EED">
              <w:rPr>
                <w:bCs/>
              </w:rPr>
              <w:t xml:space="preserve">V časti  </w:t>
            </w:r>
            <w:r w:rsidRPr="00BA7EED">
              <w:rPr>
                <w:bCs/>
                <w:i/>
              </w:rPr>
              <w:t>2.1.1. Financovanie návrhu – Návrh na riešenie úbytku príjmov alebo zvýšených výdavkov podľa § 33 ods. 1 zákona č. 523/2004 Z. z. o rozpočtových pravidlách verejnej správy</w:t>
            </w:r>
            <w:r w:rsidRPr="00BA7EED">
              <w:rPr>
                <w:bCs/>
              </w:rPr>
              <w:t xml:space="preserve"> Komisia žiada vetu „Na rok 2021 budú finančné prostriedky zabezpečené v rozpočte kapitoly MF SR (organizácia FR SR a MF SR – úrad) rozpočtovým opatrením v zmysle zákona č. 523/2004 Z. z. o rozpočtových pravidlách verejnej správy.“ </w:t>
            </w:r>
            <w:r w:rsidRPr="00BA7EED">
              <w:rPr>
                <w:bCs/>
                <w:u w:val="single"/>
              </w:rPr>
              <w:t>uviesť na konci daného bodu</w:t>
            </w:r>
            <w:r w:rsidRPr="00BA7EED">
              <w:rPr>
                <w:bCs/>
              </w:rPr>
              <w:t xml:space="preserve"> a to z dôvodu, že finančné prostriedky budú zabezpečené v rozpočte kapitoly MF SR (organizácia FR SR a MF SR – úrad) rozpočtovým opatrením v zmysle zákona č. 523/2004 Z. z. o rozpočtových pravidlách verejnej správy v celkovej výške 864 320 eur a nie iba v sume 443 723 eur, ktorá súvisí so zmenou modulov systému SAP, ktoré sú súčasťou Integrovaného systému finančnej správy – správa daní. </w:t>
            </w:r>
          </w:p>
          <w:p w:rsidR="00BA7EED" w:rsidRDefault="00BA7EED" w:rsidP="00BA7EED">
            <w:pPr>
              <w:suppressAutoHyphens/>
              <w:spacing w:line="100" w:lineRule="atLeast"/>
              <w:jc w:val="both"/>
              <w:rPr>
                <w:iCs/>
              </w:rPr>
            </w:pPr>
            <w:r w:rsidRPr="00BA7EED">
              <w:rPr>
                <w:iCs/>
              </w:rPr>
              <w:t xml:space="preserve">V časti </w:t>
            </w:r>
            <w:r w:rsidRPr="00BA7EED">
              <w:rPr>
                <w:i/>
                <w:iCs/>
              </w:rPr>
              <w:t>2.2.4. Výpočty vplyvov na verejné financie</w:t>
            </w:r>
            <w:r w:rsidRPr="00BA7EED">
              <w:rPr>
                <w:iCs/>
              </w:rPr>
              <w:t xml:space="preserve"> sú negatívne vplyvy uvedené v sume 443 723 eur a  neuvádzajú sa ďalšie vplyvy v sume 420 619 eur, ktoré súvisia sa zavedením osobitnej oznamovacej povinnosť platiteľa dane. Uvedená časť analýzy tak nie je v súlade s tabuľkou č.1 a č. 4 ako aj s časťou 2.1.1.  V nadväznosti na uvedené je potrebné tieto časti analýzy zosúladiť.</w:t>
            </w:r>
          </w:p>
          <w:p w:rsidR="005A36C0" w:rsidRDefault="005A36C0" w:rsidP="00BA7EED">
            <w:pPr>
              <w:suppressAutoHyphens/>
              <w:spacing w:line="100" w:lineRule="atLeast"/>
              <w:jc w:val="both"/>
              <w:rPr>
                <w:iCs/>
              </w:rPr>
            </w:pPr>
          </w:p>
          <w:p w:rsidR="005A36C0" w:rsidRPr="005A36C0" w:rsidRDefault="005A36C0" w:rsidP="005A36C0">
            <w:pPr>
              <w:suppressAutoHyphens/>
              <w:spacing w:line="100" w:lineRule="atLeast"/>
              <w:jc w:val="both"/>
              <w:rPr>
                <w:bCs/>
                <w:i/>
                <w:u w:val="single"/>
                <w:lang w:eastAsia="ar-SA"/>
              </w:rPr>
            </w:pPr>
            <w:r w:rsidRPr="005A36C0">
              <w:rPr>
                <w:bCs/>
                <w:i/>
                <w:u w:val="single"/>
                <w:lang w:eastAsia="ar-SA"/>
              </w:rPr>
              <w:t>Stanovisko predkladateľa:</w:t>
            </w:r>
          </w:p>
          <w:p w:rsidR="00D21952" w:rsidRDefault="00D21952" w:rsidP="00D21952">
            <w:pPr>
              <w:suppressAutoHyphens/>
              <w:spacing w:line="100" w:lineRule="atLeast"/>
              <w:jc w:val="both"/>
              <w:rPr>
                <w:bCs/>
                <w:lang w:eastAsia="ar-SA"/>
              </w:rPr>
            </w:pPr>
            <w:r w:rsidRPr="00EB26D5">
              <w:rPr>
                <w:bCs/>
                <w:lang w:eastAsia="ar-SA"/>
              </w:rPr>
              <w:t xml:space="preserve">Pripomienka bola akceptovaná a zapracovaná </w:t>
            </w:r>
            <w:r w:rsidR="00EB26D5" w:rsidRPr="00EB26D5">
              <w:rPr>
                <w:bCs/>
                <w:lang w:eastAsia="ar-SA"/>
              </w:rPr>
              <w:t>inak.</w:t>
            </w:r>
          </w:p>
          <w:p w:rsidR="00BA7EED" w:rsidRPr="00BA7EED" w:rsidRDefault="00BA7EED" w:rsidP="00BA7EED">
            <w:pPr>
              <w:suppressAutoHyphens/>
              <w:spacing w:line="100" w:lineRule="atLeast"/>
              <w:jc w:val="both"/>
              <w:rPr>
                <w:bCs/>
              </w:rPr>
            </w:pPr>
          </w:p>
          <w:p w:rsidR="00BA7EED" w:rsidRPr="00BA7EED" w:rsidRDefault="00BA7EED" w:rsidP="00BA7EED">
            <w:pPr>
              <w:suppressAutoHyphens/>
              <w:spacing w:line="100" w:lineRule="atLeast"/>
              <w:jc w:val="both"/>
            </w:pPr>
            <w:r w:rsidRPr="00BA7EED">
              <w:t>Do analýzy Komisia žiada doplniť detailný a overiteľný rozpočet pre úpravu IS PFS a ISFS-SD.</w:t>
            </w:r>
          </w:p>
          <w:p w:rsidR="00BA7EED" w:rsidRPr="00BA7EED" w:rsidRDefault="00BA7EED" w:rsidP="00BA7EED">
            <w:pPr>
              <w:suppressAutoHyphens/>
              <w:spacing w:line="100" w:lineRule="atLeast"/>
              <w:jc w:val="both"/>
            </w:pPr>
            <w:r w:rsidRPr="00BA7EED">
              <w:t>Odôvodnenie: V analýze sú uvedené detailné rozpočty pre úpravu ISFS-SD, časti ERP, PSCD, CRM a BW. Detailný rozpočet v rovnakom detaile chýba pre úpravu IS PFS - Ručenie za daň a ISFS-SD - Štandardný postup oznámenia účtu/účtov pre DPH prostredníctvom  určeného formulára. Komisia žiada doplniť detailný a overiteľný rozpočet pre tieto dve úpravy IS v rovnakom detaile, ako sú uvedené detailné rozpočty pre úpravu ISFS-SD, časti ERP, PSCD, CRM a BW.</w:t>
            </w:r>
          </w:p>
          <w:p w:rsidR="00BA7EED" w:rsidRPr="00BA7EED" w:rsidRDefault="00BA7EED" w:rsidP="00BA7EED">
            <w:pPr>
              <w:suppressAutoHyphens/>
              <w:spacing w:line="100" w:lineRule="atLeast"/>
              <w:jc w:val="both"/>
            </w:pPr>
          </w:p>
          <w:p w:rsidR="00BA7EED" w:rsidRPr="00BA7EED" w:rsidRDefault="00BA7EED" w:rsidP="00BA7EED">
            <w:pPr>
              <w:suppressAutoHyphens/>
              <w:spacing w:line="100" w:lineRule="atLeast"/>
              <w:jc w:val="both"/>
            </w:pPr>
            <w:r w:rsidRPr="00BA7EED">
              <w:t>Komisia žiada upresniť a upraviť jednotkové ceny práce pre jednotlivé pracovné pozície, ktoré budú realizovať zmeny informačných systémov a v nadväznosti na túto zmenu upraviť výšku rozpočtu úprav IS PFS a ISFS-SD.</w:t>
            </w:r>
          </w:p>
          <w:p w:rsidR="00BA7EED" w:rsidRDefault="00BA7EED" w:rsidP="00BA7EED">
            <w:pPr>
              <w:suppressAutoHyphens/>
              <w:spacing w:line="100" w:lineRule="atLeast"/>
              <w:jc w:val="both"/>
            </w:pPr>
            <w:r w:rsidRPr="00BA7EED">
              <w:t xml:space="preserve">Odôvodnenie: V analýze je pre všetky výpočty výšky výdavkov na úpravu IS PFS a ISFS-SD uvedená jednotná priemerná cena práce externých pracovníkov vo výške 857 eur s DPH. To znamená, že napríklad testovanie je ocenené rovnakou cenou práce ako riadenie projektu alebo konzultačné práce. Cieľové ceny práce pre jednotlivé IT pracovné pozície sú uvedené na </w:t>
            </w:r>
            <w:hyperlink r:id="rId12" w:history="1">
              <w:r w:rsidRPr="00BA7EED">
                <w:rPr>
                  <w:rStyle w:val="Hypertextovprepojenie"/>
                </w:rPr>
                <w:t>https://www.mirri.gov.sk/sekcie/analyza-diskusna-studia-2/</w:t>
              </w:r>
            </w:hyperlink>
            <w:r w:rsidRPr="00BA7EED">
              <w:t>. Referenčná cena SAP špecialistu sa na Slovensku pohybuje v rozsahu 667 – 710 eur s DPH. Ide o ceny pre SAP špecialistov, vyjednané IT sekciou MF SR u aktívnych IT zmlúv. Komisia žiada upresniť aké IT pracovné pozície budú realizovať jednotlivé časti projektu a upraviť ich jednotkové ceny práce na úroveň cieľových cien práce v SR verejnom sektore a v nadväznosti na to upraviť výšku rozpočtu realizovaných zmien IS.</w:t>
            </w:r>
          </w:p>
          <w:p w:rsidR="005A36C0" w:rsidRDefault="005A36C0" w:rsidP="00BA7EED">
            <w:pPr>
              <w:suppressAutoHyphens/>
              <w:spacing w:line="100" w:lineRule="atLeast"/>
              <w:jc w:val="both"/>
            </w:pPr>
          </w:p>
          <w:p w:rsidR="005A36C0" w:rsidRPr="00EB26D5" w:rsidRDefault="005A36C0" w:rsidP="005A36C0">
            <w:pPr>
              <w:suppressAutoHyphens/>
              <w:spacing w:line="100" w:lineRule="atLeast"/>
              <w:jc w:val="both"/>
              <w:rPr>
                <w:bCs/>
                <w:i/>
                <w:u w:val="single"/>
                <w:lang w:eastAsia="ar-SA"/>
              </w:rPr>
            </w:pPr>
            <w:r w:rsidRPr="00EB26D5">
              <w:rPr>
                <w:bCs/>
                <w:i/>
                <w:u w:val="single"/>
                <w:lang w:eastAsia="ar-SA"/>
              </w:rPr>
              <w:t>Stanovisko predkladateľa:</w:t>
            </w:r>
          </w:p>
          <w:p w:rsidR="00D21952" w:rsidRDefault="00D21952" w:rsidP="00D21952">
            <w:pPr>
              <w:suppressAutoHyphens/>
              <w:spacing w:line="100" w:lineRule="atLeast"/>
              <w:jc w:val="both"/>
              <w:rPr>
                <w:bCs/>
                <w:lang w:eastAsia="ar-SA"/>
              </w:rPr>
            </w:pPr>
            <w:r w:rsidRPr="00EB26D5">
              <w:rPr>
                <w:bCs/>
                <w:lang w:eastAsia="ar-SA"/>
              </w:rPr>
              <w:t>Pripomienka bola akceptovaná a zapracovaná.</w:t>
            </w:r>
          </w:p>
          <w:p w:rsidR="00BA7EED" w:rsidRPr="00BA7EED" w:rsidRDefault="00BA7EED" w:rsidP="00BA7EED">
            <w:pPr>
              <w:pStyle w:val="norm00e1lny"/>
              <w:spacing w:line="240" w:lineRule="atLeast"/>
              <w:jc w:val="both"/>
              <w:rPr>
                <w:rStyle w:val="norm00e1lnychar1"/>
                <w:b/>
                <w:bCs/>
                <w:sz w:val="24"/>
                <w:szCs w:val="24"/>
              </w:rPr>
            </w:pPr>
          </w:p>
          <w:p w:rsidR="00BA7EED" w:rsidRPr="00BA7EED" w:rsidRDefault="00BA7EED" w:rsidP="00BA7EED">
            <w:pPr>
              <w:pStyle w:val="norm00e1lny"/>
              <w:spacing w:line="240" w:lineRule="atLeast"/>
              <w:jc w:val="both"/>
              <w:rPr>
                <w:sz w:val="24"/>
                <w:szCs w:val="24"/>
              </w:rPr>
            </w:pPr>
            <w:r w:rsidRPr="00BA7EED">
              <w:rPr>
                <w:rStyle w:val="norm00e1lnychar1"/>
                <w:b/>
                <w:bCs/>
                <w:sz w:val="24"/>
                <w:szCs w:val="24"/>
              </w:rPr>
              <w:t xml:space="preserve">III. Záver: </w:t>
            </w:r>
            <w:r w:rsidRPr="00BA7EED">
              <w:rPr>
                <w:rStyle w:val="norm00e1lnychar1"/>
                <w:sz w:val="24"/>
                <w:szCs w:val="24"/>
              </w:rPr>
              <w:t xml:space="preserve">Stála pracovná komisia na posudzovanie vybraných vplyvov vyjadruje </w:t>
            </w:r>
          </w:p>
          <w:p w:rsidR="00BA7EED" w:rsidRPr="00BA7EED" w:rsidRDefault="00BA7EED" w:rsidP="00BA7EED">
            <w:pPr>
              <w:pStyle w:val="norm00e1lny"/>
              <w:jc w:val="both"/>
              <w:rPr>
                <w:sz w:val="24"/>
                <w:szCs w:val="24"/>
              </w:rPr>
            </w:pPr>
          </w:p>
          <w:p w:rsidR="00BA7EED" w:rsidRPr="00BA7EED" w:rsidRDefault="00BA7EED" w:rsidP="00BA7EED">
            <w:pPr>
              <w:pStyle w:val="norm00e1lny"/>
              <w:jc w:val="center"/>
              <w:rPr>
                <w:sz w:val="24"/>
                <w:szCs w:val="24"/>
              </w:rPr>
            </w:pPr>
            <w:r w:rsidRPr="00BA7EED">
              <w:rPr>
                <w:rStyle w:val="norm00e1lnychar1"/>
                <w:b/>
                <w:bCs/>
                <w:sz w:val="24"/>
                <w:szCs w:val="24"/>
              </w:rPr>
              <w:t>nesúhlasné stanovisko</w:t>
            </w:r>
          </w:p>
          <w:p w:rsidR="00BA7EED" w:rsidRPr="00BA7EED" w:rsidRDefault="00BA7EED" w:rsidP="00BA7EED">
            <w:pPr>
              <w:pStyle w:val="norm00e1lny"/>
              <w:jc w:val="both"/>
              <w:rPr>
                <w:sz w:val="24"/>
                <w:szCs w:val="24"/>
              </w:rPr>
            </w:pPr>
          </w:p>
          <w:p w:rsidR="00BA7EED" w:rsidRPr="00BA7EED" w:rsidRDefault="00BA7EED" w:rsidP="00BA7EED">
            <w:pPr>
              <w:pStyle w:val="norm00e1lny"/>
              <w:jc w:val="both"/>
              <w:rPr>
                <w:sz w:val="24"/>
                <w:szCs w:val="24"/>
              </w:rPr>
            </w:pPr>
            <w:r w:rsidRPr="00BA7EED">
              <w:rPr>
                <w:rStyle w:val="norm00e1lnychar1"/>
                <w:sz w:val="24"/>
                <w:szCs w:val="24"/>
              </w:rPr>
              <w:t>s materiálom predloženým na predbežné pripomienkové konanie s odporúčaním na jeho dopracovanie podľa pripomienok v bode II.</w:t>
            </w:r>
          </w:p>
          <w:p w:rsidR="00BA7EED" w:rsidRPr="00BA7EED" w:rsidRDefault="00BA7EED" w:rsidP="00BA7EED">
            <w:pPr>
              <w:pStyle w:val="norm00e1lny"/>
              <w:jc w:val="both"/>
              <w:rPr>
                <w:sz w:val="24"/>
                <w:szCs w:val="24"/>
              </w:rPr>
            </w:pPr>
          </w:p>
          <w:p w:rsidR="00BA7EED" w:rsidRPr="00BA7EED" w:rsidRDefault="00BA7EED" w:rsidP="00BA7EED">
            <w:pPr>
              <w:pStyle w:val="norm00e1lny"/>
              <w:jc w:val="both"/>
              <w:rPr>
                <w:sz w:val="24"/>
                <w:szCs w:val="24"/>
              </w:rPr>
            </w:pPr>
          </w:p>
          <w:p w:rsidR="00BA7EED" w:rsidRPr="00BA7EED" w:rsidRDefault="00BA7EED" w:rsidP="00BA7EED">
            <w:pPr>
              <w:pStyle w:val="norm00e1lny"/>
              <w:spacing w:line="240" w:lineRule="atLeast"/>
              <w:jc w:val="both"/>
              <w:rPr>
                <w:sz w:val="24"/>
                <w:szCs w:val="24"/>
              </w:rPr>
            </w:pPr>
            <w:r w:rsidRPr="00BA7EED">
              <w:rPr>
                <w:rStyle w:val="norm00e1lnychar1"/>
                <w:b/>
                <w:bCs/>
                <w:sz w:val="24"/>
                <w:szCs w:val="24"/>
              </w:rPr>
              <w:t>IV. Poznámka:</w:t>
            </w:r>
            <w:r w:rsidRPr="00BA7EED">
              <w:rPr>
                <w:rStyle w:val="norm00e1lnychar1"/>
                <w:sz w:val="24"/>
                <w:szCs w:val="24"/>
              </w:rPr>
              <w:t xml:space="preserve"> Predkladateľ zapracuje pripomienky a odporúčania na úpravu uvedené v bode II a uvedie stanovisko Komisie do doložky vybraných vplyvov spolu s vyhodnotením pripomienok.</w:t>
            </w:r>
          </w:p>
          <w:p w:rsidR="00E237B5" w:rsidRPr="00A70F69" w:rsidRDefault="00BA7EED" w:rsidP="00BA7EED">
            <w:pPr>
              <w:pStyle w:val="norm00e1lny"/>
              <w:jc w:val="both"/>
              <w:rPr>
                <w:b/>
                <w:i/>
                <w:lang w:eastAsia="en-US"/>
              </w:rPr>
            </w:pPr>
            <w:r w:rsidRPr="00BA7EED">
              <w:rPr>
                <w:sz w:val="24"/>
                <w:szCs w:val="24"/>
              </w:rPr>
              <w:t> </w:t>
            </w:r>
            <w:r w:rsidRPr="00BA7EED">
              <w:rPr>
                <w:rStyle w:val="z00e1kladn00fd0020textchar1"/>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5043C1" w:rsidRPr="00A70F69" w:rsidRDefault="005043C1"/>
    <w:sectPr w:rsidR="005043C1" w:rsidRPr="00A70F69" w:rsidSect="00B15FE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A4" w:rsidRDefault="00B20BA4" w:rsidP="00105171">
      <w:r>
        <w:separator/>
      </w:r>
    </w:p>
  </w:endnote>
  <w:endnote w:type="continuationSeparator" w:id="0">
    <w:p w:rsidR="00B20BA4" w:rsidRDefault="00B20BA4" w:rsidP="0010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E6" w:rsidRDefault="00B15FE6">
    <w:pPr>
      <w:pStyle w:val="Pta"/>
      <w:jc w:val="center"/>
    </w:pPr>
    <w:r>
      <w:fldChar w:fldCharType="begin"/>
    </w:r>
    <w:r>
      <w:instrText>PAGE   \* MERGEFORMAT</w:instrText>
    </w:r>
    <w:r>
      <w:fldChar w:fldCharType="separate"/>
    </w:r>
    <w:r w:rsidR="00362CB4">
      <w:rPr>
        <w:noProof/>
      </w:rPr>
      <w:t>9</w:t>
    </w:r>
    <w:r>
      <w:fldChar w:fldCharType="end"/>
    </w:r>
  </w:p>
  <w:p w:rsidR="00105171" w:rsidRDefault="001051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A4" w:rsidRDefault="00B20BA4" w:rsidP="00105171">
      <w:r>
        <w:separator/>
      </w:r>
    </w:p>
  </w:footnote>
  <w:footnote w:type="continuationSeparator" w:id="0">
    <w:p w:rsidR="00B20BA4" w:rsidRDefault="00B20BA4" w:rsidP="00105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5C11"/>
    <w:multiLevelType w:val="hybridMultilevel"/>
    <w:tmpl w:val="B50296C2"/>
    <w:lvl w:ilvl="0" w:tplc="687A898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6679C8"/>
    <w:multiLevelType w:val="hybridMultilevel"/>
    <w:tmpl w:val="94E6DC8A"/>
    <w:lvl w:ilvl="0" w:tplc="D74047A2">
      <w:start w:val="3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2C5E9E"/>
    <w:multiLevelType w:val="hybridMultilevel"/>
    <w:tmpl w:val="94E22EFA"/>
    <w:lvl w:ilvl="0" w:tplc="041B000F">
      <w:start w:val="1"/>
      <w:numFmt w:val="decimal"/>
      <w:lvlText w:val="%1."/>
      <w:lvlJc w:val="left"/>
      <w:pPr>
        <w:ind w:left="720" w:hanging="360"/>
      </w:pPr>
      <w:rPr>
        <w:rFonts w:cs="Times New Roman" w:hint="default"/>
        <w:i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5D0F42"/>
    <w:multiLevelType w:val="hybridMultilevel"/>
    <w:tmpl w:val="3260D330"/>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7872103B"/>
    <w:multiLevelType w:val="hybridMultilevel"/>
    <w:tmpl w:val="FD4E2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 w15:restartNumberingAfterBreak="0">
    <w:nsid w:val="7DC014B4"/>
    <w:multiLevelType w:val="hybridMultilevel"/>
    <w:tmpl w:val="07B8899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31"/>
    <w:rsid w:val="0000207F"/>
    <w:rsid w:val="000042E0"/>
    <w:rsid w:val="0001036E"/>
    <w:rsid w:val="00011BF8"/>
    <w:rsid w:val="00030EA2"/>
    <w:rsid w:val="000311AA"/>
    <w:rsid w:val="00033F02"/>
    <w:rsid w:val="00050312"/>
    <w:rsid w:val="000521C7"/>
    <w:rsid w:val="0005369E"/>
    <w:rsid w:val="00076464"/>
    <w:rsid w:val="000836D2"/>
    <w:rsid w:val="00087753"/>
    <w:rsid w:val="000908F3"/>
    <w:rsid w:val="00095530"/>
    <w:rsid w:val="000A00CA"/>
    <w:rsid w:val="000B3D5C"/>
    <w:rsid w:val="000F696B"/>
    <w:rsid w:val="00105171"/>
    <w:rsid w:val="00107BC7"/>
    <w:rsid w:val="00126C07"/>
    <w:rsid w:val="00144DB1"/>
    <w:rsid w:val="001450CE"/>
    <w:rsid w:val="001456D1"/>
    <w:rsid w:val="00151F7F"/>
    <w:rsid w:val="00163F81"/>
    <w:rsid w:val="001765AD"/>
    <w:rsid w:val="001B7356"/>
    <w:rsid w:val="001C15A6"/>
    <w:rsid w:val="001C31A3"/>
    <w:rsid w:val="001C4DBC"/>
    <w:rsid w:val="001E19B2"/>
    <w:rsid w:val="001E4C7E"/>
    <w:rsid w:val="001F0605"/>
    <w:rsid w:val="001F4363"/>
    <w:rsid w:val="0020434A"/>
    <w:rsid w:val="0021219E"/>
    <w:rsid w:val="0021734B"/>
    <w:rsid w:val="0022001A"/>
    <w:rsid w:val="002741FD"/>
    <w:rsid w:val="00275A1F"/>
    <w:rsid w:val="00283677"/>
    <w:rsid w:val="00296CC0"/>
    <w:rsid w:val="002B3F61"/>
    <w:rsid w:val="002C5DD0"/>
    <w:rsid w:val="002D1B55"/>
    <w:rsid w:val="002E37DC"/>
    <w:rsid w:val="00301235"/>
    <w:rsid w:val="003076DF"/>
    <w:rsid w:val="003128E2"/>
    <w:rsid w:val="003373FA"/>
    <w:rsid w:val="00340257"/>
    <w:rsid w:val="0034082B"/>
    <w:rsid w:val="00342F59"/>
    <w:rsid w:val="00355A50"/>
    <w:rsid w:val="00357448"/>
    <w:rsid w:val="00362CB4"/>
    <w:rsid w:val="0037371B"/>
    <w:rsid w:val="00373963"/>
    <w:rsid w:val="00380875"/>
    <w:rsid w:val="0038230E"/>
    <w:rsid w:val="003A46E0"/>
    <w:rsid w:val="003A68F8"/>
    <w:rsid w:val="003D19BD"/>
    <w:rsid w:val="003D3FC4"/>
    <w:rsid w:val="003F0988"/>
    <w:rsid w:val="003F26F8"/>
    <w:rsid w:val="003F48B9"/>
    <w:rsid w:val="00401065"/>
    <w:rsid w:val="00414020"/>
    <w:rsid w:val="004266CA"/>
    <w:rsid w:val="00451C1C"/>
    <w:rsid w:val="004621FA"/>
    <w:rsid w:val="00465CBD"/>
    <w:rsid w:val="00475219"/>
    <w:rsid w:val="00476B08"/>
    <w:rsid w:val="004B6B88"/>
    <w:rsid w:val="004C1AEB"/>
    <w:rsid w:val="004C3C17"/>
    <w:rsid w:val="004E10AF"/>
    <w:rsid w:val="004E6E70"/>
    <w:rsid w:val="004F113C"/>
    <w:rsid w:val="004F434C"/>
    <w:rsid w:val="00504061"/>
    <w:rsid w:val="005043C1"/>
    <w:rsid w:val="005135B2"/>
    <w:rsid w:val="00521F64"/>
    <w:rsid w:val="00535A61"/>
    <w:rsid w:val="00557E33"/>
    <w:rsid w:val="005632E4"/>
    <w:rsid w:val="00572443"/>
    <w:rsid w:val="00575F20"/>
    <w:rsid w:val="00576F6A"/>
    <w:rsid w:val="00580757"/>
    <w:rsid w:val="00592009"/>
    <w:rsid w:val="00594FFC"/>
    <w:rsid w:val="00595F17"/>
    <w:rsid w:val="005A36C0"/>
    <w:rsid w:val="005B6D4C"/>
    <w:rsid w:val="005C0005"/>
    <w:rsid w:val="005C5F7E"/>
    <w:rsid w:val="005C7EA0"/>
    <w:rsid w:val="005D20F5"/>
    <w:rsid w:val="005D486C"/>
    <w:rsid w:val="005D4E4A"/>
    <w:rsid w:val="005D641E"/>
    <w:rsid w:val="005D68A0"/>
    <w:rsid w:val="005E4898"/>
    <w:rsid w:val="005E4E62"/>
    <w:rsid w:val="005E4F58"/>
    <w:rsid w:val="005F1520"/>
    <w:rsid w:val="00610E53"/>
    <w:rsid w:val="00621241"/>
    <w:rsid w:val="0062412B"/>
    <w:rsid w:val="00625D97"/>
    <w:rsid w:val="00634A9E"/>
    <w:rsid w:val="0065479F"/>
    <w:rsid w:val="00675467"/>
    <w:rsid w:val="006809E4"/>
    <w:rsid w:val="006833A1"/>
    <w:rsid w:val="00693EED"/>
    <w:rsid w:val="00697757"/>
    <w:rsid w:val="00697867"/>
    <w:rsid w:val="006A68A5"/>
    <w:rsid w:val="006B2F8C"/>
    <w:rsid w:val="006B4072"/>
    <w:rsid w:val="006D5021"/>
    <w:rsid w:val="006E2455"/>
    <w:rsid w:val="006E2DC2"/>
    <w:rsid w:val="006E7127"/>
    <w:rsid w:val="006F0DA6"/>
    <w:rsid w:val="006F1FB3"/>
    <w:rsid w:val="006F47E1"/>
    <w:rsid w:val="006F4D08"/>
    <w:rsid w:val="00700008"/>
    <w:rsid w:val="0071180C"/>
    <w:rsid w:val="00740FC5"/>
    <w:rsid w:val="0074525C"/>
    <w:rsid w:val="0076214A"/>
    <w:rsid w:val="00775148"/>
    <w:rsid w:val="00797D6A"/>
    <w:rsid w:val="007A4588"/>
    <w:rsid w:val="007A50B9"/>
    <w:rsid w:val="007C5440"/>
    <w:rsid w:val="007C6682"/>
    <w:rsid w:val="0080343C"/>
    <w:rsid w:val="008201BB"/>
    <w:rsid w:val="008301EE"/>
    <w:rsid w:val="008341F2"/>
    <w:rsid w:val="00860936"/>
    <w:rsid w:val="00864195"/>
    <w:rsid w:val="00867486"/>
    <w:rsid w:val="00872652"/>
    <w:rsid w:val="0087391D"/>
    <w:rsid w:val="00892E2A"/>
    <w:rsid w:val="00893F7B"/>
    <w:rsid w:val="00894C54"/>
    <w:rsid w:val="008A1513"/>
    <w:rsid w:val="008C72D5"/>
    <w:rsid w:val="008D4455"/>
    <w:rsid w:val="008E3893"/>
    <w:rsid w:val="008E6776"/>
    <w:rsid w:val="00900A11"/>
    <w:rsid w:val="00903420"/>
    <w:rsid w:val="009072E3"/>
    <w:rsid w:val="009211C3"/>
    <w:rsid w:val="00940D72"/>
    <w:rsid w:val="009812CC"/>
    <w:rsid w:val="00981843"/>
    <w:rsid w:val="009937A9"/>
    <w:rsid w:val="009A0F8D"/>
    <w:rsid w:val="009B512B"/>
    <w:rsid w:val="009D2E3A"/>
    <w:rsid w:val="009E0CA5"/>
    <w:rsid w:val="009E1AC3"/>
    <w:rsid w:val="009F6EC1"/>
    <w:rsid w:val="00A0374C"/>
    <w:rsid w:val="00A0690F"/>
    <w:rsid w:val="00A11648"/>
    <w:rsid w:val="00A35FEF"/>
    <w:rsid w:val="00A42841"/>
    <w:rsid w:val="00A66994"/>
    <w:rsid w:val="00A70F69"/>
    <w:rsid w:val="00A72A22"/>
    <w:rsid w:val="00A74126"/>
    <w:rsid w:val="00A8025E"/>
    <w:rsid w:val="00A805E8"/>
    <w:rsid w:val="00A83A8A"/>
    <w:rsid w:val="00A9647A"/>
    <w:rsid w:val="00AB7745"/>
    <w:rsid w:val="00AD1BAD"/>
    <w:rsid w:val="00AE3F5A"/>
    <w:rsid w:val="00B00949"/>
    <w:rsid w:val="00B0573E"/>
    <w:rsid w:val="00B05B9D"/>
    <w:rsid w:val="00B1257C"/>
    <w:rsid w:val="00B15FE6"/>
    <w:rsid w:val="00B17702"/>
    <w:rsid w:val="00B20BA4"/>
    <w:rsid w:val="00B35B59"/>
    <w:rsid w:val="00B41B3E"/>
    <w:rsid w:val="00B54B1A"/>
    <w:rsid w:val="00B552AE"/>
    <w:rsid w:val="00B60ADB"/>
    <w:rsid w:val="00B70DDB"/>
    <w:rsid w:val="00B76933"/>
    <w:rsid w:val="00B81627"/>
    <w:rsid w:val="00B862AF"/>
    <w:rsid w:val="00B96DE2"/>
    <w:rsid w:val="00B978C6"/>
    <w:rsid w:val="00BA0968"/>
    <w:rsid w:val="00BA7EED"/>
    <w:rsid w:val="00BB30C2"/>
    <w:rsid w:val="00BB4E6D"/>
    <w:rsid w:val="00BC5106"/>
    <w:rsid w:val="00BC6F29"/>
    <w:rsid w:val="00BD013C"/>
    <w:rsid w:val="00BD5B4E"/>
    <w:rsid w:val="00BE61F2"/>
    <w:rsid w:val="00BF3639"/>
    <w:rsid w:val="00BF79B4"/>
    <w:rsid w:val="00C02835"/>
    <w:rsid w:val="00C15A3F"/>
    <w:rsid w:val="00C217D8"/>
    <w:rsid w:val="00C26656"/>
    <w:rsid w:val="00C43AC0"/>
    <w:rsid w:val="00C45296"/>
    <w:rsid w:val="00C47B55"/>
    <w:rsid w:val="00C50CFE"/>
    <w:rsid w:val="00C626E2"/>
    <w:rsid w:val="00C87042"/>
    <w:rsid w:val="00CA0660"/>
    <w:rsid w:val="00CA24E5"/>
    <w:rsid w:val="00CA444D"/>
    <w:rsid w:val="00CB143E"/>
    <w:rsid w:val="00CD039F"/>
    <w:rsid w:val="00CD1337"/>
    <w:rsid w:val="00CD49F0"/>
    <w:rsid w:val="00CE199A"/>
    <w:rsid w:val="00CF4140"/>
    <w:rsid w:val="00D21952"/>
    <w:rsid w:val="00D21F67"/>
    <w:rsid w:val="00D25ED0"/>
    <w:rsid w:val="00D3362A"/>
    <w:rsid w:val="00D363E8"/>
    <w:rsid w:val="00D370E6"/>
    <w:rsid w:val="00D41116"/>
    <w:rsid w:val="00D44FFA"/>
    <w:rsid w:val="00D46EBD"/>
    <w:rsid w:val="00D47FDD"/>
    <w:rsid w:val="00D5730C"/>
    <w:rsid w:val="00D93715"/>
    <w:rsid w:val="00D97CAB"/>
    <w:rsid w:val="00DA4D10"/>
    <w:rsid w:val="00DB2D1B"/>
    <w:rsid w:val="00DB2FC3"/>
    <w:rsid w:val="00DD4160"/>
    <w:rsid w:val="00DE1AE5"/>
    <w:rsid w:val="00DE6E49"/>
    <w:rsid w:val="00E237B5"/>
    <w:rsid w:val="00E256F1"/>
    <w:rsid w:val="00E34D4E"/>
    <w:rsid w:val="00E445A1"/>
    <w:rsid w:val="00E45C83"/>
    <w:rsid w:val="00E5689B"/>
    <w:rsid w:val="00E63C91"/>
    <w:rsid w:val="00E655BE"/>
    <w:rsid w:val="00E6762F"/>
    <w:rsid w:val="00E677FD"/>
    <w:rsid w:val="00E67E26"/>
    <w:rsid w:val="00E750CD"/>
    <w:rsid w:val="00E76D31"/>
    <w:rsid w:val="00E76DC8"/>
    <w:rsid w:val="00E81D03"/>
    <w:rsid w:val="00E9275F"/>
    <w:rsid w:val="00EA0287"/>
    <w:rsid w:val="00EB26D5"/>
    <w:rsid w:val="00EB2889"/>
    <w:rsid w:val="00EB5806"/>
    <w:rsid w:val="00EB5AB8"/>
    <w:rsid w:val="00EB759F"/>
    <w:rsid w:val="00EC5981"/>
    <w:rsid w:val="00ED213B"/>
    <w:rsid w:val="00ED3E4A"/>
    <w:rsid w:val="00EE13AB"/>
    <w:rsid w:val="00EE22FC"/>
    <w:rsid w:val="00EE29A6"/>
    <w:rsid w:val="00EE51D8"/>
    <w:rsid w:val="00EF330A"/>
    <w:rsid w:val="00F00ADB"/>
    <w:rsid w:val="00F025D6"/>
    <w:rsid w:val="00F07597"/>
    <w:rsid w:val="00F131D0"/>
    <w:rsid w:val="00F17830"/>
    <w:rsid w:val="00F26DFC"/>
    <w:rsid w:val="00F32A6C"/>
    <w:rsid w:val="00F43FE2"/>
    <w:rsid w:val="00F51A53"/>
    <w:rsid w:val="00F93859"/>
    <w:rsid w:val="00F95A8F"/>
    <w:rsid w:val="00F964C7"/>
    <w:rsid w:val="00FA4B98"/>
    <w:rsid w:val="00FA5E11"/>
    <w:rsid w:val="00FC19C7"/>
    <w:rsid w:val="00FC3363"/>
    <w:rsid w:val="00FC7C53"/>
    <w:rsid w:val="00FD38C7"/>
    <w:rsid w:val="00FD7F83"/>
    <w:rsid w:val="00FE45E7"/>
    <w:rsid w:val="00FF64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21B1A7-FD15-4C84-BC4F-8623176D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6D31"/>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E76D31"/>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paragraph" w:styleId="Odsekzoznamu">
    <w:name w:val="List Paragraph"/>
    <w:aliases w:val="Odsek zoznamu1,Odsek"/>
    <w:basedOn w:val="Normlny"/>
    <w:link w:val="OdsekzoznamuChar"/>
    <w:uiPriority w:val="34"/>
    <w:qFormat/>
    <w:rsid w:val="00355A50"/>
    <w:pPr>
      <w:spacing w:after="200" w:line="276" w:lineRule="auto"/>
      <w:ind w:left="720"/>
      <w:contextualSpacing/>
    </w:pPr>
    <w:rPr>
      <w:rFonts w:ascii="Arial Narrow" w:hAnsi="Arial Narrow"/>
      <w:sz w:val="22"/>
      <w:szCs w:val="36"/>
      <w:lang w:eastAsia="en-US"/>
    </w:rPr>
  </w:style>
  <w:style w:type="character" w:customStyle="1" w:styleId="Textzstupnhosymbolu1">
    <w:name w:val="Text zástupného symbolu1"/>
    <w:semiHidden/>
    <w:rsid w:val="00E76D31"/>
    <w:rPr>
      <w:rFonts w:ascii="Times New Roman" w:hAnsi="Times New Roman"/>
      <w:color w:val="808080"/>
    </w:rPr>
  </w:style>
  <w:style w:type="character" w:styleId="Hypertextovprepojenie">
    <w:name w:val="Hyperlink"/>
    <w:basedOn w:val="Predvolenpsmoodseku"/>
    <w:uiPriority w:val="99"/>
    <w:semiHidden/>
    <w:rsid w:val="00E76D31"/>
    <w:rPr>
      <w:rFonts w:cs="Times New Roman"/>
      <w:color w:val="0000FF"/>
      <w:u w:val="single"/>
    </w:rPr>
  </w:style>
  <w:style w:type="paragraph" w:styleId="Zkladntext">
    <w:name w:val="Body Text"/>
    <w:basedOn w:val="Normlny"/>
    <w:link w:val="ZkladntextChar"/>
    <w:uiPriority w:val="99"/>
    <w:rsid w:val="00355A50"/>
    <w:pPr>
      <w:spacing w:after="120"/>
    </w:pPr>
  </w:style>
  <w:style w:type="character" w:customStyle="1" w:styleId="ZkladntextChar">
    <w:name w:val="Základný text Char"/>
    <w:basedOn w:val="Predvolenpsmoodseku"/>
    <w:link w:val="Zkladntext"/>
    <w:uiPriority w:val="99"/>
    <w:locked/>
    <w:rsid w:val="00355A50"/>
    <w:rPr>
      <w:rFonts w:ascii="Times New Roman" w:hAnsi="Times New Roman" w:cs="Times New Roman"/>
      <w:sz w:val="24"/>
      <w:szCs w:val="24"/>
      <w:lang w:val="x-none" w:eastAsia="sk-SK"/>
    </w:rPr>
  </w:style>
  <w:style w:type="character" w:customStyle="1" w:styleId="OdsekzoznamuChar">
    <w:name w:val="Odsek zoznamu Char"/>
    <w:aliases w:val="Odsek zoznamu1 Char,Odsek Char"/>
    <w:basedOn w:val="Predvolenpsmoodseku"/>
    <w:link w:val="Odsekzoznamu"/>
    <w:uiPriority w:val="34"/>
    <w:locked/>
    <w:rsid w:val="00355A50"/>
    <w:rPr>
      <w:rFonts w:cs="Times New Roman"/>
    </w:rPr>
  </w:style>
  <w:style w:type="character" w:styleId="Siln">
    <w:name w:val="Strong"/>
    <w:basedOn w:val="Predvolenpsmoodseku"/>
    <w:uiPriority w:val="22"/>
    <w:qFormat/>
    <w:rsid w:val="005043C1"/>
    <w:rPr>
      <w:rFonts w:cs="Times New Roman"/>
      <w:b/>
      <w:bCs/>
    </w:rPr>
  </w:style>
  <w:style w:type="paragraph" w:styleId="Textbubliny">
    <w:name w:val="Balloon Text"/>
    <w:basedOn w:val="Normlny"/>
    <w:link w:val="TextbublinyChar"/>
    <w:uiPriority w:val="99"/>
    <w:rsid w:val="009F6EC1"/>
    <w:rPr>
      <w:rFonts w:ascii="Segoe UI" w:hAnsi="Segoe UI" w:cs="Segoe UI"/>
      <w:sz w:val="18"/>
      <w:szCs w:val="18"/>
    </w:rPr>
  </w:style>
  <w:style w:type="character" w:customStyle="1" w:styleId="TextbublinyChar">
    <w:name w:val="Text bubliny Char"/>
    <w:basedOn w:val="Predvolenpsmoodseku"/>
    <w:link w:val="Textbubliny"/>
    <w:uiPriority w:val="99"/>
    <w:locked/>
    <w:rsid w:val="009F6EC1"/>
    <w:rPr>
      <w:rFonts w:ascii="Segoe UI" w:hAnsi="Segoe UI" w:cs="Segoe UI"/>
      <w:sz w:val="18"/>
      <w:szCs w:val="18"/>
      <w:lang w:val="x-none" w:eastAsia="sk-SK"/>
    </w:rPr>
  </w:style>
  <w:style w:type="character" w:styleId="Zstupntext">
    <w:name w:val="Placeholder Text"/>
    <w:basedOn w:val="Predvolenpsmoodseku"/>
    <w:uiPriority w:val="99"/>
    <w:semiHidden/>
    <w:rsid w:val="00076464"/>
    <w:rPr>
      <w:rFonts w:ascii="Times New Roman" w:hAnsi="Times New Roman" w:cs="Times New Roman"/>
      <w:color w:val="808080"/>
    </w:rPr>
  </w:style>
  <w:style w:type="paragraph" w:styleId="Hlavika">
    <w:name w:val="header"/>
    <w:basedOn w:val="Normlny"/>
    <w:link w:val="HlavikaChar"/>
    <w:uiPriority w:val="99"/>
    <w:rsid w:val="00105171"/>
    <w:pPr>
      <w:tabs>
        <w:tab w:val="center" w:pos="4536"/>
        <w:tab w:val="right" w:pos="9072"/>
      </w:tabs>
    </w:pPr>
  </w:style>
  <w:style w:type="character" w:customStyle="1" w:styleId="HlavikaChar">
    <w:name w:val="Hlavička Char"/>
    <w:basedOn w:val="Predvolenpsmoodseku"/>
    <w:link w:val="Hlavika"/>
    <w:uiPriority w:val="99"/>
    <w:locked/>
    <w:rsid w:val="00105171"/>
    <w:rPr>
      <w:rFonts w:ascii="Times New Roman" w:hAnsi="Times New Roman" w:cs="Times New Roman"/>
      <w:sz w:val="24"/>
      <w:szCs w:val="24"/>
      <w:lang w:val="x-none" w:eastAsia="sk-SK"/>
    </w:rPr>
  </w:style>
  <w:style w:type="paragraph" w:styleId="Pta">
    <w:name w:val="footer"/>
    <w:basedOn w:val="Normlny"/>
    <w:link w:val="PtaChar"/>
    <w:uiPriority w:val="99"/>
    <w:rsid w:val="00105171"/>
    <w:pPr>
      <w:tabs>
        <w:tab w:val="center" w:pos="4536"/>
        <w:tab w:val="right" w:pos="9072"/>
      </w:tabs>
    </w:pPr>
  </w:style>
  <w:style w:type="character" w:customStyle="1" w:styleId="PtaChar">
    <w:name w:val="Päta Char"/>
    <w:basedOn w:val="Predvolenpsmoodseku"/>
    <w:link w:val="Pta"/>
    <w:uiPriority w:val="99"/>
    <w:locked/>
    <w:rsid w:val="00105171"/>
    <w:rPr>
      <w:rFonts w:ascii="Times New Roman" w:hAnsi="Times New Roman" w:cs="Times New Roman"/>
      <w:sz w:val="24"/>
      <w:szCs w:val="24"/>
      <w:lang w:val="x-none" w:eastAsia="sk-SK"/>
    </w:rPr>
  </w:style>
  <w:style w:type="character" w:styleId="PouitHypertextovPrepojenie">
    <w:name w:val="FollowedHyperlink"/>
    <w:basedOn w:val="Predvolenpsmoodseku"/>
    <w:uiPriority w:val="99"/>
    <w:rsid w:val="00903420"/>
    <w:rPr>
      <w:color w:val="800080" w:themeColor="followedHyperlink"/>
      <w:u w:val="single"/>
    </w:rPr>
  </w:style>
  <w:style w:type="paragraph" w:customStyle="1" w:styleId="norm00e1lny">
    <w:name w:val="norm_00e1lny"/>
    <w:basedOn w:val="Normlny"/>
    <w:rsid w:val="00BA7EED"/>
    <w:pPr>
      <w:spacing w:line="200" w:lineRule="atLeast"/>
    </w:pPr>
    <w:rPr>
      <w:sz w:val="20"/>
      <w:szCs w:val="20"/>
    </w:rPr>
  </w:style>
  <w:style w:type="character" w:customStyle="1" w:styleId="norm00e1lnychar1">
    <w:name w:val="norm_00e1lny__char1"/>
    <w:rsid w:val="00BA7EED"/>
    <w:rPr>
      <w:rFonts w:ascii="Times New Roman" w:hAnsi="Times New Roman" w:cs="Times New Roman" w:hint="default"/>
      <w:strike w:val="0"/>
      <w:dstrike w:val="0"/>
      <w:sz w:val="20"/>
      <w:szCs w:val="20"/>
      <w:u w:val="none"/>
      <w:effect w:val="none"/>
    </w:rPr>
  </w:style>
  <w:style w:type="character" w:customStyle="1" w:styleId="z00e1kladn00fd0020textchar1">
    <w:name w:val="z_00e1kladn_00fd_0020text__char1"/>
    <w:rsid w:val="00BA7EED"/>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8059">
      <w:marLeft w:val="0"/>
      <w:marRight w:val="0"/>
      <w:marTop w:val="0"/>
      <w:marBottom w:val="0"/>
      <w:divBdr>
        <w:top w:val="none" w:sz="0" w:space="0" w:color="auto"/>
        <w:left w:val="none" w:sz="0" w:space="0" w:color="auto"/>
        <w:bottom w:val="none" w:sz="0" w:space="0" w:color="auto"/>
        <w:right w:val="none" w:sz="0" w:space="0" w:color="auto"/>
      </w:divBdr>
    </w:div>
    <w:div w:id="373698060">
      <w:marLeft w:val="0"/>
      <w:marRight w:val="0"/>
      <w:marTop w:val="0"/>
      <w:marBottom w:val="0"/>
      <w:divBdr>
        <w:top w:val="none" w:sz="0" w:space="0" w:color="auto"/>
        <w:left w:val="none" w:sz="0" w:space="0" w:color="auto"/>
        <w:bottom w:val="none" w:sz="0" w:space="0" w:color="auto"/>
        <w:right w:val="none" w:sz="0" w:space="0" w:color="auto"/>
      </w:divBdr>
    </w:div>
    <w:div w:id="373698061">
      <w:marLeft w:val="0"/>
      <w:marRight w:val="0"/>
      <w:marTop w:val="0"/>
      <w:marBottom w:val="0"/>
      <w:divBdr>
        <w:top w:val="none" w:sz="0" w:space="0" w:color="auto"/>
        <w:left w:val="none" w:sz="0" w:space="0" w:color="auto"/>
        <w:bottom w:val="none" w:sz="0" w:space="0" w:color="auto"/>
        <w:right w:val="none" w:sz="0" w:space="0" w:color="auto"/>
      </w:divBdr>
    </w:div>
    <w:div w:id="373698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rri.gov.sk/sekcie/analyza-diskusna-studia-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os.miklos@mfsr.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cia.blazekova@mfsr.sk" TargetMode="External"/><Relationship Id="rId4" Type="http://schemas.openxmlformats.org/officeDocument/2006/relationships/styles" Target="styles.xml"/><Relationship Id="rId9" Type="http://schemas.openxmlformats.org/officeDocument/2006/relationships/hyperlink" Target="mailto:peter.turenic@mfsr.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Doložka_vybraných_vplyvov"/>
    <f:field ref="objsubject" par="" edit="true" text=""/>
    <f:field ref="objcreatedby" par="" text="Turenič, Peter, JUDr."/>
    <f:field ref="objcreatedat" par="" text="26.4.2021 15:17:59"/>
    <f:field ref="objchangedby" par="" text="Administrator, System"/>
    <f:field ref="objmodifiedat" par="" text="26.4.2021 15:17: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A06137-E084-4210-8B38-A5E6B014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3092</Words>
  <Characters>19301</Characters>
  <Application>Microsoft Office Word</Application>
  <DocSecurity>0</DocSecurity>
  <Lines>160</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Blazekova Lucia</cp:lastModifiedBy>
  <cp:revision>44</cp:revision>
  <cp:lastPrinted>2020-09-07T07:54:00Z</cp:lastPrinted>
  <dcterms:created xsi:type="dcterms:W3CDTF">2020-10-08T12:39:00Z</dcterms:created>
  <dcterms:modified xsi:type="dcterms:W3CDTF">2021-06-16T10:33:00Z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ktorým&amp;nbsp; sa mení a&amp;nbsp; dopĺňa zákon č. 563/2009 Z. z. o správe daní (daňový poriadok) a o zmene a doplnení niektorých zákonov v znení neskorších predpisov a ktorým sa menia a dopĺňajú niektoré zákony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Turenič</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563/2009 Z. z. o správe daní (daňový poriadok)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Z plánu legislatívnych úloh vlády 2020</vt:lpwstr>
  </property>
  <property fmtid="{D5CDD505-2E9C-101B-9397-08002B2CF9AE}" pid="23" name="FSC#SKEDITIONSLOVLEX@103.510:plnynazovpredpis">
    <vt:lpwstr> Zákon, ktorým sa mení a dopĺňa zákon č. 563/2009 Z. z. o správe daní (daňový poriadok)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MF/003453/2021-77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LP/2021/158</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110 až 113, 349 a 355 ods.1 Zmluvy o fungovaní Európskej únie (Ú. v. EÚ C 202, 7.6.2016) v platnom znení,_x000d_
čl. 52 Zmluvy o Európskej únii (Ú. v. EÚ C 202, 7.6. 2016) v platnom znení</vt:lpwstr>
  </property>
  <property fmtid="{D5CDD505-2E9C-101B-9397-08002B2CF9AE}" pid="47" name="FSC#SKEDITIONSLOVLEX@103.510:AttrStrListDocPropSekundarneLegPravoPO">
    <vt:lpwstr>-	smernica Rady 2006/112/ES z  28. novembra 2006 o spoločnom systéme dane z pridanej hodnoty (Ú. v. EÚ L 347, 11.12.2006) v platnom znení, gestor: MF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Rozsudok Súdneho dvora C 384/Rozsudok Súdneho dvora C 384/04 Commissioners of Customs &amp; Excise a Attorney General proti Federation of Technological Industries a i.</vt:lpwstr>
  </property>
  <property fmtid="{D5CDD505-2E9C-101B-9397-08002B2CF9AE}" pid="52" name="FSC#SKEDITIONSLOVLEX@103.510:AttrStrListDocPropLehotaPrebratieSmernice">
    <vt:lpwstr>Lehota na prebratie smernice 2006/112/ES bola stanovená do 1.1. 2008 a lehota na prebratie článku 2 smernice Rady (EÚ)  2017/2455 bola stanovená pôvodne do 31.12.2020 a rozhodnutím Rady (EÚ) 2020/1109 zmenená na 1.7.2021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 v rámci „EÚ Pilot“, ani nebol začatý postup EK ako aj nebolo začaté konanie Súdneho dvora EÚ proti SR podľa čl. 258 až 260 Zmluvy o fungovaní Európskej únie</vt:lpwstr>
  </property>
  <property fmtid="{D5CDD505-2E9C-101B-9397-08002B2CF9AE}" pid="55" name="FSC#SKEDITIONSLOVLEX@103.510:AttrStrListDocPropInfoUzPreberanePP">
    <vt:lpwstr>Smernica Rady 2006/112/ES a smernica Rady (EÚ) 2017/2455 sú prebraté do zákona č. 222/2004 Z. z. o dani z pridanej hodnoty v znení neskorších predpisov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referent</vt:lpwstr>
  </property>
  <property fmtid="{D5CDD505-2E9C-101B-9397-08002B2CF9AE}" pid="140" name="FSC#SKEDITIONSLOVLEX@103.510:funkciaPredDativ">
    <vt:lpwstr>referentovi</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financií Slovenskej republiky predkladá návrh zákona, ktorým sa mení&lt;br /&gt;a dopĺňa zákon č. 563/2009 Z. z. o správe daní (daňový poriadok) a o zmene a doplnení niektorých zákonov v znení neskorších predpisov a ktorým sa menia a dopĺňajú ni</vt:lpwstr>
  </property>
  <property fmtid="{D5CDD505-2E9C-101B-9397-08002B2CF9AE}" pid="150" name="FSC#SKEDITIONSLOVLEX@103.510:vytvorenedna">
    <vt:lpwstr>26. 4. 2021</vt:lpwstr>
  </property>
  <property fmtid="{D5CDD505-2E9C-101B-9397-08002B2CF9AE}" pid="151" name="FSC#COOSYSTEM@1.1:Container">
    <vt:lpwstr>COO.2145.1000.3.4336756</vt:lpwstr>
  </property>
  <property fmtid="{D5CDD505-2E9C-101B-9397-08002B2CF9AE}" pid="152" name="FSC#FSCFOLIO@1.1001:docpropproject">
    <vt:lpwstr/>
  </property>
</Properties>
</file>