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567"/>
        <w:gridCol w:w="934"/>
        <w:gridCol w:w="851"/>
        <w:gridCol w:w="5303"/>
        <w:gridCol w:w="509"/>
        <w:gridCol w:w="550"/>
      </w:tblGrid>
      <w:tr w:rsidR="008C54C3" w:rsidRPr="000D7A9F">
        <w:tc>
          <w:tcPr>
            <w:tcW w:w="162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0D7A9F" w:rsidRDefault="008C54C3" w:rsidP="00DD7F71">
            <w:pPr>
              <w:pStyle w:val="Nadpis1"/>
            </w:pPr>
            <w:r w:rsidRPr="000D7A9F">
              <w:t>TABUĽKA  ZHODY</w:t>
            </w:r>
          </w:p>
          <w:p w:rsidR="008C54C3" w:rsidRDefault="0062250D" w:rsidP="0062250D">
            <w:pPr>
              <w:ind w:left="357"/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  <w:r w:rsidRPr="002C00E4">
              <w:rPr>
                <w:b/>
                <w:bCs/>
              </w:rPr>
              <w:t>n</w:t>
            </w:r>
            <w:r w:rsidRPr="002C00E4">
              <w:rPr>
                <w:b/>
              </w:rPr>
              <w:t>ávrhu zákona</w:t>
            </w:r>
            <w:r w:rsidR="002634B5" w:rsidRPr="002C00E4">
              <w:rPr>
                <w:b/>
              </w:rPr>
              <w:t xml:space="preserve"> s právom </w:t>
            </w:r>
            <w:r w:rsidR="00C75A27" w:rsidRPr="002C00E4">
              <w:rPr>
                <w:b/>
              </w:rPr>
              <w:t>Európskej únie</w:t>
            </w:r>
            <w:r w:rsidR="00C75A27">
              <w:rPr>
                <w:b/>
              </w:rPr>
              <w:t xml:space="preserve"> </w:t>
            </w:r>
          </w:p>
          <w:p w:rsidR="0062250D" w:rsidRPr="009842F4" w:rsidRDefault="0062250D" w:rsidP="0062250D">
            <w:pPr>
              <w:ind w:left="357"/>
              <w:jc w:val="center"/>
              <w:rPr>
                <w:b/>
              </w:rPr>
            </w:pPr>
          </w:p>
        </w:tc>
      </w:tr>
      <w:tr w:rsidR="008C54C3" w:rsidRPr="000D7A9F" w:rsidTr="00C21CEF"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0D7A9F" w:rsidRDefault="00DE0F8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Smernica EÚ</w:t>
            </w:r>
          </w:p>
          <w:p w:rsidR="00834B3E" w:rsidRPr="000D7A9F" w:rsidRDefault="00AA1F7B" w:rsidP="008C60F5">
            <w:pPr>
              <w:jc w:val="both"/>
            </w:pPr>
            <w:r>
              <w:rPr>
                <w:b/>
                <w:bCs/>
              </w:rPr>
              <w:t>Smernica Rady</w:t>
            </w:r>
            <w:r w:rsidRPr="000D7A9F">
              <w:rPr>
                <w:b/>
                <w:bCs/>
              </w:rPr>
              <w:t xml:space="preserve"> </w:t>
            </w:r>
            <w:r w:rsidRPr="0098388D">
              <w:rPr>
                <w:b/>
                <w:bCs/>
                <w:u w:val="single"/>
              </w:rPr>
              <w:t>200</w:t>
            </w:r>
            <w:r w:rsidR="008C60F5">
              <w:rPr>
                <w:b/>
                <w:bCs/>
                <w:u w:val="single"/>
              </w:rPr>
              <w:t>9</w:t>
            </w:r>
            <w:r w:rsidRPr="0098388D">
              <w:rPr>
                <w:b/>
                <w:bCs/>
                <w:u w:val="single"/>
              </w:rPr>
              <w:t>/</w:t>
            </w:r>
            <w:r w:rsidR="008C60F5">
              <w:rPr>
                <w:b/>
                <w:bCs/>
                <w:u w:val="single"/>
              </w:rPr>
              <w:t>69</w:t>
            </w:r>
            <w:r w:rsidRPr="0098388D">
              <w:rPr>
                <w:b/>
                <w:bCs/>
                <w:u w:val="single"/>
              </w:rPr>
              <w:t>/ES</w:t>
            </w:r>
            <w:r w:rsidR="008C60F5">
              <w:rPr>
                <w:b/>
                <w:bCs/>
              </w:rPr>
              <w:t xml:space="preserve"> z 25</w:t>
            </w:r>
            <w:r w:rsidRPr="0098388D">
              <w:rPr>
                <w:b/>
                <w:bCs/>
              </w:rPr>
              <w:t xml:space="preserve">. </w:t>
            </w:r>
            <w:r w:rsidR="008C60F5">
              <w:rPr>
                <w:b/>
                <w:bCs/>
              </w:rPr>
              <w:t>júna</w:t>
            </w:r>
            <w:r w:rsidRPr="0098388D">
              <w:rPr>
                <w:b/>
                <w:bCs/>
              </w:rPr>
              <w:t xml:space="preserve"> 200</w:t>
            </w:r>
            <w:r w:rsidR="008C60F5">
              <w:rPr>
                <w:b/>
                <w:bCs/>
              </w:rPr>
              <w:t xml:space="preserve">9, ktorou sa mení a dopĺňa smernica 2006/112/ES </w:t>
            </w:r>
            <w:r w:rsidRPr="0098388D">
              <w:rPr>
                <w:b/>
                <w:bCs/>
              </w:rPr>
              <w:t>o spoločnom systéme dane z pridanej hodnoty</w:t>
            </w:r>
            <w:r w:rsidR="008C60F5">
              <w:rPr>
                <w:b/>
                <w:bCs/>
              </w:rPr>
              <w:t>, pokiaľ ide o daňové úniky súvisiace s dovozom</w:t>
            </w:r>
            <w:r w:rsidR="0098388D" w:rsidRPr="0098388D">
              <w:rPr>
                <w:b/>
                <w:bCs/>
              </w:rPr>
              <w:t xml:space="preserve"> </w:t>
            </w:r>
            <w:r w:rsidR="0098388D" w:rsidRPr="00A731FB">
              <w:rPr>
                <w:b/>
                <w:bCs/>
              </w:rPr>
              <w:t>(</w:t>
            </w:r>
            <w:r w:rsidR="0098388D" w:rsidRPr="00A731FB">
              <w:rPr>
                <w:b/>
                <w:iCs/>
                <w:color w:val="444444"/>
                <w:shd w:val="clear" w:color="auto" w:fill="FFFFFF"/>
              </w:rPr>
              <w:t xml:space="preserve">Ú. v. EÚ L </w:t>
            </w:r>
            <w:r w:rsidR="008C60F5">
              <w:rPr>
                <w:b/>
                <w:iCs/>
                <w:color w:val="444444"/>
                <w:shd w:val="clear" w:color="auto" w:fill="FFFFFF"/>
              </w:rPr>
              <w:t>175</w:t>
            </w:r>
            <w:r w:rsidR="0098388D" w:rsidRPr="00A731FB">
              <w:rPr>
                <w:b/>
                <w:iCs/>
                <w:color w:val="444444"/>
                <w:shd w:val="clear" w:color="auto" w:fill="FFFFFF"/>
              </w:rPr>
              <w:t xml:space="preserve">, </w:t>
            </w:r>
            <w:r w:rsidR="008C60F5">
              <w:rPr>
                <w:b/>
                <w:iCs/>
                <w:color w:val="444444"/>
                <w:shd w:val="clear" w:color="auto" w:fill="FFFFFF"/>
              </w:rPr>
              <w:t>4</w:t>
            </w:r>
            <w:r w:rsidR="0098388D" w:rsidRPr="00A731FB">
              <w:rPr>
                <w:b/>
                <w:iCs/>
                <w:color w:val="444444"/>
                <w:shd w:val="clear" w:color="auto" w:fill="FFFFFF"/>
              </w:rPr>
              <w:t>.</w:t>
            </w:r>
            <w:r w:rsidR="008C60F5">
              <w:rPr>
                <w:b/>
                <w:iCs/>
                <w:color w:val="444444"/>
                <w:shd w:val="clear" w:color="auto" w:fill="FFFFFF"/>
              </w:rPr>
              <w:t>7.2009</w:t>
            </w:r>
            <w:r w:rsidR="0098388D" w:rsidRPr="00A731FB">
              <w:rPr>
                <w:b/>
                <w:iCs/>
                <w:color w:val="444444"/>
                <w:shd w:val="clear" w:color="auto" w:fill="FFFFFF"/>
              </w:rPr>
              <w:t>)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0D7A9F" w:rsidRDefault="002634B5" w:rsidP="00834B3E">
            <w:pPr>
              <w:pStyle w:val="Nadpis4"/>
              <w:spacing w:before="120"/>
              <w:jc w:val="both"/>
              <w:rPr>
                <w:sz w:val="24"/>
                <w:szCs w:val="24"/>
              </w:rPr>
            </w:pPr>
            <w:r w:rsidRPr="002C00E4">
              <w:rPr>
                <w:sz w:val="24"/>
                <w:szCs w:val="24"/>
              </w:rPr>
              <w:t>P</w:t>
            </w:r>
            <w:r w:rsidR="008C54C3" w:rsidRPr="002C00E4">
              <w:rPr>
                <w:sz w:val="24"/>
                <w:szCs w:val="24"/>
              </w:rPr>
              <w:t>rávne predpisy Slovenskej republiky</w:t>
            </w:r>
          </w:p>
          <w:p w:rsidR="00834B3E" w:rsidRPr="000D7A9F" w:rsidRDefault="0062250D" w:rsidP="0062250D">
            <w:pPr>
              <w:ind w:left="41"/>
              <w:jc w:val="both"/>
              <w:rPr>
                <w:b/>
              </w:rPr>
            </w:pPr>
            <w:r>
              <w:rPr>
                <w:b/>
              </w:rPr>
              <w:t xml:space="preserve">Návrh zákona, </w:t>
            </w:r>
            <w:r w:rsidRPr="00881709">
              <w:rPr>
                <w:b/>
              </w:rPr>
              <w:t xml:space="preserve"> </w:t>
            </w:r>
            <w:r w:rsidRPr="00E72025">
              <w:rPr>
                <w:b/>
              </w:rPr>
              <w:t>ktorým  sa mení a  dopĺňa zákon č. 563/2009 Z. z. o správe daní (daňový poriadok) a o zmene a doplnení niektorých zákonov v znení neskorších predpisov a ktorým sa menia a dopĺňajú niektoré zákony</w:t>
            </w:r>
            <w:r w:rsidRPr="002103E9">
              <w:rPr>
                <w:b/>
              </w:rPr>
              <w:t xml:space="preserve"> </w:t>
            </w:r>
            <w:r w:rsidR="00DD7F71" w:rsidRPr="000D7A9F">
              <w:rPr>
                <w:b/>
              </w:rPr>
              <w:t>(ďalej „návrh zákona“)</w:t>
            </w:r>
          </w:p>
          <w:p w:rsidR="00DD7F71" w:rsidRPr="000D7A9F" w:rsidRDefault="00DD7F71" w:rsidP="00834B3E">
            <w:pPr>
              <w:pStyle w:val="Zkladntext"/>
              <w:jc w:val="both"/>
              <w:rPr>
                <w:b/>
              </w:rPr>
            </w:pPr>
          </w:p>
          <w:p w:rsidR="00DD7F71" w:rsidRDefault="00DD7F71" w:rsidP="00834B3E">
            <w:pPr>
              <w:pStyle w:val="Zkladntext"/>
              <w:jc w:val="both"/>
            </w:pPr>
            <w:r w:rsidRPr="000D7A9F">
              <w:t>Zákon č. 222/2004 Z.</w:t>
            </w:r>
            <w:r w:rsidR="00A1775E">
              <w:t xml:space="preserve"> </w:t>
            </w:r>
            <w:r w:rsidRPr="000D7A9F">
              <w:t>z. o dani z pridanej hodnoty v znení neskorších predpisov (ďalej „222/2004“)</w:t>
            </w:r>
          </w:p>
          <w:p w:rsidR="002E1D16" w:rsidRPr="000D7A9F" w:rsidRDefault="002E1D16" w:rsidP="000A129A">
            <w:pPr>
              <w:pStyle w:val="Zkladntext"/>
              <w:jc w:val="both"/>
            </w:pPr>
          </w:p>
        </w:tc>
      </w:tr>
      <w:tr w:rsidR="00A9063F" w:rsidRPr="000D7A9F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Zkladntext2"/>
              <w:spacing w:line="240" w:lineRule="exact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jc w:val="both"/>
            </w:pPr>
            <w:r w:rsidRPr="000D7A9F"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5170A9" w:rsidP="00834B3E">
            <w:pPr>
              <w:jc w:val="both"/>
            </w:pPr>
            <w:r w:rsidRPr="000D7A9F">
              <w:t>8</w:t>
            </w:r>
          </w:p>
        </w:tc>
      </w:tr>
      <w:tr w:rsidR="00A9063F" w:rsidRPr="000D7A9F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(Č, O,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Spôsob transp.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(N, O, D, n.a.)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Číslo</w:t>
            </w:r>
          </w:p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Zhoda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0D7A9F" w:rsidRDefault="00A9063F" w:rsidP="00834B3E">
            <w:pPr>
              <w:pStyle w:val="Normlny0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Poznámky</w:t>
            </w:r>
          </w:p>
        </w:tc>
      </w:tr>
      <w:tr w:rsidR="003F33FD" w:rsidRPr="000D7A9F" w:rsidTr="000F6696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33FD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Čl.</w:t>
            </w:r>
            <w:r w:rsidR="008C60F5">
              <w:rPr>
                <w:sz w:val="24"/>
                <w:szCs w:val="24"/>
              </w:rPr>
              <w:t xml:space="preserve"> 1</w:t>
            </w:r>
          </w:p>
          <w:p w:rsidR="008C60F5" w:rsidRDefault="008C60F5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 2</w:t>
            </w:r>
          </w:p>
          <w:p w:rsidR="003F33FD" w:rsidRPr="000D7A9F" w:rsidRDefault="003F33FD" w:rsidP="008C60F5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FF" w:rsidRPr="00390BBD" w:rsidRDefault="005170FF" w:rsidP="005170FF">
            <w:pPr>
              <w:shd w:val="clear" w:color="auto" w:fill="FFFFFF"/>
              <w:autoSpaceDE/>
              <w:autoSpaceDN/>
              <w:spacing w:before="360" w:after="120" w:line="312" w:lineRule="atLeast"/>
              <w:jc w:val="center"/>
              <w:rPr>
                <w:iCs/>
              </w:rPr>
            </w:pPr>
            <w:r w:rsidRPr="00390BBD">
              <w:rPr>
                <w:iCs/>
              </w:rPr>
              <w:t>Článok 1</w:t>
            </w:r>
          </w:p>
          <w:p w:rsidR="005170FF" w:rsidRPr="00390BBD" w:rsidRDefault="005170FF" w:rsidP="005170FF">
            <w:pPr>
              <w:shd w:val="clear" w:color="auto" w:fill="FFFFFF"/>
              <w:autoSpaceDE/>
              <w:autoSpaceDN/>
              <w:spacing w:before="120" w:line="312" w:lineRule="atLeast"/>
              <w:jc w:val="both"/>
            </w:pPr>
            <w:r w:rsidRPr="00390BBD">
              <w:t>Smernica 2006/112/ES sa mení a dopĺňa takto: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6574"/>
            </w:tblGrid>
            <w:tr w:rsidR="005170FF" w:rsidRPr="005170FF" w:rsidTr="005170FF">
              <w:tc>
                <w:tcPr>
                  <w:tcW w:w="372" w:type="dxa"/>
                  <w:shd w:val="clear" w:color="auto" w:fill="FFFFFF"/>
                  <w:hideMark/>
                </w:tcPr>
                <w:p w:rsidR="005170FF" w:rsidRPr="00390BBD" w:rsidRDefault="005170FF" w:rsidP="005170FF">
                  <w:pPr>
                    <w:autoSpaceDE/>
                    <w:autoSpaceDN/>
                    <w:spacing w:before="120" w:line="312" w:lineRule="atLeast"/>
                    <w:jc w:val="both"/>
                  </w:pPr>
                  <w:r w:rsidRPr="00390BBD">
                    <w:t>2.</w:t>
                  </w:r>
                </w:p>
              </w:tc>
              <w:tc>
                <w:tcPr>
                  <w:tcW w:w="8700" w:type="dxa"/>
                  <w:shd w:val="clear" w:color="auto" w:fill="FFFFFF"/>
                  <w:hideMark/>
                </w:tcPr>
                <w:p w:rsidR="005170FF" w:rsidRPr="005170FF" w:rsidRDefault="005170FF" w:rsidP="005170FF">
                  <w:pPr>
                    <w:autoSpaceDE/>
                    <w:autoSpaceDN/>
                    <w:spacing w:before="120" w:line="312" w:lineRule="atLeast"/>
                    <w:jc w:val="both"/>
                  </w:pPr>
                  <w:r w:rsidRPr="00390BBD">
                    <w:t>V článku 140 sa písmeno b) nahrádza takto:</w:t>
                  </w:r>
                </w:p>
              </w:tc>
            </w:tr>
          </w:tbl>
          <w:p w:rsidR="004031FC" w:rsidRDefault="004031FC" w:rsidP="003F33FD">
            <w:pPr>
              <w:adjustRightInd w:val="0"/>
              <w:spacing w:before="60" w:after="60"/>
              <w:jc w:val="center"/>
              <w:rPr>
                <w:color w:val="000000"/>
              </w:rPr>
            </w:pPr>
          </w:p>
          <w:p w:rsidR="003F33FD" w:rsidRDefault="003F33FD" w:rsidP="003F33FD">
            <w:pPr>
              <w:pStyle w:val="Normlny0"/>
              <w:jc w:val="both"/>
              <w:rPr>
                <w:color w:val="000000"/>
                <w:sz w:val="24"/>
                <w:szCs w:val="24"/>
                <w:lang w:eastAsia="sk-SK"/>
              </w:rPr>
            </w:pPr>
            <w:r>
              <w:rPr>
                <w:color w:val="000000"/>
                <w:sz w:val="24"/>
                <w:szCs w:val="24"/>
                <w:lang w:eastAsia="sk-SK"/>
              </w:rPr>
              <w:t>b) nadobudnutie tovaru v rámci Spoločenstva, ktorého dovoz by bol v každom prípade oslobodený od dane podľa čl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eastAsia="sk-SK"/>
              </w:rPr>
              <w:t>ánku 143 ods. 1 písm. a), b) a c) a e) až l);</w:t>
            </w:r>
          </w:p>
          <w:p w:rsidR="003F33FD" w:rsidRPr="000D7A9F" w:rsidRDefault="003F33FD" w:rsidP="003F33FD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3FD" w:rsidRPr="000D7A9F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3FD" w:rsidRDefault="003F33FD" w:rsidP="003F33FD">
            <w:pPr>
              <w:jc w:val="center"/>
            </w:pPr>
            <w:r w:rsidRPr="000D7A9F">
              <w:t>222/</w:t>
            </w:r>
          </w:p>
          <w:p w:rsidR="003F33FD" w:rsidRDefault="003F33FD" w:rsidP="003F33FD">
            <w:pPr>
              <w:jc w:val="center"/>
              <w:rPr>
                <w:b/>
              </w:rPr>
            </w:pPr>
            <w:r w:rsidRPr="000D7A9F">
              <w:t>2004</w:t>
            </w:r>
            <w:r>
              <w:t xml:space="preserve"> a</w:t>
            </w:r>
          </w:p>
          <w:p w:rsidR="003F33FD" w:rsidRDefault="003F33FD" w:rsidP="003F33F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0D7A9F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0D7A9F">
              <w:rPr>
                <w:b/>
              </w:rPr>
              <w:t>I</w:t>
            </w:r>
            <w:r>
              <w:rPr>
                <w:b/>
              </w:rPr>
              <w:t>II</w:t>
            </w:r>
          </w:p>
          <w:p w:rsidR="003F33FD" w:rsidRPr="000D7A9F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44</w:t>
            </w:r>
          </w:p>
          <w:p w:rsidR="003F33FD" w:rsidRPr="000D7A9F" w:rsidRDefault="003F33FD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písm.b)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44</w:t>
            </w:r>
          </w:p>
          <w:p w:rsidR="005050F4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Oslobodenie od dane pri nadobudnutí tovaru v tuzemsku z iného členského štátu</w:t>
            </w:r>
          </w:p>
          <w:p w:rsidR="005050F4" w:rsidRDefault="005050F4" w:rsidP="005050F4">
            <w:pPr>
              <w:pStyle w:val="Normlny0"/>
              <w:jc w:val="center"/>
              <w:rPr>
                <w:sz w:val="24"/>
                <w:szCs w:val="24"/>
              </w:rPr>
            </w:pPr>
          </w:p>
          <w:p w:rsidR="005050F4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Oslobodené od dane je nadobudnutie tovaru v tuzemsku z iného členského štátu, ak</w:t>
            </w:r>
          </w:p>
          <w:p w:rsidR="005050F4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by dovoz takého tovaru bol oslobodený od dane podľa § 48 ods. 1 a 2 a ods. 4 až 9</w:t>
            </w:r>
            <w:r w:rsidR="00DD24FF">
              <w:rPr>
                <w:sz w:val="24"/>
                <w:szCs w:val="24"/>
              </w:rPr>
              <w:t xml:space="preserve"> </w:t>
            </w:r>
            <w:r w:rsidR="00DD24FF" w:rsidRPr="00DD24FF">
              <w:rPr>
                <w:b/>
                <w:sz w:val="24"/>
                <w:szCs w:val="24"/>
              </w:rPr>
              <w:t>a 11</w:t>
            </w:r>
            <w:r>
              <w:rPr>
                <w:sz w:val="24"/>
                <w:szCs w:val="24"/>
              </w:rPr>
              <w:t xml:space="preserve"> alebo</w:t>
            </w:r>
          </w:p>
          <w:p w:rsidR="005050F4" w:rsidRPr="000D7A9F" w:rsidRDefault="005050F4" w:rsidP="005050F4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FD" w:rsidRPr="000D7A9F" w:rsidRDefault="00DD24FF" w:rsidP="00834B3E">
            <w:pPr>
              <w:pStyle w:val="Normlny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33FD" w:rsidRDefault="00DD24FF" w:rsidP="00DD24FF">
            <w:pPr>
              <w:pStyle w:val="Normlny0"/>
              <w:jc w:val="both"/>
            </w:pPr>
            <w:r w:rsidRPr="00DD24FF">
              <w:t xml:space="preserve">Súvis </w:t>
            </w:r>
            <w:r>
              <w:t>s transponovaním</w:t>
            </w:r>
            <w:r w:rsidRPr="00DD24FF">
              <w:t xml:space="preserve"> smer.</w:t>
            </w:r>
            <w:r>
              <w:t xml:space="preserve"> Rady (EÚ)</w:t>
            </w:r>
            <w:r w:rsidRPr="00DD24FF">
              <w:t xml:space="preserve"> 2019/2235</w:t>
            </w:r>
            <w:r>
              <w:t xml:space="preserve"> (čl. 1 bod 2. - ktorým sa v čl. </w:t>
            </w:r>
            <w:r>
              <w:lastRenderedPageBreak/>
              <w:t>143 ods. 1 sa vkladá písm. ga)</w:t>
            </w:r>
          </w:p>
          <w:p w:rsidR="00DD24FF" w:rsidRPr="00DD24FF" w:rsidRDefault="00DD24FF" w:rsidP="00DD24FF">
            <w:pPr>
              <w:pStyle w:val="Normlny0"/>
              <w:jc w:val="both"/>
            </w:pPr>
          </w:p>
        </w:tc>
      </w:tr>
    </w:tbl>
    <w:p w:rsidR="00AE1172" w:rsidRDefault="00AE1172" w:rsidP="00834B3E">
      <w:pPr>
        <w:autoSpaceDE/>
        <w:autoSpaceDN/>
        <w:jc w:val="both"/>
      </w:pPr>
    </w:p>
    <w:p w:rsidR="00162F39" w:rsidRPr="000D7A9F" w:rsidRDefault="00162F39" w:rsidP="00834B3E">
      <w:pPr>
        <w:autoSpaceDE/>
        <w:autoSpaceDN/>
        <w:jc w:val="both"/>
      </w:pPr>
      <w:r w:rsidRPr="000D7A9F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0D7A9F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číslo (písmeno)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 – bežná transpozícia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transpozícia s možnosťou voľby</w:t>
            </w:r>
          </w:p>
          <w:p w:rsidR="00162F39" w:rsidRPr="000D7A9F" w:rsidRDefault="00162F39" w:rsidP="004C29D1">
            <w:pPr>
              <w:autoSpaceDE/>
              <w:autoSpaceDN/>
            </w:pPr>
            <w:r w:rsidRPr="000D7A9F">
              <w:t>D – transpozícia podľa úvahy (dobrovoľná)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Č – článok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§ – paragraf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O – odsek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V – veta</w:t>
            </w:r>
          </w:p>
          <w:p w:rsidR="00162F39" w:rsidRPr="000D7A9F" w:rsidRDefault="00162F39" w:rsidP="00834B3E">
            <w:pPr>
              <w:autoSpaceDE/>
              <w:autoSpaceDN/>
              <w:jc w:val="both"/>
            </w:pPr>
            <w:r w:rsidRPr="000D7A9F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0D7A9F" w:rsidRDefault="00162F39" w:rsidP="00834B3E">
            <w:pPr>
              <w:pStyle w:val="Normlny0"/>
              <w:autoSpaceDE/>
              <w:autoSpaceDN/>
              <w:spacing w:after="60"/>
              <w:jc w:val="both"/>
              <w:rPr>
                <w:sz w:val="24"/>
                <w:szCs w:val="24"/>
                <w:lang w:eastAsia="sk-SK"/>
              </w:rPr>
            </w:pPr>
            <w:r w:rsidRPr="000D7A9F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0D7A9F" w:rsidRDefault="00162F39" w:rsidP="004C29D1">
            <w:pPr>
              <w:autoSpaceDE/>
              <w:autoSpaceDN/>
              <w:ind w:left="331" w:hanging="284"/>
              <w:jc w:val="both"/>
            </w:pPr>
            <w:r w:rsidRPr="000D7A9F">
              <w:t>Č – čiastočná zhoda (ak minimálne jedna z podmienok úplnej zhody nie je splnená)</w:t>
            </w:r>
          </w:p>
          <w:p w:rsidR="00162F39" w:rsidRPr="000D7A9F" w:rsidRDefault="00162F39" w:rsidP="00834B3E">
            <w:pPr>
              <w:pStyle w:val="Zarkazkladnhotextu2"/>
              <w:jc w:val="both"/>
              <w:rPr>
                <w:sz w:val="24"/>
                <w:szCs w:val="24"/>
              </w:rPr>
            </w:pPr>
            <w:r w:rsidRPr="000D7A9F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0D7A9F" w:rsidRDefault="00162F39" w:rsidP="00834B3E">
            <w:pPr>
              <w:autoSpaceDE/>
              <w:autoSpaceDN/>
              <w:ind w:left="290" w:hanging="290"/>
              <w:jc w:val="both"/>
            </w:pPr>
            <w:r w:rsidRPr="000D7A9F">
              <w:t>n.a. – neaplikovateľnosť (ak sa ustanovenie smernice netýka SR alebo nie je potrebné ho prebrať)</w:t>
            </w:r>
          </w:p>
        </w:tc>
      </w:tr>
    </w:tbl>
    <w:p w:rsidR="00162F39" w:rsidRPr="000D7A9F" w:rsidRDefault="00162F39" w:rsidP="00E42B4E">
      <w:pPr>
        <w:pStyle w:val="Hlavika"/>
        <w:tabs>
          <w:tab w:val="clear" w:pos="4536"/>
          <w:tab w:val="clear" w:pos="9072"/>
        </w:tabs>
        <w:autoSpaceDE/>
        <w:autoSpaceDN/>
        <w:jc w:val="both"/>
      </w:pPr>
    </w:p>
    <w:sectPr w:rsidR="00162F39" w:rsidRPr="000D7A9F" w:rsidSect="0003306A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60" w:rsidRDefault="005F5660">
      <w:r>
        <w:separator/>
      </w:r>
    </w:p>
  </w:endnote>
  <w:endnote w:type="continuationSeparator" w:id="0">
    <w:p w:rsidR="005F5660" w:rsidRDefault="005F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BB" w:rsidRDefault="00BC65AB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10BBB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0BBD">
      <w:rPr>
        <w:rStyle w:val="slostrany"/>
        <w:noProof/>
      </w:rPr>
      <w:t>1</w:t>
    </w:r>
    <w:r>
      <w:rPr>
        <w:rStyle w:val="slostrany"/>
      </w:rPr>
      <w:fldChar w:fldCharType="end"/>
    </w:r>
  </w:p>
  <w:p w:rsidR="00110BBB" w:rsidRDefault="00110BB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60" w:rsidRDefault="005F5660">
      <w:r>
        <w:separator/>
      </w:r>
    </w:p>
  </w:footnote>
  <w:footnote w:type="continuationSeparator" w:id="0">
    <w:p w:rsidR="005F5660" w:rsidRDefault="005F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601E05"/>
    <w:multiLevelType w:val="hybridMultilevel"/>
    <w:tmpl w:val="966EA270"/>
    <w:lvl w:ilvl="0" w:tplc="89923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0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437F2"/>
    <w:multiLevelType w:val="hybridMultilevel"/>
    <w:tmpl w:val="F3E66900"/>
    <w:lvl w:ilvl="0" w:tplc="89923EFE">
      <w:start w:val="1"/>
      <w:numFmt w:val="decimal"/>
      <w:lvlText w:val="(%1)"/>
      <w:lvlJc w:val="left"/>
      <w:pPr>
        <w:ind w:left="7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6" w:hanging="360"/>
      </w:pPr>
    </w:lvl>
    <w:lvl w:ilvl="2" w:tplc="041B001B" w:tentative="1">
      <w:start w:val="1"/>
      <w:numFmt w:val="lowerRoman"/>
      <w:lvlText w:val="%3."/>
      <w:lvlJc w:val="right"/>
      <w:pPr>
        <w:ind w:left="2186" w:hanging="180"/>
      </w:pPr>
    </w:lvl>
    <w:lvl w:ilvl="3" w:tplc="041B000F" w:tentative="1">
      <w:start w:val="1"/>
      <w:numFmt w:val="decimal"/>
      <w:lvlText w:val="%4."/>
      <w:lvlJc w:val="left"/>
      <w:pPr>
        <w:ind w:left="2906" w:hanging="360"/>
      </w:pPr>
    </w:lvl>
    <w:lvl w:ilvl="4" w:tplc="041B0019" w:tentative="1">
      <w:start w:val="1"/>
      <w:numFmt w:val="lowerLetter"/>
      <w:lvlText w:val="%5."/>
      <w:lvlJc w:val="left"/>
      <w:pPr>
        <w:ind w:left="3626" w:hanging="360"/>
      </w:pPr>
    </w:lvl>
    <w:lvl w:ilvl="5" w:tplc="041B001B" w:tentative="1">
      <w:start w:val="1"/>
      <w:numFmt w:val="lowerRoman"/>
      <w:lvlText w:val="%6."/>
      <w:lvlJc w:val="right"/>
      <w:pPr>
        <w:ind w:left="4346" w:hanging="180"/>
      </w:pPr>
    </w:lvl>
    <w:lvl w:ilvl="6" w:tplc="041B000F" w:tentative="1">
      <w:start w:val="1"/>
      <w:numFmt w:val="decimal"/>
      <w:lvlText w:val="%7."/>
      <w:lvlJc w:val="left"/>
      <w:pPr>
        <w:ind w:left="5066" w:hanging="360"/>
      </w:pPr>
    </w:lvl>
    <w:lvl w:ilvl="7" w:tplc="041B0019" w:tentative="1">
      <w:start w:val="1"/>
      <w:numFmt w:val="lowerLetter"/>
      <w:lvlText w:val="%8."/>
      <w:lvlJc w:val="left"/>
      <w:pPr>
        <w:ind w:left="5786" w:hanging="360"/>
      </w:pPr>
    </w:lvl>
    <w:lvl w:ilvl="8" w:tplc="041B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310"/>
    <w:rsid w:val="00015B48"/>
    <w:rsid w:val="000305EB"/>
    <w:rsid w:val="00031626"/>
    <w:rsid w:val="0003306A"/>
    <w:rsid w:val="00035BD4"/>
    <w:rsid w:val="00040F00"/>
    <w:rsid w:val="00042A4B"/>
    <w:rsid w:val="00045DBD"/>
    <w:rsid w:val="00046779"/>
    <w:rsid w:val="000468C3"/>
    <w:rsid w:val="0005322B"/>
    <w:rsid w:val="0005391C"/>
    <w:rsid w:val="00055374"/>
    <w:rsid w:val="000603D5"/>
    <w:rsid w:val="00064919"/>
    <w:rsid w:val="00067B83"/>
    <w:rsid w:val="0007376B"/>
    <w:rsid w:val="00086749"/>
    <w:rsid w:val="00093769"/>
    <w:rsid w:val="000A129A"/>
    <w:rsid w:val="000A26E5"/>
    <w:rsid w:val="000A474B"/>
    <w:rsid w:val="000A6783"/>
    <w:rsid w:val="000B1F10"/>
    <w:rsid w:val="000B461F"/>
    <w:rsid w:val="000B718D"/>
    <w:rsid w:val="000C2596"/>
    <w:rsid w:val="000C2E53"/>
    <w:rsid w:val="000D60A0"/>
    <w:rsid w:val="000D7A9F"/>
    <w:rsid w:val="000E0F93"/>
    <w:rsid w:val="000F6696"/>
    <w:rsid w:val="000F6AFA"/>
    <w:rsid w:val="000F6AFF"/>
    <w:rsid w:val="00110BBB"/>
    <w:rsid w:val="0011333A"/>
    <w:rsid w:val="00117FF9"/>
    <w:rsid w:val="00120F4C"/>
    <w:rsid w:val="001250B8"/>
    <w:rsid w:val="00127033"/>
    <w:rsid w:val="00131427"/>
    <w:rsid w:val="00140621"/>
    <w:rsid w:val="001461A5"/>
    <w:rsid w:val="00151BDA"/>
    <w:rsid w:val="00153B33"/>
    <w:rsid w:val="001545F2"/>
    <w:rsid w:val="00162F39"/>
    <w:rsid w:val="00176E33"/>
    <w:rsid w:val="0017797B"/>
    <w:rsid w:val="00187913"/>
    <w:rsid w:val="00196672"/>
    <w:rsid w:val="001A2534"/>
    <w:rsid w:val="001B72C8"/>
    <w:rsid w:val="001C6273"/>
    <w:rsid w:val="001C7211"/>
    <w:rsid w:val="001E068A"/>
    <w:rsid w:val="001F3E40"/>
    <w:rsid w:val="001F5EBE"/>
    <w:rsid w:val="002020EF"/>
    <w:rsid w:val="00202371"/>
    <w:rsid w:val="002153F7"/>
    <w:rsid w:val="00217BF4"/>
    <w:rsid w:val="0022141C"/>
    <w:rsid w:val="0023126B"/>
    <w:rsid w:val="002331EA"/>
    <w:rsid w:val="002374AA"/>
    <w:rsid w:val="00244C8E"/>
    <w:rsid w:val="00245346"/>
    <w:rsid w:val="0025049B"/>
    <w:rsid w:val="00256DAD"/>
    <w:rsid w:val="002634B5"/>
    <w:rsid w:val="00270E65"/>
    <w:rsid w:val="002715E2"/>
    <w:rsid w:val="002758B8"/>
    <w:rsid w:val="00292B9F"/>
    <w:rsid w:val="0029483D"/>
    <w:rsid w:val="002B7244"/>
    <w:rsid w:val="002B7F59"/>
    <w:rsid w:val="002C00E4"/>
    <w:rsid w:val="002D4038"/>
    <w:rsid w:val="002E1D16"/>
    <w:rsid w:val="002E2954"/>
    <w:rsid w:val="002E6F67"/>
    <w:rsid w:val="002F036F"/>
    <w:rsid w:val="002F6FA1"/>
    <w:rsid w:val="00301749"/>
    <w:rsid w:val="00311A45"/>
    <w:rsid w:val="00314325"/>
    <w:rsid w:val="003168BC"/>
    <w:rsid w:val="0031764B"/>
    <w:rsid w:val="003216E7"/>
    <w:rsid w:val="00321FAD"/>
    <w:rsid w:val="00323195"/>
    <w:rsid w:val="0032751F"/>
    <w:rsid w:val="00332D3B"/>
    <w:rsid w:val="00336706"/>
    <w:rsid w:val="0034256B"/>
    <w:rsid w:val="00344B44"/>
    <w:rsid w:val="00346101"/>
    <w:rsid w:val="00346AAD"/>
    <w:rsid w:val="00350606"/>
    <w:rsid w:val="003561FC"/>
    <w:rsid w:val="003646B3"/>
    <w:rsid w:val="00386A2F"/>
    <w:rsid w:val="00390BBD"/>
    <w:rsid w:val="00391DC5"/>
    <w:rsid w:val="00393D54"/>
    <w:rsid w:val="003A2BCA"/>
    <w:rsid w:val="003B5FBD"/>
    <w:rsid w:val="003C0A63"/>
    <w:rsid w:val="003D31D3"/>
    <w:rsid w:val="003E7B78"/>
    <w:rsid w:val="003F10DC"/>
    <w:rsid w:val="003F33FD"/>
    <w:rsid w:val="003F5EDF"/>
    <w:rsid w:val="004031FC"/>
    <w:rsid w:val="004045FB"/>
    <w:rsid w:val="00405C80"/>
    <w:rsid w:val="004061B0"/>
    <w:rsid w:val="004219E0"/>
    <w:rsid w:val="00424270"/>
    <w:rsid w:val="00440A2A"/>
    <w:rsid w:val="00441997"/>
    <w:rsid w:val="00443D31"/>
    <w:rsid w:val="00451B7A"/>
    <w:rsid w:val="0045320B"/>
    <w:rsid w:val="004577EC"/>
    <w:rsid w:val="004655BD"/>
    <w:rsid w:val="00466481"/>
    <w:rsid w:val="004707EA"/>
    <w:rsid w:val="00480B26"/>
    <w:rsid w:val="00481216"/>
    <w:rsid w:val="0048138A"/>
    <w:rsid w:val="004919F8"/>
    <w:rsid w:val="00494CFC"/>
    <w:rsid w:val="004B2580"/>
    <w:rsid w:val="004B71E8"/>
    <w:rsid w:val="004C29D1"/>
    <w:rsid w:val="004D3FAA"/>
    <w:rsid w:val="004D5B1A"/>
    <w:rsid w:val="004F599E"/>
    <w:rsid w:val="004F5A8A"/>
    <w:rsid w:val="005050F4"/>
    <w:rsid w:val="005106B0"/>
    <w:rsid w:val="00510804"/>
    <w:rsid w:val="00510EDC"/>
    <w:rsid w:val="005113AC"/>
    <w:rsid w:val="00513C48"/>
    <w:rsid w:val="005170A9"/>
    <w:rsid w:val="005170FF"/>
    <w:rsid w:val="00517FDC"/>
    <w:rsid w:val="0052262F"/>
    <w:rsid w:val="00524E73"/>
    <w:rsid w:val="00535ECC"/>
    <w:rsid w:val="005415F2"/>
    <w:rsid w:val="00542525"/>
    <w:rsid w:val="005611FC"/>
    <w:rsid w:val="00561CE6"/>
    <w:rsid w:val="00564C43"/>
    <w:rsid w:val="00564D44"/>
    <w:rsid w:val="005674BC"/>
    <w:rsid w:val="005727B7"/>
    <w:rsid w:val="00576A2A"/>
    <w:rsid w:val="005947B8"/>
    <w:rsid w:val="005A41C5"/>
    <w:rsid w:val="005D6472"/>
    <w:rsid w:val="005E0477"/>
    <w:rsid w:val="005E147F"/>
    <w:rsid w:val="005E3CAA"/>
    <w:rsid w:val="005F5660"/>
    <w:rsid w:val="00601F13"/>
    <w:rsid w:val="00603033"/>
    <w:rsid w:val="006036B4"/>
    <w:rsid w:val="00603C75"/>
    <w:rsid w:val="0062250D"/>
    <w:rsid w:val="006237B4"/>
    <w:rsid w:val="00623E72"/>
    <w:rsid w:val="006277A7"/>
    <w:rsid w:val="0064397E"/>
    <w:rsid w:val="00652BE3"/>
    <w:rsid w:val="00656B18"/>
    <w:rsid w:val="00667CAE"/>
    <w:rsid w:val="00681013"/>
    <w:rsid w:val="00681528"/>
    <w:rsid w:val="0068153F"/>
    <w:rsid w:val="00681623"/>
    <w:rsid w:val="0068396F"/>
    <w:rsid w:val="00683A6B"/>
    <w:rsid w:val="00692646"/>
    <w:rsid w:val="006926A7"/>
    <w:rsid w:val="00697A99"/>
    <w:rsid w:val="006A046B"/>
    <w:rsid w:val="006A1441"/>
    <w:rsid w:val="006B0958"/>
    <w:rsid w:val="006C0172"/>
    <w:rsid w:val="006D4011"/>
    <w:rsid w:val="006D4E6B"/>
    <w:rsid w:val="006D4F75"/>
    <w:rsid w:val="006E18F6"/>
    <w:rsid w:val="006E38D3"/>
    <w:rsid w:val="006E689D"/>
    <w:rsid w:val="006F0BB8"/>
    <w:rsid w:val="006F2453"/>
    <w:rsid w:val="006F394F"/>
    <w:rsid w:val="006F3F34"/>
    <w:rsid w:val="006F57D4"/>
    <w:rsid w:val="00735AB4"/>
    <w:rsid w:val="00741CAD"/>
    <w:rsid w:val="00746DA5"/>
    <w:rsid w:val="00753D61"/>
    <w:rsid w:val="00756390"/>
    <w:rsid w:val="00756C1B"/>
    <w:rsid w:val="00757FE5"/>
    <w:rsid w:val="0078287E"/>
    <w:rsid w:val="007A0A4E"/>
    <w:rsid w:val="007B28DF"/>
    <w:rsid w:val="007B51DE"/>
    <w:rsid w:val="007B7B23"/>
    <w:rsid w:val="007C1FBB"/>
    <w:rsid w:val="007C6E0F"/>
    <w:rsid w:val="007D31EC"/>
    <w:rsid w:val="007D7853"/>
    <w:rsid w:val="007E38A5"/>
    <w:rsid w:val="007E4B89"/>
    <w:rsid w:val="007F12EB"/>
    <w:rsid w:val="00802D23"/>
    <w:rsid w:val="008116D9"/>
    <w:rsid w:val="0082129B"/>
    <w:rsid w:val="00834B3E"/>
    <w:rsid w:val="00837388"/>
    <w:rsid w:val="00842BE3"/>
    <w:rsid w:val="00851837"/>
    <w:rsid w:val="00857AC6"/>
    <w:rsid w:val="00861E2E"/>
    <w:rsid w:val="00871EA3"/>
    <w:rsid w:val="00874585"/>
    <w:rsid w:val="008869F2"/>
    <w:rsid w:val="008A0B4B"/>
    <w:rsid w:val="008A28AE"/>
    <w:rsid w:val="008A399B"/>
    <w:rsid w:val="008A5161"/>
    <w:rsid w:val="008B502C"/>
    <w:rsid w:val="008B515C"/>
    <w:rsid w:val="008C54C3"/>
    <w:rsid w:val="008C60F5"/>
    <w:rsid w:val="008D4C03"/>
    <w:rsid w:val="008E1CD7"/>
    <w:rsid w:val="008E448D"/>
    <w:rsid w:val="008F21B1"/>
    <w:rsid w:val="008F3F33"/>
    <w:rsid w:val="00906CEA"/>
    <w:rsid w:val="009153EE"/>
    <w:rsid w:val="0091636B"/>
    <w:rsid w:val="00930F1F"/>
    <w:rsid w:val="009541C1"/>
    <w:rsid w:val="009612CE"/>
    <w:rsid w:val="00964191"/>
    <w:rsid w:val="00966DE7"/>
    <w:rsid w:val="009719C2"/>
    <w:rsid w:val="009818A5"/>
    <w:rsid w:val="009826E3"/>
    <w:rsid w:val="0098388D"/>
    <w:rsid w:val="009842F4"/>
    <w:rsid w:val="00991B76"/>
    <w:rsid w:val="009C115F"/>
    <w:rsid w:val="009C5B64"/>
    <w:rsid w:val="009C5E2D"/>
    <w:rsid w:val="009D1433"/>
    <w:rsid w:val="009E26B8"/>
    <w:rsid w:val="009F5542"/>
    <w:rsid w:val="009F55D8"/>
    <w:rsid w:val="009F5C22"/>
    <w:rsid w:val="00A02D80"/>
    <w:rsid w:val="00A02F9A"/>
    <w:rsid w:val="00A17534"/>
    <w:rsid w:val="00A1775E"/>
    <w:rsid w:val="00A333E1"/>
    <w:rsid w:val="00A46504"/>
    <w:rsid w:val="00A46622"/>
    <w:rsid w:val="00A47BED"/>
    <w:rsid w:val="00A5129F"/>
    <w:rsid w:val="00A63B8E"/>
    <w:rsid w:val="00A649F7"/>
    <w:rsid w:val="00A64B98"/>
    <w:rsid w:val="00A65F94"/>
    <w:rsid w:val="00A667A5"/>
    <w:rsid w:val="00A731FB"/>
    <w:rsid w:val="00A74B18"/>
    <w:rsid w:val="00A76D5E"/>
    <w:rsid w:val="00A9063F"/>
    <w:rsid w:val="00A91B17"/>
    <w:rsid w:val="00A95D9D"/>
    <w:rsid w:val="00AA1F7B"/>
    <w:rsid w:val="00AA55DA"/>
    <w:rsid w:val="00AA7AB8"/>
    <w:rsid w:val="00AB7D27"/>
    <w:rsid w:val="00AC1BE7"/>
    <w:rsid w:val="00AC3812"/>
    <w:rsid w:val="00AD1EEA"/>
    <w:rsid w:val="00AD3C5E"/>
    <w:rsid w:val="00AD3E56"/>
    <w:rsid w:val="00AD6AD2"/>
    <w:rsid w:val="00AE1172"/>
    <w:rsid w:val="00AF42D9"/>
    <w:rsid w:val="00AF5ACB"/>
    <w:rsid w:val="00AF762E"/>
    <w:rsid w:val="00B04DAB"/>
    <w:rsid w:val="00B0569D"/>
    <w:rsid w:val="00B1076F"/>
    <w:rsid w:val="00B128AA"/>
    <w:rsid w:val="00B27585"/>
    <w:rsid w:val="00B349CE"/>
    <w:rsid w:val="00B40092"/>
    <w:rsid w:val="00B42953"/>
    <w:rsid w:val="00B4369A"/>
    <w:rsid w:val="00B6279E"/>
    <w:rsid w:val="00B64B09"/>
    <w:rsid w:val="00B800E9"/>
    <w:rsid w:val="00B802A3"/>
    <w:rsid w:val="00B83855"/>
    <w:rsid w:val="00B929DC"/>
    <w:rsid w:val="00B93167"/>
    <w:rsid w:val="00B961D8"/>
    <w:rsid w:val="00BA1F0B"/>
    <w:rsid w:val="00BA2E47"/>
    <w:rsid w:val="00BB0E65"/>
    <w:rsid w:val="00BB0F54"/>
    <w:rsid w:val="00BC1BD0"/>
    <w:rsid w:val="00BC65AB"/>
    <w:rsid w:val="00BD1BA0"/>
    <w:rsid w:val="00BF2267"/>
    <w:rsid w:val="00BF2C5A"/>
    <w:rsid w:val="00BF49CD"/>
    <w:rsid w:val="00C015A5"/>
    <w:rsid w:val="00C06DA6"/>
    <w:rsid w:val="00C1013A"/>
    <w:rsid w:val="00C139A5"/>
    <w:rsid w:val="00C14C5D"/>
    <w:rsid w:val="00C21CEF"/>
    <w:rsid w:val="00C27E77"/>
    <w:rsid w:val="00C34EF5"/>
    <w:rsid w:val="00C46781"/>
    <w:rsid w:val="00C51FB3"/>
    <w:rsid w:val="00C566EA"/>
    <w:rsid w:val="00C75A27"/>
    <w:rsid w:val="00C765C3"/>
    <w:rsid w:val="00C766C5"/>
    <w:rsid w:val="00C8023F"/>
    <w:rsid w:val="00C85A4B"/>
    <w:rsid w:val="00C908F4"/>
    <w:rsid w:val="00C917F9"/>
    <w:rsid w:val="00C94292"/>
    <w:rsid w:val="00CA7121"/>
    <w:rsid w:val="00CB2E5D"/>
    <w:rsid w:val="00CC3DCD"/>
    <w:rsid w:val="00CE3B8A"/>
    <w:rsid w:val="00CF4E5B"/>
    <w:rsid w:val="00D11AC1"/>
    <w:rsid w:val="00D205AC"/>
    <w:rsid w:val="00D22A7B"/>
    <w:rsid w:val="00D26FC6"/>
    <w:rsid w:val="00D27C56"/>
    <w:rsid w:val="00D33B5F"/>
    <w:rsid w:val="00D3404B"/>
    <w:rsid w:val="00D36C77"/>
    <w:rsid w:val="00D43CC8"/>
    <w:rsid w:val="00D43E66"/>
    <w:rsid w:val="00D45013"/>
    <w:rsid w:val="00D63FC1"/>
    <w:rsid w:val="00D65DC0"/>
    <w:rsid w:val="00D725DF"/>
    <w:rsid w:val="00D75422"/>
    <w:rsid w:val="00D76068"/>
    <w:rsid w:val="00D83E5B"/>
    <w:rsid w:val="00D863DD"/>
    <w:rsid w:val="00D937B4"/>
    <w:rsid w:val="00D946B6"/>
    <w:rsid w:val="00DA0F6C"/>
    <w:rsid w:val="00DB3340"/>
    <w:rsid w:val="00DB537D"/>
    <w:rsid w:val="00DB56C6"/>
    <w:rsid w:val="00DC0F95"/>
    <w:rsid w:val="00DC628E"/>
    <w:rsid w:val="00DD2180"/>
    <w:rsid w:val="00DD24D4"/>
    <w:rsid w:val="00DD24FF"/>
    <w:rsid w:val="00DD7F71"/>
    <w:rsid w:val="00DE0F85"/>
    <w:rsid w:val="00DE22D8"/>
    <w:rsid w:val="00DE6D17"/>
    <w:rsid w:val="00DE7919"/>
    <w:rsid w:val="00DF5B23"/>
    <w:rsid w:val="00E022FB"/>
    <w:rsid w:val="00E030B3"/>
    <w:rsid w:val="00E0493C"/>
    <w:rsid w:val="00E07A5D"/>
    <w:rsid w:val="00E14FCE"/>
    <w:rsid w:val="00E24E4C"/>
    <w:rsid w:val="00E42B4E"/>
    <w:rsid w:val="00E44C4D"/>
    <w:rsid w:val="00E52D07"/>
    <w:rsid w:val="00E560D6"/>
    <w:rsid w:val="00E64693"/>
    <w:rsid w:val="00E701F1"/>
    <w:rsid w:val="00E70E91"/>
    <w:rsid w:val="00E76AA0"/>
    <w:rsid w:val="00E8306A"/>
    <w:rsid w:val="00E951C6"/>
    <w:rsid w:val="00EA15DC"/>
    <w:rsid w:val="00EA25A8"/>
    <w:rsid w:val="00EA2786"/>
    <w:rsid w:val="00EA3B53"/>
    <w:rsid w:val="00EB4E75"/>
    <w:rsid w:val="00EB6469"/>
    <w:rsid w:val="00EC32DB"/>
    <w:rsid w:val="00EC4AC4"/>
    <w:rsid w:val="00ED5087"/>
    <w:rsid w:val="00ED5FC2"/>
    <w:rsid w:val="00EE3D00"/>
    <w:rsid w:val="00EE7DD6"/>
    <w:rsid w:val="00EF00A3"/>
    <w:rsid w:val="00EF09EE"/>
    <w:rsid w:val="00EF16EF"/>
    <w:rsid w:val="00EF41F8"/>
    <w:rsid w:val="00F00844"/>
    <w:rsid w:val="00F02870"/>
    <w:rsid w:val="00F047A8"/>
    <w:rsid w:val="00F11585"/>
    <w:rsid w:val="00F205DB"/>
    <w:rsid w:val="00F2598C"/>
    <w:rsid w:val="00F36AA4"/>
    <w:rsid w:val="00F4080C"/>
    <w:rsid w:val="00F41A26"/>
    <w:rsid w:val="00F450EC"/>
    <w:rsid w:val="00F4514E"/>
    <w:rsid w:val="00F47D92"/>
    <w:rsid w:val="00F50F90"/>
    <w:rsid w:val="00F530E4"/>
    <w:rsid w:val="00F71AA4"/>
    <w:rsid w:val="00F9291C"/>
    <w:rsid w:val="00FA0278"/>
    <w:rsid w:val="00FB2E2E"/>
    <w:rsid w:val="00FB44A1"/>
    <w:rsid w:val="00FC5FC5"/>
    <w:rsid w:val="00FC6C11"/>
    <w:rsid w:val="00FD0ADF"/>
    <w:rsid w:val="00FD1AD5"/>
    <w:rsid w:val="00FE3FB2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89C71-32EF-4F77-BD40-08F4570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06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306A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306A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330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3306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3306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3306A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03306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03306A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330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3306A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03306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03306A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330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3306A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03306A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03306A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03306A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03306A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3306A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3306A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03306A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3306A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834B3E"/>
    <w:rPr>
      <w:rFonts w:cs="Times New Roman"/>
      <w:i/>
    </w:rPr>
  </w:style>
  <w:style w:type="paragraph" w:customStyle="1" w:styleId="Normlny1">
    <w:name w:val="Normálny1"/>
    <w:basedOn w:val="Normlny"/>
    <w:rsid w:val="00A1775E"/>
    <w:pPr>
      <w:autoSpaceDE/>
      <w:autoSpaceDN/>
      <w:spacing w:before="120"/>
      <w:jc w:val="both"/>
    </w:pPr>
  </w:style>
  <w:style w:type="paragraph" w:customStyle="1" w:styleId="ti-art">
    <w:name w:val="ti-art"/>
    <w:basedOn w:val="Normlny"/>
    <w:rsid w:val="00A1775E"/>
    <w:pPr>
      <w:autoSpaceDE/>
      <w:autoSpaceDN/>
      <w:spacing w:before="360" w:after="120"/>
      <w:jc w:val="center"/>
    </w:pPr>
    <w:rPr>
      <w:i/>
      <w:iCs/>
    </w:rPr>
  </w:style>
  <w:style w:type="character" w:customStyle="1" w:styleId="italic">
    <w:name w:val="italic"/>
    <w:basedOn w:val="Predvolenpsmoodseku"/>
    <w:rsid w:val="000A474B"/>
    <w:rPr>
      <w:i/>
      <w:iCs/>
    </w:rPr>
  </w:style>
  <w:style w:type="paragraph" w:customStyle="1" w:styleId="signatory">
    <w:name w:val="signatory"/>
    <w:basedOn w:val="Normlny"/>
    <w:rsid w:val="000A474B"/>
    <w:pPr>
      <w:autoSpaceDE/>
      <w:autoSpaceDN/>
      <w:spacing w:before="60" w:after="60"/>
      <w:jc w:val="center"/>
    </w:pPr>
  </w:style>
  <w:style w:type="paragraph" w:styleId="Textbubliny">
    <w:name w:val="Balloon Text"/>
    <w:basedOn w:val="Normlny"/>
    <w:link w:val="TextbublinyChar"/>
    <w:uiPriority w:val="99"/>
    <w:rsid w:val="00244C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244C8E"/>
    <w:rPr>
      <w:rFonts w:ascii="Segoe UI" w:hAnsi="Segoe UI" w:cs="Segoe UI"/>
      <w:sz w:val="18"/>
      <w:szCs w:val="18"/>
    </w:rPr>
  </w:style>
  <w:style w:type="paragraph" w:customStyle="1" w:styleId="Normlny2">
    <w:name w:val="Normálny2"/>
    <w:basedOn w:val="Normlny"/>
    <w:rsid w:val="00AA1F7B"/>
    <w:pPr>
      <w:autoSpaceDE/>
      <w:autoSpaceDN/>
      <w:spacing w:before="120"/>
      <w:jc w:val="both"/>
    </w:pPr>
  </w:style>
  <w:style w:type="character" w:styleId="Hypertextovprepojenie">
    <w:name w:val="Hyperlink"/>
    <w:basedOn w:val="Predvolenpsmoodseku"/>
    <w:uiPriority w:val="99"/>
    <w:unhideWhenUsed/>
    <w:rsid w:val="00D75422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EC32DB"/>
    <w:rPr>
      <w:sz w:val="24"/>
      <w:szCs w:val="24"/>
    </w:rPr>
  </w:style>
  <w:style w:type="paragraph" w:customStyle="1" w:styleId="sti-art">
    <w:name w:val="sti-art"/>
    <w:basedOn w:val="Normlny"/>
    <w:rsid w:val="005170FF"/>
    <w:pPr>
      <w:autoSpaceDE/>
      <w:autoSpaceDN/>
      <w:spacing w:before="100" w:beforeAutospacing="1" w:after="100" w:afterAutospacing="1"/>
    </w:pPr>
  </w:style>
  <w:style w:type="paragraph" w:customStyle="1" w:styleId="Normlny3">
    <w:name w:val="Normálny3"/>
    <w:basedOn w:val="Normlny"/>
    <w:rsid w:val="005170F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8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28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6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12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7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4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8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74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29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4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2260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09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69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2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26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5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17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44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99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3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9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23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946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24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8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77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66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55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8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58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4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3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7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5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47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427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21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6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45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9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04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789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4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25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332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535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21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2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61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995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239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75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50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28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7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8600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9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28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7119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941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79406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00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1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9153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4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2366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0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8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2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9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76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90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5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40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5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5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4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2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8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6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5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9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43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2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4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9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7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6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8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78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06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1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7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873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5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49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6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6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61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08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93B7-A514-4CF8-AFA6-F07B4AED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Sobolicova Hana</cp:lastModifiedBy>
  <cp:revision>3</cp:revision>
  <cp:lastPrinted>2019-03-26T08:58:00Z</cp:lastPrinted>
  <dcterms:created xsi:type="dcterms:W3CDTF">2021-06-14T10:03:00Z</dcterms:created>
  <dcterms:modified xsi:type="dcterms:W3CDTF">2021-06-14T10:03:00Z</dcterms:modified>
</cp:coreProperties>
</file>