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F18" w:rsidRPr="00881709" w:rsidRDefault="00575F18" w:rsidP="00575F18">
      <w:pPr>
        <w:pStyle w:val="Normlnywebov"/>
        <w:autoSpaceDE w:val="0"/>
        <w:autoSpaceDN w:val="0"/>
        <w:jc w:val="center"/>
        <w:rPr>
          <w:b/>
          <w:bCs/>
        </w:rPr>
      </w:pPr>
      <w:r w:rsidRPr="00881709">
        <w:rPr>
          <w:b/>
          <w:bCs/>
        </w:rPr>
        <w:t>DOLOŽKA ZLUČITEĽNOSTI</w:t>
      </w:r>
    </w:p>
    <w:p w:rsidR="00575F18" w:rsidRPr="00881709" w:rsidRDefault="00F06A88" w:rsidP="00575F18">
      <w:pPr>
        <w:spacing w:line="240" w:lineRule="auto"/>
        <w:ind w:left="357"/>
        <w:jc w:val="center"/>
        <w:rPr>
          <w:rFonts w:ascii="Times New Roman" w:hAnsi="Times New Roman"/>
          <w:b/>
          <w:sz w:val="24"/>
          <w:szCs w:val="24"/>
        </w:rPr>
      </w:pPr>
      <w:r>
        <w:rPr>
          <w:rFonts w:ascii="Times New Roman" w:hAnsi="Times New Roman"/>
          <w:b/>
          <w:bCs/>
          <w:sz w:val="24"/>
          <w:szCs w:val="24"/>
        </w:rPr>
        <w:t>návrhu zákona s právom Európskej únie</w:t>
      </w:r>
      <w:r w:rsidR="00575F18" w:rsidRPr="002103E9">
        <w:rPr>
          <w:rFonts w:ascii="Times New Roman" w:hAnsi="Times New Roman"/>
          <w:b/>
          <w:sz w:val="24"/>
          <w:szCs w:val="24"/>
        </w:rPr>
        <w:t xml:space="preserve"> </w:t>
      </w:r>
    </w:p>
    <w:p w:rsidR="00575F18" w:rsidRDefault="00575F18" w:rsidP="00575F18">
      <w:pPr>
        <w:pStyle w:val="Zkladntext"/>
        <w:spacing w:before="120"/>
        <w:contextualSpacing/>
        <w:rPr>
          <w:b/>
          <w:bCs/>
          <w:color w:val="auto"/>
          <w:sz w:val="24"/>
          <w:szCs w:val="24"/>
        </w:rPr>
      </w:pPr>
    </w:p>
    <w:p w:rsidR="00575F18" w:rsidRPr="00881709" w:rsidRDefault="00575F18" w:rsidP="00575F18">
      <w:pPr>
        <w:pStyle w:val="Zkladntext"/>
        <w:spacing w:before="120"/>
        <w:contextualSpacing/>
        <w:rPr>
          <w:b/>
          <w:bCs/>
          <w:color w:val="auto"/>
          <w:sz w:val="24"/>
          <w:szCs w:val="24"/>
        </w:rPr>
      </w:pPr>
    </w:p>
    <w:p w:rsidR="00575F18" w:rsidRPr="00881709" w:rsidRDefault="00575F18" w:rsidP="00575F18">
      <w:pPr>
        <w:widowControl w:val="0"/>
        <w:autoSpaceDE w:val="0"/>
        <w:autoSpaceDN w:val="0"/>
        <w:spacing w:before="120" w:after="0" w:line="240" w:lineRule="auto"/>
        <w:ind w:left="360" w:hanging="360"/>
        <w:contextualSpacing/>
        <w:rPr>
          <w:rFonts w:ascii="Times New Roman" w:hAnsi="Times New Roman"/>
          <w:b/>
          <w:bCs/>
          <w:sz w:val="24"/>
          <w:szCs w:val="24"/>
          <w:lang w:eastAsia="sk-SK"/>
        </w:rPr>
      </w:pPr>
      <w:r w:rsidRPr="00881709">
        <w:rPr>
          <w:rFonts w:ascii="Times New Roman" w:hAnsi="Times New Roman"/>
          <w:b/>
          <w:bCs/>
          <w:sz w:val="24"/>
          <w:szCs w:val="24"/>
          <w:lang w:eastAsia="sk-SK"/>
        </w:rPr>
        <w:t>1.</w:t>
      </w:r>
      <w:r w:rsidRPr="00881709">
        <w:rPr>
          <w:rFonts w:ascii="Times New Roman" w:hAnsi="Times New Roman"/>
          <w:b/>
          <w:bCs/>
          <w:sz w:val="24"/>
          <w:szCs w:val="24"/>
          <w:lang w:eastAsia="sk-SK"/>
        </w:rPr>
        <w:tab/>
      </w:r>
      <w:r>
        <w:rPr>
          <w:rFonts w:ascii="Times New Roman" w:hAnsi="Times New Roman"/>
          <w:b/>
          <w:bCs/>
          <w:sz w:val="24"/>
          <w:szCs w:val="24"/>
          <w:lang w:eastAsia="sk-SK"/>
        </w:rPr>
        <w:t>Navrhovateľ</w:t>
      </w:r>
      <w:r w:rsidRPr="00881709">
        <w:rPr>
          <w:rFonts w:ascii="Times New Roman" w:hAnsi="Times New Roman"/>
          <w:b/>
          <w:bCs/>
          <w:sz w:val="24"/>
          <w:szCs w:val="24"/>
          <w:lang w:eastAsia="sk-SK"/>
        </w:rPr>
        <w:t xml:space="preserve"> právneho predpisu:</w:t>
      </w:r>
    </w:p>
    <w:p w:rsidR="00575F18" w:rsidRPr="00881709" w:rsidRDefault="00575F18" w:rsidP="00575F18">
      <w:pPr>
        <w:widowControl w:val="0"/>
        <w:autoSpaceDE w:val="0"/>
        <w:autoSpaceDN w:val="0"/>
        <w:spacing w:before="120" w:after="120" w:line="240" w:lineRule="auto"/>
        <w:ind w:firstLine="357"/>
        <w:contextualSpacing/>
        <w:jc w:val="both"/>
        <w:rPr>
          <w:rFonts w:ascii="Times New Roman" w:hAnsi="Times New Roman"/>
          <w:sz w:val="24"/>
          <w:szCs w:val="24"/>
          <w:lang w:eastAsia="sk-SK"/>
        </w:rPr>
      </w:pPr>
      <w:r w:rsidRPr="00881709">
        <w:rPr>
          <w:rFonts w:ascii="Times New Roman" w:hAnsi="Times New Roman"/>
          <w:sz w:val="24"/>
          <w:szCs w:val="24"/>
          <w:lang w:eastAsia="sk-SK"/>
        </w:rPr>
        <w:t>Ministerstvo financií Slovenskej republiky.</w:t>
      </w:r>
    </w:p>
    <w:p w:rsidR="00575F18" w:rsidRPr="00EA5085" w:rsidRDefault="00575F18" w:rsidP="00575F18">
      <w:pPr>
        <w:widowControl w:val="0"/>
        <w:autoSpaceDE w:val="0"/>
        <w:autoSpaceDN w:val="0"/>
        <w:spacing w:before="120" w:after="120" w:line="240" w:lineRule="auto"/>
        <w:ind w:firstLine="357"/>
        <w:contextualSpacing/>
        <w:jc w:val="both"/>
        <w:rPr>
          <w:rFonts w:ascii="Times New Roman" w:hAnsi="Times New Roman"/>
          <w:sz w:val="24"/>
          <w:szCs w:val="24"/>
          <w:lang w:eastAsia="sk-SK"/>
        </w:rPr>
      </w:pPr>
    </w:p>
    <w:p w:rsidR="00575F18" w:rsidRPr="00EA5085" w:rsidRDefault="00575F18" w:rsidP="00575F18">
      <w:pPr>
        <w:widowControl w:val="0"/>
        <w:numPr>
          <w:ilvl w:val="0"/>
          <w:numId w:val="1"/>
        </w:numPr>
        <w:autoSpaceDE w:val="0"/>
        <w:autoSpaceDN w:val="0"/>
        <w:spacing w:after="0" w:line="240" w:lineRule="auto"/>
        <w:ind w:left="357" w:hanging="357"/>
        <w:contextualSpacing/>
        <w:jc w:val="both"/>
        <w:rPr>
          <w:rFonts w:ascii="Times New Roman" w:hAnsi="Times New Roman"/>
          <w:b/>
          <w:bCs/>
          <w:sz w:val="24"/>
          <w:szCs w:val="24"/>
          <w:lang w:eastAsia="sk-SK"/>
        </w:rPr>
      </w:pPr>
      <w:r w:rsidRPr="00EA5085">
        <w:rPr>
          <w:rFonts w:ascii="Times New Roman" w:hAnsi="Times New Roman"/>
          <w:b/>
          <w:bCs/>
          <w:sz w:val="24"/>
          <w:szCs w:val="24"/>
          <w:lang w:eastAsia="sk-SK"/>
        </w:rPr>
        <w:t xml:space="preserve">Názov návrhu právneho predpisu: </w:t>
      </w:r>
    </w:p>
    <w:p w:rsidR="00575F18" w:rsidRPr="00EA5085" w:rsidRDefault="00575F18" w:rsidP="00575F18">
      <w:pPr>
        <w:widowControl w:val="0"/>
        <w:autoSpaceDE w:val="0"/>
        <w:autoSpaceDN w:val="0"/>
        <w:spacing w:after="0" w:line="240" w:lineRule="auto"/>
        <w:ind w:firstLine="357"/>
        <w:contextualSpacing/>
        <w:jc w:val="both"/>
        <w:rPr>
          <w:rFonts w:ascii="Times New Roman" w:hAnsi="Times New Roman"/>
          <w:sz w:val="24"/>
          <w:szCs w:val="24"/>
          <w:lang w:eastAsia="sk-SK"/>
        </w:rPr>
      </w:pPr>
    </w:p>
    <w:p w:rsidR="00575F18" w:rsidRPr="00EA5085" w:rsidRDefault="00D20E65" w:rsidP="00D20E65">
      <w:pPr>
        <w:widowControl w:val="0"/>
        <w:autoSpaceDE w:val="0"/>
        <w:autoSpaceDN w:val="0"/>
        <w:spacing w:before="120" w:after="120" w:line="240" w:lineRule="auto"/>
        <w:ind w:left="426" w:hanging="69"/>
        <w:contextualSpacing/>
        <w:jc w:val="both"/>
        <w:rPr>
          <w:rFonts w:ascii="Times New Roman" w:hAnsi="Times New Roman"/>
          <w:sz w:val="24"/>
          <w:szCs w:val="24"/>
          <w:lang w:eastAsia="sk-SK"/>
        </w:rPr>
      </w:pPr>
      <w:r w:rsidRPr="00EA5085">
        <w:rPr>
          <w:rFonts w:ascii="Times New Roman" w:hAnsi="Times New Roman"/>
          <w:sz w:val="24"/>
          <w:szCs w:val="24"/>
          <w:lang w:eastAsia="sk-SK"/>
        </w:rPr>
        <w:t xml:space="preserve"> </w:t>
      </w:r>
      <w:r w:rsidR="00575F18" w:rsidRPr="00EA5085">
        <w:rPr>
          <w:rFonts w:ascii="Times New Roman" w:hAnsi="Times New Roman"/>
          <w:sz w:val="24"/>
          <w:szCs w:val="24"/>
          <w:lang w:eastAsia="sk-SK"/>
        </w:rPr>
        <w:t xml:space="preserve">Návrh </w:t>
      </w:r>
      <w:r w:rsidR="00E72025" w:rsidRPr="00EA5085">
        <w:rPr>
          <w:rFonts w:ascii="Times New Roman" w:hAnsi="Times New Roman"/>
          <w:sz w:val="24"/>
          <w:szCs w:val="24"/>
          <w:lang w:eastAsia="sk-SK"/>
        </w:rPr>
        <w:t>zákona, ktorým  sa mení a  dopĺňa zákon č. 563/2009 Z. z. o správe daní (daňový poriadok) a o zmene a doplnení niektorých zákonov v znení neskorších predpisov a ktorým sa menia a dopĺňajú niektoré zákony</w:t>
      </w:r>
      <w:r w:rsidR="00F65C14" w:rsidRPr="00EA5085">
        <w:rPr>
          <w:rFonts w:ascii="Times New Roman" w:hAnsi="Times New Roman"/>
          <w:sz w:val="24"/>
          <w:szCs w:val="24"/>
          <w:lang w:eastAsia="sk-SK"/>
        </w:rPr>
        <w:t>.</w:t>
      </w:r>
    </w:p>
    <w:p w:rsidR="00575F18" w:rsidRPr="00EA5085" w:rsidRDefault="00575F18" w:rsidP="00D20E65">
      <w:pPr>
        <w:spacing w:before="120" w:after="120" w:line="240" w:lineRule="auto"/>
        <w:ind w:left="426"/>
        <w:contextualSpacing/>
        <w:jc w:val="both"/>
        <w:rPr>
          <w:rFonts w:ascii="Times New Roman" w:hAnsi="Times New Roman"/>
          <w:sz w:val="24"/>
          <w:szCs w:val="24"/>
          <w:lang w:eastAsia="sk-SK"/>
        </w:rPr>
      </w:pPr>
    </w:p>
    <w:p w:rsidR="00B401C7" w:rsidRPr="00EA5085" w:rsidRDefault="00B401C7" w:rsidP="00B401C7">
      <w:pPr>
        <w:spacing w:after="0" w:line="240" w:lineRule="auto"/>
        <w:ind w:left="425" w:hanging="425"/>
        <w:jc w:val="both"/>
        <w:rPr>
          <w:rFonts w:ascii="Times New Roman" w:hAnsi="Times New Roman"/>
          <w:b/>
          <w:sz w:val="24"/>
          <w:szCs w:val="24"/>
        </w:rPr>
      </w:pPr>
      <w:r w:rsidRPr="00EA5085">
        <w:rPr>
          <w:rFonts w:ascii="Times New Roman" w:hAnsi="Times New Roman"/>
          <w:b/>
          <w:bCs/>
          <w:sz w:val="24"/>
          <w:szCs w:val="24"/>
        </w:rPr>
        <w:t xml:space="preserve">3. </w:t>
      </w:r>
      <w:r w:rsidRPr="00EA5085">
        <w:rPr>
          <w:rFonts w:ascii="Times New Roman" w:hAnsi="Times New Roman"/>
          <w:b/>
          <w:bCs/>
          <w:sz w:val="24"/>
          <w:szCs w:val="24"/>
        </w:rPr>
        <w:tab/>
        <w:t xml:space="preserve">Predmet návrhu zákona </w:t>
      </w:r>
      <w:r w:rsidRPr="00EA5085">
        <w:rPr>
          <w:rFonts w:ascii="Times New Roman" w:hAnsi="Times New Roman"/>
          <w:b/>
          <w:sz w:val="24"/>
          <w:szCs w:val="24"/>
        </w:rPr>
        <w:t>je upravený v práve Európskej únie:</w:t>
      </w:r>
    </w:p>
    <w:p w:rsidR="00B401C7" w:rsidRPr="00EA5085" w:rsidRDefault="00B401C7" w:rsidP="00B401C7">
      <w:pPr>
        <w:spacing w:after="0" w:line="240" w:lineRule="auto"/>
        <w:ind w:left="425" w:hanging="425"/>
        <w:jc w:val="both"/>
        <w:rPr>
          <w:rFonts w:ascii="Times New Roman" w:hAnsi="Times New Roman"/>
          <w:b/>
          <w:bCs/>
          <w:sz w:val="24"/>
          <w:szCs w:val="24"/>
        </w:rPr>
      </w:pPr>
    </w:p>
    <w:p w:rsidR="00B401C7" w:rsidRPr="00EA5085" w:rsidRDefault="00B401C7" w:rsidP="00B401C7">
      <w:pPr>
        <w:pStyle w:val="Zkladntext0"/>
        <w:numPr>
          <w:ilvl w:val="1"/>
          <w:numId w:val="2"/>
        </w:numPr>
        <w:tabs>
          <w:tab w:val="left" w:pos="709"/>
          <w:tab w:val="left" w:pos="851"/>
        </w:tabs>
        <w:spacing w:after="0"/>
        <w:rPr>
          <w:b/>
          <w:bCs/>
          <w:iCs/>
        </w:rPr>
      </w:pPr>
      <w:r w:rsidRPr="00EA5085">
        <w:rPr>
          <w:b/>
          <w:bCs/>
          <w:iCs/>
        </w:rPr>
        <w:t xml:space="preserve">Primárne právo: </w:t>
      </w:r>
    </w:p>
    <w:p w:rsidR="00B401C7" w:rsidRPr="00EA5085" w:rsidRDefault="00B401C7" w:rsidP="00B401C7">
      <w:pPr>
        <w:pStyle w:val="Zkladntext0"/>
        <w:tabs>
          <w:tab w:val="left" w:pos="709"/>
          <w:tab w:val="left" w:pos="851"/>
        </w:tabs>
        <w:spacing w:after="0"/>
        <w:ind w:left="850" w:hanging="283"/>
        <w:rPr>
          <w:b/>
          <w:bCs/>
          <w:iCs/>
        </w:rPr>
      </w:pPr>
    </w:p>
    <w:p w:rsidR="00B401C7" w:rsidRPr="00EA5085" w:rsidRDefault="00B401C7" w:rsidP="00C26AFE">
      <w:pPr>
        <w:pStyle w:val="Odsekzoznamu"/>
        <w:numPr>
          <w:ilvl w:val="0"/>
          <w:numId w:val="3"/>
        </w:numPr>
        <w:shd w:val="clear" w:color="auto" w:fill="FFFFFF"/>
        <w:ind w:right="-150"/>
        <w:jc w:val="both"/>
      </w:pPr>
      <w:r w:rsidRPr="00EA5085">
        <w:t xml:space="preserve"> čl. 110 až 113</w:t>
      </w:r>
      <w:r w:rsidR="001135A5">
        <w:t xml:space="preserve"> </w:t>
      </w:r>
      <w:r w:rsidRPr="00EA5085">
        <w:t>Zmluvy o fungovaní Európskej únie (Ú. v. EÚ C 202, 7.6.2016) v platnom znení,</w:t>
      </w:r>
    </w:p>
    <w:p w:rsidR="00B401C7" w:rsidRPr="00EA5085" w:rsidRDefault="00B401C7" w:rsidP="00B401C7">
      <w:pPr>
        <w:pStyle w:val="Zkladntext0"/>
        <w:numPr>
          <w:ilvl w:val="0"/>
          <w:numId w:val="3"/>
        </w:numPr>
        <w:tabs>
          <w:tab w:val="clear" w:pos="900"/>
          <w:tab w:val="num" w:pos="851"/>
          <w:tab w:val="left" w:pos="993"/>
        </w:tabs>
        <w:spacing w:after="0"/>
        <w:jc w:val="both"/>
      </w:pPr>
      <w:r w:rsidRPr="00EA5085">
        <w:rPr>
          <w:lang w:eastAsia="sk-SK"/>
        </w:rPr>
        <w:t xml:space="preserve">čl. 52 Zmluvy o Európskej únii </w:t>
      </w:r>
      <w:r w:rsidRPr="00EA5085">
        <w:t>(Ú. v. EÚ C 202, 7.6. 2016) v platnom znení.</w:t>
      </w:r>
    </w:p>
    <w:p w:rsidR="00B401C7" w:rsidRPr="00EA5085" w:rsidRDefault="00B401C7" w:rsidP="00B401C7">
      <w:pPr>
        <w:pStyle w:val="Zkladntext0"/>
        <w:spacing w:after="0"/>
        <w:ind w:left="896"/>
      </w:pPr>
    </w:p>
    <w:p w:rsidR="00B401C7" w:rsidRPr="00EA5085" w:rsidRDefault="00B401C7" w:rsidP="00B401C7">
      <w:pPr>
        <w:pStyle w:val="Zarkazkladnhotextu"/>
        <w:numPr>
          <w:ilvl w:val="1"/>
          <w:numId w:val="2"/>
        </w:numPr>
        <w:tabs>
          <w:tab w:val="left" w:pos="567"/>
        </w:tabs>
        <w:ind w:hanging="424"/>
      </w:pPr>
      <w:r w:rsidRPr="00EA5085">
        <w:rPr>
          <w:b/>
          <w:bCs/>
          <w:iCs/>
        </w:rPr>
        <w:t>Sekundárne právo:</w:t>
      </w:r>
    </w:p>
    <w:p w:rsidR="00B401C7" w:rsidRPr="00EA5085" w:rsidRDefault="00B401C7" w:rsidP="00B401C7">
      <w:pPr>
        <w:pStyle w:val="Zarkazkladnhotextu"/>
        <w:ind w:left="850" w:firstLine="0"/>
      </w:pPr>
    </w:p>
    <w:p w:rsidR="00B401C7" w:rsidRDefault="00B401C7" w:rsidP="00C26AFE">
      <w:pPr>
        <w:pStyle w:val="Odsekzoznamu"/>
        <w:numPr>
          <w:ilvl w:val="0"/>
          <w:numId w:val="3"/>
        </w:numPr>
        <w:shd w:val="clear" w:color="auto" w:fill="FFFFFF"/>
        <w:ind w:right="-150"/>
        <w:jc w:val="both"/>
      </w:pPr>
      <w:r w:rsidRPr="00C26AFE">
        <w:rPr>
          <w:bCs/>
        </w:rPr>
        <w:t>smernica</w:t>
      </w:r>
      <w:r w:rsidRPr="00EA5085">
        <w:t xml:space="preserve"> Rady 2006/112/ES z  28. novembra 2006 o spoločnom systéme dane z pridanej hodnoty </w:t>
      </w:r>
      <w:r w:rsidRPr="00EA5085">
        <w:rPr>
          <w:i/>
        </w:rPr>
        <w:t>(</w:t>
      </w:r>
      <w:r w:rsidRPr="00EA5085">
        <w:rPr>
          <w:rStyle w:val="Zvraznenie"/>
          <w:i w:val="0"/>
        </w:rPr>
        <w:t>Ú. v. EÚ L 347, 11.12.2006) v platnom znení</w:t>
      </w:r>
      <w:r w:rsidRPr="00EA5085">
        <w:rPr>
          <w:rStyle w:val="Zvraznenie"/>
        </w:rPr>
        <w:t xml:space="preserve">, </w:t>
      </w:r>
      <w:r w:rsidR="009D35C3">
        <w:t>gestor: MF SR,</w:t>
      </w:r>
    </w:p>
    <w:p w:rsidR="009D35C3" w:rsidRDefault="009D35C3" w:rsidP="00C26AFE">
      <w:pPr>
        <w:pStyle w:val="Odsekzoznamu"/>
        <w:numPr>
          <w:ilvl w:val="0"/>
          <w:numId w:val="3"/>
        </w:numPr>
        <w:shd w:val="clear" w:color="auto" w:fill="FFFFFF"/>
        <w:ind w:right="-150"/>
        <w:jc w:val="both"/>
        <w:rPr>
          <w:rStyle w:val="Zvraznenie"/>
          <w:i w:val="0"/>
        </w:rPr>
      </w:pPr>
      <w:r w:rsidRPr="009D35C3">
        <w:rPr>
          <w:bCs/>
        </w:rPr>
        <w:t xml:space="preserve">smernica Rady (EÚ) 2017/2455 z 5. decembra 2017, ktorou sa mení smernica 2006/112/ES a smernica 2009/132/ES, pokiaľ ide o určité povinnosti týkajúce sa dane z pridanej hodnoty pri poskytovaní služieb a predaji tovaru </w:t>
      </w:r>
      <w:r w:rsidRPr="002C4B45">
        <w:rPr>
          <w:rStyle w:val="Zvraznenie"/>
          <w:i w:val="0"/>
        </w:rPr>
        <w:t>na diaľku (</w:t>
      </w:r>
      <w:r w:rsidRPr="002C4B45">
        <w:rPr>
          <w:rStyle w:val="Zvraznenie"/>
          <w:i w:val="0"/>
          <w:iCs w:val="0"/>
        </w:rPr>
        <w:t>Ú. v. EÚ L 348, 29.12.2017)</w:t>
      </w:r>
      <w:r w:rsidR="002C4B45" w:rsidRPr="002C4B45">
        <w:rPr>
          <w:rStyle w:val="Zvraznenie"/>
          <w:i w:val="0"/>
          <w:iCs w:val="0"/>
        </w:rPr>
        <w:t xml:space="preserve"> v znení rozhodnutia Rady (EÚ) 2020/1109 z 20. júla</w:t>
      </w:r>
      <w:r w:rsidR="002C4B45">
        <w:rPr>
          <w:rStyle w:val="Zvraznenie"/>
          <w:i w:val="0"/>
          <w:iCs w:val="0"/>
        </w:rPr>
        <w:t xml:space="preserve"> 2020, ktorým sa v reakcii na pandémiu COVID-19 menia smernice (EÚ) 2017/2455 a (EÚ) 2019/1995, pokiaľ ide o dátumy transpozície a uplatňovania </w:t>
      </w:r>
      <w:r w:rsidR="002C4B45" w:rsidRPr="002C4B45">
        <w:rPr>
          <w:rStyle w:val="Zvraznenie"/>
          <w:i w:val="0"/>
        </w:rPr>
        <w:t>(</w:t>
      </w:r>
      <w:r w:rsidR="002C4B45" w:rsidRPr="002C4B45">
        <w:rPr>
          <w:rStyle w:val="Zvraznenie"/>
          <w:i w:val="0"/>
          <w:iCs w:val="0"/>
        </w:rPr>
        <w:t xml:space="preserve">Ú. v. EÚ L </w:t>
      </w:r>
      <w:r w:rsidR="002C4B45">
        <w:rPr>
          <w:rStyle w:val="Zvraznenie"/>
          <w:i w:val="0"/>
          <w:iCs w:val="0"/>
        </w:rPr>
        <w:t>244, 29.7</w:t>
      </w:r>
      <w:r w:rsidR="002C4B45" w:rsidRPr="002C4B45">
        <w:rPr>
          <w:rStyle w:val="Zvraznenie"/>
          <w:i w:val="0"/>
          <w:iCs w:val="0"/>
        </w:rPr>
        <w:t>.20</w:t>
      </w:r>
      <w:r w:rsidR="002C4B45">
        <w:rPr>
          <w:rStyle w:val="Zvraznenie"/>
          <w:i w:val="0"/>
          <w:iCs w:val="0"/>
        </w:rPr>
        <w:t>20</w:t>
      </w:r>
      <w:r w:rsidR="002C4B45" w:rsidRPr="002C4B45">
        <w:rPr>
          <w:rStyle w:val="Zvraznenie"/>
          <w:i w:val="0"/>
          <w:iCs w:val="0"/>
        </w:rPr>
        <w:t>)</w:t>
      </w:r>
      <w:r w:rsidRPr="002C4B45">
        <w:rPr>
          <w:rStyle w:val="Zvraznenie"/>
          <w:i w:val="0"/>
          <w:iCs w:val="0"/>
        </w:rPr>
        <w:t xml:space="preserve">, </w:t>
      </w:r>
      <w:r w:rsidR="00FC4A3A">
        <w:rPr>
          <w:rStyle w:val="Zvraznenie"/>
          <w:i w:val="0"/>
        </w:rPr>
        <w:t>gestor: MF SR,</w:t>
      </w:r>
    </w:p>
    <w:p w:rsidR="00B401C7" w:rsidRDefault="00FC4A3A" w:rsidP="00C26AFE">
      <w:pPr>
        <w:pStyle w:val="Odsekzoznamu"/>
        <w:numPr>
          <w:ilvl w:val="0"/>
          <w:numId w:val="3"/>
        </w:numPr>
        <w:shd w:val="clear" w:color="auto" w:fill="FFFFFF"/>
        <w:ind w:right="-150"/>
        <w:jc w:val="both"/>
        <w:rPr>
          <w:rStyle w:val="Zvraznenie"/>
          <w:i w:val="0"/>
          <w:iCs w:val="0"/>
        </w:rPr>
      </w:pPr>
      <w:r w:rsidRPr="001135A5">
        <w:rPr>
          <w:rStyle w:val="Zvraznenie"/>
          <w:i w:val="0"/>
          <w:iCs w:val="0"/>
        </w:rPr>
        <w:t>smernica Rady (EÚ) 2019/2235 zo 16. decembra 2019, ktorou sa mení smernica 2006/112/ES o spoločnom systéme dane z pridanej hodnoty a smernica 2008/118/ES o všeobecnom systéme spotrebných daní, pokiaľ ide o obranné úsilie v rámci Únie (Ú. v. EÚ L 336, 30.12.2019), gestor: MF SR.</w:t>
      </w:r>
    </w:p>
    <w:p w:rsidR="00472EE9" w:rsidRPr="00EA5085" w:rsidRDefault="00472EE9" w:rsidP="00472EE9">
      <w:pPr>
        <w:pStyle w:val="Odsekzoznamu"/>
        <w:shd w:val="clear" w:color="auto" w:fill="FFFFFF"/>
        <w:ind w:left="900" w:right="-150"/>
        <w:jc w:val="both"/>
      </w:pPr>
      <w:bookmarkStart w:id="0" w:name="_GoBack"/>
      <w:bookmarkEnd w:id="0"/>
    </w:p>
    <w:p w:rsidR="00B401C7" w:rsidRDefault="00C26AFE" w:rsidP="00B401C7">
      <w:pPr>
        <w:pStyle w:val="Odsekzoznamu"/>
        <w:numPr>
          <w:ilvl w:val="0"/>
          <w:numId w:val="3"/>
        </w:numPr>
        <w:shd w:val="clear" w:color="auto" w:fill="FFFFFF"/>
        <w:ind w:right="-150"/>
        <w:jc w:val="both"/>
        <w:rPr>
          <w:vanish/>
        </w:rPr>
      </w:pPr>
      <w:r>
        <w:rPr>
          <w:vanish/>
        </w:rPr>
        <w:t>s</w:t>
      </w:r>
      <w:r w:rsidR="00B401C7" w:rsidRPr="00EA5085">
        <w:rPr>
          <w:vanish/>
        </w:rPr>
        <w:t>mernica Rady (EÚ) 2018/1910 zo 4. decembra 2018, ktorou sa mení smernica 2006/112/ES, pokiaľ ide o harmonizáciu a zjednodušenie určitých pravidiel v systéme dane z pridanej hodnoty pre zdaňovanie obchodu medzi členskými štátmi</w:t>
      </w:r>
    </w:p>
    <w:p w:rsidR="00B27208" w:rsidRPr="00EA5085" w:rsidRDefault="00B27208" w:rsidP="00C26AFE">
      <w:pPr>
        <w:pStyle w:val="Odsekzoznamu"/>
        <w:shd w:val="clear" w:color="auto" w:fill="FFFFFF"/>
        <w:ind w:left="900" w:right="-150"/>
        <w:jc w:val="both"/>
        <w:rPr>
          <w:vanish/>
        </w:rPr>
      </w:pPr>
    </w:p>
    <w:p w:rsidR="00B401C7" w:rsidRPr="00EA5085" w:rsidRDefault="00B401C7" w:rsidP="00B401C7">
      <w:pPr>
        <w:pStyle w:val="Zkladntext0"/>
        <w:tabs>
          <w:tab w:val="left" w:pos="851"/>
        </w:tabs>
        <w:spacing w:after="0"/>
        <w:ind w:firstLine="426"/>
        <w:jc w:val="both"/>
        <w:rPr>
          <w:b/>
        </w:rPr>
      </w:pPr>
      <w:r w:rsidRPr="00EA5085">
        <w:rPr>
          <w:b/>
        </w:rPr>
        <w:t>c)   Judikatúra Súdneho dvora Európskej únie:</w:t>
      </w:r>
    </w:p>
    <w:p w:rsidR="00B401C7" w:rsidRPr="00EA5085" w:rsidRDefault="00B401C7" w:rsidP="00B401C7">
      <w:pPr>
        <w:pStyle w:val="Zkladntext0"/>
        <w:tabs>
          <w:tab w:val="left" w:pos="851"/>
        </w:tabs>
        <w:spacing w:after="0"/>
        <w:ind w:firstLine="426"/>
        <w:jc w:val="both"/>
        <w:rPr>
          <w:b/>
        </w:rPr>
      </w:pPr>
    </w:p>
    <w:p w:rsidR="00B401C7" w:rsidRPr="00EA5085" w:rsidRDefault="00B401C7" w:rsidP="00C26AFE">
      <w:pPr>
        <w:pStyle w:val="Odsekzoznamu"/>
        <w:numPr>
          <w:ilvl w:val="0"/>
          <w:numId w:val="3"/>
        </w:numPr>
        <w:shd w:val="clear" w:color="auto" w:fill="FFFFFF"/>
        <w:ind w:right="-150"/>
        <w:jc w:val="both"/>
      </w:pPr>
      <w:r w:rsidRPr="00EA5085">
        <w:t>Rozsudok Súdneho dvora C</w:t>
      </w:r>
      <w:r w:rsidRPr="00EA5085">
        <w:noBreakHyphen/>
        <w:t xml:space="preserve">384/04 </w:t>
      </w:r>
      <w:proofErr w:type="spellStart"/>
      <w:r w:rsidRPr="00EA5085">
        <w:rPr>
          <w:bCs/>
        </w:rPr>
        <w:t>Commissioners</w:t>
      </w:r>
      <w:proofErr w:type="spellEnd"/>
      <w:r w:rsidRPr="00EA5085">
        <w:rPr>
          <w:bCs/>
        </w:rPr>
        <w:t xml:space="preserve"> of </w:t>
      </w:r>
      <w:proofErr w:type="spellStart"/>
      <w:r w:rsidRPr="00EA5085">
        <w:rPr>
          <w:bCs/>
        </w:rPr>
        <w:t>Customs</w:t>
      </w:r>
      <w:proofErr w:type="spellEnd"/>
      <w:r w:rsidRPr="00EA5085">
        <w:rPr>
          <w:bCs/>
        </w:rPr>
        <w:t xml:space="preserve"> &amp; </w:t>
      </w:r>
      <w:proofErr w:type="spellStart"/>
      <w:r w:rsidRPr="00EA5085">
        <w:rPr>
          <w:bCs/>
        </w:rPr>
        <w:t>Excise</w:t>
      </w:r>
      <w:proofErr w:type="spellEnd"/>
      <w:r w:rsidRPr="00EA5085">
        <w:rPr>
          <w:bCs/>
        </w:rPr>
        <w:t xml:space="preserve"> a </w:t>
      </w:r>
      <w:proofErr w:type="spellStart"/>
      <w:r w:rsidRPr="00EA5085">
        <w:rPr>
          <w:bCs/>
        </w:rPr>
        <w:t>Attorney</w:t>
      </w:r>
      <w:proofErr w:type="spellEnd"/>
      <w:r w:rsidRPr="00EA5085">
        <w:rPr>
          <w:bCs/>
        </w:rPr>
        <w:t xml:space="preserve"> General proti</w:t>
      </w:r>
      <w:r w:rsidRPr="00EA5085">
        <w:rPr>
          <w:b/>
          <w:bCs/>
        </w:rPr>
        <w:t xml:space="preserve"> </w:t>
      </w:r>
      <w:proofErr w:type="spellStart"/>
      <w:r w:rsidRPr="00EA5085">
        <w:rPr>
          <w:bCs/>
        </w:rPr>
        <w:t>Federation</w:t>
      </w:r>
      <w:proofErr w:type="spellEnd"/>
      <w:r w:rsidRPr="00EA5085">
        <w:rPr>
          <w:bCs/>
        </w:rPr>
        <w:t xml:space="preserve"> of </w:t>
      </w:r>
      <w:proofErr w:type="spellStart"/>
      <w:r w:rsidRPr="00EA5085">
        <w:rPr>
          <w:bCs/>
        </w:rPr>
        <w:t>Technological</w:t>
      </w:r>
      <w:proofErr w:type="spellEnd"/>
      <w:r w:rsidRPr="00EA5085">
        <w:rPr>
          <w:bCs/>
        </w:rPr>
        <w:t xml:space="preserve"> </w:t>
      </w:r>
      <w:proofErr w:type="spellStart"/>
      <w:r w:rsidRPr="00EA5085">
        <w:rPr>
          <w:bCs/>
        </w:rPr>
        <w:t>Industries</w:t>
      </w:r>
      <w:proofErr w:type="spellEnd"/>
      <w:r w:rsidRPr="00EA5085">
        <w:rPr>
          <w:bCs/>
        </w:rPr>
        <w:t xml:space="preserve"> a i.</w:t>
      </w:r>
    </w:p>
    <w:p w:rsidR="00B401C7" w:rsidRPr="00EA5085" w:rsidRDefault="00B401C7" w:rsidP="00B401C7">
      <w:pPr>
        <w:pStyle w:val="Normlnywebov"/>
        <w:spacing w:after="0"/>
        <w:ind w:left="900"/>
        <w:jc w:val="both"/>
        <w:rPr>
          <w:lang w:eastAsia="cs-CZ"/>
        </w:rPr>
      </w:pPr>
      <w:r w:rsidRPr="00EA5085">
        <w:rPr>
          <w:lang w:eastAsia="cs-CZ"/>
        </w:rPr>
        <w:t xml:space="preserve">Výrok rozsudku (pozn. smernica Rady </w:t>
      </w:r>
      <w:r w:rsidRPr="00EA5085">
        <w:t xml:space="preserve">2006/112/ES nahradila </w:t>
      </w:r>
      <w:r w:rsidRPr="00EA5085">
        <w:rPr>
          <w:bCs/>
        </w:rPr>
        <w:t>smernicu Rady 77/388/EHS)</w:t>
      </w:r>
      <w:r w:rsidRPr="00EA5085">
        <w:rPr>
          <w:lang w:eastAsia="cs-CZ"/>
        </w:rPr>
        <w:t>:</w:t>
      </w:r>
    </w:p>
    <w:p w:rsidR="00B401C7" w:rsidRPr="00EA5085" w:rsidRDefault="00B401C7" w:rsidP="00B401C7">
      <w:pPr>
        <w:pStyle w:val="Normlnywebov"/>
        <w:spacing w:after="0"/>
        <w:ind w:left="900"/>
        <w:jc w:val="both"/>
        <w:rPr>
          <w:bCs/>
        </w:rPr>
      </w:pPr>
      <w:r w:rsidRPr="00EA5085">
        <w:rPr>
          <w:lang w:eastAsia="cs-CZ"/>
        </w:rPr>
        <w:t xml:space="preserve">„1. </w:t>
      </w:r>
      <w:r w:rsidRPr="00EA5085">
        <w:rPr>
          <w:bCs/>
        </w:rPr>
        <w:t xml:space="preserve">Článok 21 ods. 3 šiestej smernice Rady 77/388/EHS zo 17. mája 1977 o zosúladení právnych predpisov členských štátov týkajúcich sa daní z obratu – </w:t>
      </w:r>
      <w:r w:rsidRPr="00EA5085">
        <w:rPr>
          <w:bCs/>
        </w:rPr>
        <w:lastRenderedPageBreak/>
        <w:t>spoločný systém dane z pridanej hodnoty: jednotný základ jej stanovenia, zmenenej a doplnenej smernicami Rady 2000/65/ES zo 17. októbra 2000 a 2001/115/ES z 20. decembra 2001, sa má vykladať v tom zmysle, že umožňuje členskému štátu prijať takú právnu úpravu, o akú ide vo veci samej, ktorá stanovuje, že platiteľa, v ktorého prospech bola vykonaná dodávka tovarov alebo poskytnutie služieb a ktorý vedel alebo na základe primeraných dôvodov mohol mať podozrenie, že celá alebo časť dlžnej dane z pridanej hodnoty z tejto dodávky alebo tohto poskytnutia služieb alebo z akejkoľvek predchádzajúcej alebo nasledujúcej dodávky alebo poskytnutia služby nebude zaplatená, môže byť zodpovedný za zaplatenie tejto dane spoločne a nerozdielne s osobou zodpovednou za zaplatenie tejto dane. Takáto právna úprava však musí dodržiavať všeobecné právne zásady, ktoré sú súčasťou právneho poriadku Spoločenstva, medzi ktoré patrí najmä zásada právnej istoty a proporcionality.</w:t>
      </w:r>
    </w:p>
    <w:p w:rsidR="00B401C7" w:rsidRPr="00EA5085" w:rsidRDefault="00B401C7" w:rsidP="00B401C7">
      <w:pPr>
        <w:spacing w:before="100" w:beforeAutospacing="1" w:after="240" w:line="240" w:lineRule="auto"/>
        <w:ind w:left="851"/>
        <w:jc w:val="both"/>
        <w:rPr>
          <w:rFonts w:ascii="Times New Roman" w:hAnsi="Times New Roman"/>
          <w:bCs/>
          <w:sz w:val="24"/>
          <w:szCs w:val="24"/>
          <w:lang w:eastAsia="sk-SK"/>
        </w:rPr>
      </w:pPr>
      <w:r w:rsidRPr="00EA5085">
        <w:rPr>
          <w:rFonts w:ascii="Times New Roman" w:hAnsi="Times New Roman"/>
          <w:bCs/>
          <w:sz w:val="24"/>
          <w:szCs w:val="24"/>
          <w:lang w:eastAsia="sk-SK"/>
        </w:rPr>
        <w:t>2.  Článok 22 ods. 8 šiestej smernice 77/388, zmenenej a doplnenej smernicami 2000/65/ES a 2001/115/ES, sa má vykladať v tom zmysle, že neumožňuje členskému štátu prijať takú právnu úpravu, o akú ide vo veci samej, ktorá stanovuje, že platiteľ, v ktorého prospech bola vykonaná dodávka tovarov alebo poskytnutie služieb a ktorý vedel alebo na základe primeraných dôvodov mohol mať podozrenie, že celá alebo časť dlžnej dane z pridanej hodnoty z tejto dodávky alebo tohto poskytnutia služieb alebo z akejkoľvek predchádzajúcej alebo nasledujúcej dodávky alebo poskytnutia služby nebude zaplatená, môže byť zodpovedný za zaplatenie tejto dane spoločne a nerozdielne s osobou zodpovednou za zaplatenie tejto dane, ani právnu úpravu, ktorá stanovuje, že platiteľ môže byť povinný zriadiť záruku na zaplatenie uvedenej dane, ktorá je alebo sa môže stať splatnou zo strany platiteľa, ktorému dodá uvedený tovar alebo poskytne uvedené služby, alebo platiteľa, ktorý mu sám dodá uvedený tovar alebo poskytne uvedené služby.</w:t>
      </w:r>
    </w:p>
    <w:p w:rsidR="00B401C7" w:rsidRDefault="00B401C7" w:rsidP="00B401C7">
      <w:pPr>
        <w:spacing w:before="100" w:beforeAutospacing="1" w:after="100" w:afterAutospacing="1" w:line="240" w:lineRule="auto"/>
        <w:ind w:left="851"/>
        <w:jc w:val="both"/>
        <w:rPr>
          <w:sz w:val="24"/>
          <w:szCs w:val="24"/>
          <w:lang w:eastAsia="cs-CZ"/>
        </w:rPr>
      </w:pPr>
      <w:r w:rsidRPr="00EA5085">
        <w:rPr>
          <w:rFonts w:ascii="Times New Roman" w:hAnsi="Times New Roman"/>
          <w:bCs/>
          <w:sz w:val="24"/>
          <w:szCs w:val="24"/>
          <w:lang w:eastAsia="sk-SK"/>
        </w:rPr>
        <w:t>Na druhej strane toto ustanovenie nebráni vnútroštátnej úprave, ktorá ukladá ktorejkoľvek osobe, ktorá je spoločne a nerozdielne zodpovedná za zaplatenie dane z pridanej hodnoty v súlade s vnútroštátnym opatrením prijatým na základe článku 21 ods. 3 tejto šiestej smernice 77/388, povinnosť zriadiť záruku na zaplatenie dlžnej dane z pridanej hodnoty.</w:t>
      </w:r>
      <w:r w:rsidRPr="00EA5085">
        <w:rPr>
          <w:sz w:val="24"/>
          <w:szCs w:val="24"/>
          <w:lang w:eastAsia="cs-CZ"/>
        </w:rPr>
        <w:t>“</w:t>
      </w:r>
    </w:p>
    <w:p w:rsidR="0067030F" w:rsidRPr="001135A5" w:rsidRDefault="0067030F" w:rsidP="00C26AFE">
      <w:pPr>
        <w:pStyle w:val="Odsekzoznamu"/>
        <w:numPr>
          <w:ilvl w:val="0"/>
          <w:numId w:val="3"/>
        </w:numPr>
        <w:shd w:val="clear" w:color="auto" w:fill="FFFFFF"/>
        <w:ind w:right="-150"/>
        <w:jc w:val="both"/>
        <w:rPr>
          <w:bCs/>
        </w:rPr>
      </w:pPr>
      <w:r w:rsidRPr="001135A5">
        <w:rPr>
          <w:bCs/>
        </w:rPr>
        <w:t xml:space="preserve">Rozsudok súdneho dvora </w:t>
      </w:r>
      <w:r w:rsidRPr="001135A5">
        <w:t>C</w:t>
      </w:r>
      <w:r w:rsidRPr="001135A5">
        <w:noBreakHyphen/>
        <w:t xml:space="preserve">225/11 </w:t>
      </w:r>
      <w:proofErr w:type="spellStart"/>
      <w:r w:rsidRPr="001135A5">
        <w:rPr>
          <w:bCs/>
        </w:rPr>
        <w:t>The</w:t>
      </w:r>
      <w:proofErr w:type="spellEnd"/>
      <w:r w:rsidRPr="001135A5">
        <w:rPr>
          <w:bCs/>
        </w:rPr>
        <w:t xml:space="preserve"> </w:t>
      </w:r>
      <w:proofErr w:type="spellStart"/>
      <w:r w:rsidRPr="001135A5">
        <w:rPr>
          <w:bCs/>
        </w:rPr>
        <w:t>Commissioners</w:t>
      </w:r>
      <w:proofErr w:type="spellEnd"/>
      <w:r w:rsidRPr="001135A5">
        <w:rPr>
          <w:bCs/>
        </w:rPr>
        <w:t xml:space="preserve"> </w:t>
      </w:r>
      <w:proofErr w:type="spellStart"/>
      <w:r w:rsidRPr="001135A5">
        <w:rPr>
          <w:bCs/>
        </w:rPr>
        <w:t>for</w:t>
      </w:r>
      <w:proofErr w:type="spellEnd"/>
      <w:r w:rsidRPr="001135A5">
        <w:rPr>
          <w:bCs/>
        </w:rPr>
        <w:t xml:space="preserve"> </w:t>
      </w:r>
      <w:proofErr w:type="spellStart"/>
      <w:r w:rsidRPr="001135A5">
        <w:rPr>
          <w:bCs/>
        </w:rPr>
        <w:t>Her</w:t>
      </w:r>
      <w:proofErr w:type="spellEnd"/>
      <w:r w:rsidRPr="001135A5">
        <w:rPr>
          <w:bCs/>
        </w:rPr>
        <w:t xml:space="preserve"> </w:t>
      </w:r>
      <w:proofErr w:type="spellStart"/>
      <w:r w:rsidRPr="001135A5">
        <w:rPr>
          <w:bCs/>
        </w:rPr>
        <w:t>Majesty’s</w:t>
      </w:r>
      <w:proofErr w:type="spellEnd"/>
      <w:r w:rsidRPr="001135A5">
        <w:rPr>
          <w:bCs/>
        </w:rPr>
        <w:t xml:space="preserve"> </w:t>
      </w:r>
      <w:proofErr w:type="spellStart"/>
      <w:r w:rsidRPr="001135A5">
        <w:rPr>
          <w:bCs/>
        </w:rPr>
        <w:t>Revenue</w:t>
      </w:r>
      <w:proofErr w:type="spellEnd"/>
      <w:r w:rsidRPr="001135A5">
        <w:rPr>
          <w:bCs/>
        </w:rPr>
        <w:t xml:space="preserve"> and </w:t>
      </w:r>
      <w:proofErr w:type="spellStart"/>
      <w:r w:rsidRPr="001135A5">
        <w:rPr>
          <w:bCs/>
        </w:rPr>
        <w:t>Custom</w:t>
      </w:r>
      <w:proofErr w:type="spellEnd"/>
      <w:r w:rsidRPr="001135A5">
        <w:rPr>
          <w:bCs/>
        </w:rPr>
        <w:t xml:space="preserve"> proti </w:t>
      </w:r>
      <w:proofErr w:type="spellStart"/>
      <w:r w:rsidRPr="001135A5">
        <w:rPr>
          <w:bCs/>
        </w:rPr>
        <w:t>Able</w:t>
      </w:r>
      <w:proofErr w:type="spellEnd"/>
      <w:r w:rsidRPr="001135A5">
        <w:rPr>
          <w:bCs/>
        </w:rPr>
        <w:t xml:space="preserve"> UK </w:t>
      </w:r>
      <w:proofErr w:type="spellStart"/>
      <w:r w:rsidRPr="001135A5">
        <w:rPr>
          <w:bCs/>
        </w:rPr>
        <w:t>Ltd</w:t>
      </w:r>
      <w:proofErr w:type="spellEnd"/>
    </w:p>
    <w:p w:rsidR="0067030F" w:rsidRPr="001135A5" w:rsidRDefault="0067030F" w:rsidP="0067030F">
      <w:pPr>
        <w:pStyle w:val="Normlnywebov"/>
        <w:spacing w:after="0"/>
        <w:ind w:left="900"/>
        <w:jc w:val="both"/>
        <w:rPr>
          <w:lang w:eastAsia="cs-CZ"/>
        </w:rPr>
      </w:pPr>
      <w:r w:rsidRPr="001135A5">
        <w:rPr>
          <w:lang w:eastAsia="cs-CZ"/>
        </w:rPr>
        <w:t>Výrok rozsudku:</w:t>
      </w:r>
    </w:p>
    <w:p w:rsidR="0067030F" w:rsidRPr="001135A5" w:rsidRDefault="0067030F" w:rsidP="0067030F">
      <w:pPr>
        <w:spacing w:after="240" w:line="240" w:lineRule="auto"/>
        <w:ind w:left="851"/>
        <w:jc w:val="both"/>
        <w:rPr>
          <w:rFonts w:ascii="Times New Roman" w:hAnsi="Times New Roman"/>
          <w:bCs/>
          <w:sz w:val="24"/>
          <w:szCs w:val="24"/>
          <w:lang w:eastAsia="sk-SK"/>
        </w:rPr>
      </w:pPr>
      <w:r w:rsidRPr="001135A5">
        <w:rPr>
          <w:rFonts w:ascii="Times New Roman" w:hAnsi="Times New Roman"/>
          <w:bCs/>
          <w:sz w:val="24"/>
          <w:szCs w:val="24"/>
          <w:lang w:eastAsia="sk-SK"/>
        </w:rPr>
        <w:t>„Článok 151 ods. 1 písm. c) smernice Rady 2006/112/ES z 28. novembra 2006 o spoločnom systéme dane z pridanej hodnoty sa má vykladať v tom zmysle, že poskytovanie služieb, o aké ide vo veci samej, vykonávané v členskom štáte, ktorý je stranou Severoatlantickej zmluvy, a spočívajúce v demontáži vyradených lodí námorníctva iného štátu, ktorý je stranou tejto zmluvy, je oslobodené od dane z pridanej hodnoty podľa tohto ustanovenia, len ak:</w:t>
      </w:r>
    </w:p>
    <w:p w:rsidR="0067030F" w:rsidRPr="001135A5" w:rsidRDefault="0067030F" w:rsidP="0067030F">
      <w:pPr>
        <w:spacing w:before="100" w:beforeAutospacing="1" w:after="240" w:line="240" w:lineRule="auto"/>
        <w:ind w:left="851"/>
        <w:jc w:val="both"/>
        <w:rPr>
          <w:rFonts w:ascii="Times New Roman" w:hAnsi="Times New Roman"/>
          <w:bCs/>
          <w:sz w:val="24"/>
          <w:szCs w:val="24"/>
          <w:lang w:eastAsia="sk-SK"/>
        </w:rPr>
      </w:pPr>
      <w:r w:rsidRPr="001135A5">
        <w:rPr>
          <w:rFonts w:ascii="Times New Roman" w:hAnsi="Times New Roman"/>
          <w:bCs/>
          <w:sz w:val="24"/>
          <w:szCs w:val="24"/>
          <w:lang w:eastAsia="sk-SK"/>
        </w:rPr>
        <w:t>– sa toto plnenie poskytne v prospech zložky ozbrojených síl tohto iného štátu, ktoré sa podieľajú na spoločnom obrannom úsilí, alebo na použitie civilnými zamestnancami, ktorí ich sprevádzajú, a</w:t>
      </w:r>
    </w:p>
    <w:p w:rsidR="0067030F" w:rsidRPr="0067030F" w:rsidRDefault="0067030F" w:rsidP="0067030F">
      <w:pPr>
        <w:pStyle w:val="Normlnywebov"/>
        <w:spacing w:after="0"/>
        <w:ind w:left="851"/>
        <w:jc w:val="both"/>
        <w:rPr>
          <w:lang w:eastAsia="cs-CZ"/>
        </w:rPr>
      </w:pPr>
      <w:r w:rsidRPr="001135A5">
        <w:rPr>
          <w:bCs/>
        </w:rPr>
        <w:t>– toto isté plnenie sa poskytne v prospech zložky uvedených ozbrojených síl, ktoré sú umiestnené alebo sa zdržiavajú na území dotknutého členského štátu, alebo na použitie civilnými zamestnancami, ktorí ich sprevádzajú.“</w:t>
      </w:r>
    </w:p>
    <w:p w:rsidR="0067030F" w:rsidRPr="0067030F" w:rsidRDefault="0067030F" w:rsidP="00B401C7">
      <w:pPr>
        <w:spacing w:before="100" w:beforeAutospacing="1" w:after="100" w:afterAutospacing="1" w:line="240" w:lineRule="auto"/>
        <w:ind w:left="851"/>
        <w:jc w:val="both"/>
        <w:rPr>
          <w:rFonts w:ascii="Times New Roman" w:hAnsi="Times New Roman"/>
          <w:bCs/>
          <w:sz w:val="24"/>
          <w:szCs w:val="24"/>
          <w:lang w:eastAsia="sk-SK"/>
        </w:rPr>
      </w:pPr>
    </w:p>
    <w:p w:rsidR="00B401C7" w:rsidRPr="00EA5085" w:rsidRDefault="00B401C7" w:rsidP="00B401C7">
      <w:pPr>
        <w:tabs>
          <w:tab w:val="left" w:pos="360"/>
        </w:tabs>
        <w:spacing w:after="0" w:line="240" w:lineRule="auto"/>
        <w:ind w:left="425" w:hanging="425"/>
        <w:jc w:val="both"/>
        <w:rPr>
          <w:rFonts w:ascii="Times New Roman" w:hAnsi="Times New Roman"/>
          <w:b/>
          <w:bCs/>
          <w:sz w:val="24"/>
          <w:szCs w:val="24"/>
        </w:rPr>
      </w:pPr>
      <w:r w:rsidRPr="00EA5085">
        <w:rPr>
          <w:rFonts w:ascii="Times New Roman" w:hAnsi="Times New Roman"/>
          <w:b/>
          <w:bCs/>
          <w:sz w:val="24"/>
          <w:szCs w:val="24"/>
        </w:rPr>
        <w:t xml:space="preserve">4. </w:t>
      </w:r>
      <w:r w:rsidRPr="00EA5085">
        <w:rPr>
          <w:rFonts w:ascii="Times New Roman" w:hAnsi="Times New Roman"/>
          <w:b/>
          <w:bCs/>
          <w:sz w:val="24"/>
          <w:szCs w:val="24"/>
        </w:rPr>
        <w:tab/>
      </w:r>
      <w:r w:rsidRPr="00EA5085">
        <w:rPr>
          <w:rFonts w:ascii="Times New Roman" w:hAnsi="Times New Roman"/>
          <w:b/>
          <w:bCs/>
          <w:sz w:val="24"/>
          <w:szCs w:val="24"/>
        </w:rPr>
        <w:tab/>
        <w:t>Záväzky Slovenskej republiky vo vzťahu k Európskej únii:</w:t>
      </w:r>
    </w:p>
    <w:p w:rsidR="00B401C7" w:rsidRPr="00EA5085" w:rsidRDefault="00B401C7" w:rsidP="00B401C7">
      <w:pPr>
        <w:tabs>
          <w:tab w:val="left" w:pos="360"/>
        </w:tabs>
        <w:spacing w:after="0" w:line="240" w:lineRule="auto"/>
        <w:ind w:left="425" w:hanging="425"/>
        <w:jc w:val="both"/>
        <w:rPr>
          <w:rFonts w:ascii="Times New Roman" w:hAnsi="Times New Roman"/>
          <w:b/>
          <w:bCs/>
          <w:sz w:val="24"/>
          <w:szCs w:val="24"/>
        </w:rPr>
      </w:pPr>
    </w:p>
    <w:p w:rsidR="00B401C7" w:rsidRPr="001135A5" w:rsidRDefault="00B401C7" w:rsidP="00B401C7">
      <w:pPr>
        <w:pStyle w:val="Zkladntext0"/>
        <w:numPr>
          <w:ilvl w:val="0"/>
          <w:numId w:val="4"/>
        </w:numPr>
        <w:tabs>
          <w:tab w:val="left" w:pos="360"/>
          <w:tab w:val="left" w:pos="540"/>
        </w:tabs>
        <w:spacing w:after="0"/>
        <w:jc w:val="both"/>
      </w:pPr>
      <w:r w:rsidRPr="001135A5">
        <w:t>Lehota na prebratie smernice 2006/112</w:t>
      </w:r>
      <w:r w:rsidR="00FC4A3A" w:rsidRPr="001135A5">
        <w:t>/ES bola stanovená do 1.1.</w:t>
      </w:r>
      <w:r w:rsidR="009D35C3" w:rsidRPr="001135A5">
        <w:t>2008</w:t>
      </w:r>
      <w:r w:rsidR="00FC4A3A" w:rsidRPr="001135A5">
        <w:t>,</w:t>
      </w:r>
      <w:r w:rsidR="009D35C3" w:rsidRPr="001135A5">
        <w:t xml:space="preserve"> lehota na prebratie článku 2 smernice</w:t>
      </w:r>
      <w:r w:rsidR="009D35C3" w:rsidRPr="001135A5">
        <w:rPr>
          <w:bCs/>
        </w:rPr>
        <w:t xml:space="preserve"> Rady (EÚ) </w:t>
      </w:r>
      <w:r w:rsidR="009D35C3" w:rsidRPr="001135A5">
        <w:t>2017/2455 bola stanovená</w:t>
      </w:r>
      <w:r w:rsidR="0001528F" w:rsidRPr="001135A5">
        <w:t xml:space="preserve"> pôvodne</w:t>
      </w:r>
      <w:r w:rsidR="009D35C3" w:rsidRPr="001135A5">
        <w:t xml:space="preserve"> do 31.12.2020</w:t>
      </w:r>
      <w:r w:rsidR="0001528F" w:rsidRPr="001135A5">
        <w:t xml:space="preserve"> a </w:t>
      </w:r>
      <w:r w:rsidR="0001528F" w:rsidRPr="001135A5">
        <w:rPr>
          <w:rStyle w:val="Zvraznenie"/>
          <w:i w:val="0"/>
          <w:iCs w:val="0"/>
        </w:rPr>
        <w:t>rozhodnutím Rady (EÚ) 2020/1109 zmenená na 1.7.2021</w:t>
      </w:r>
      <w:r w:rsidR="00FC4A3A" w:rsidRPr="001135A5">
        <w:rPr>
          <w:rStyle w:val="Zvraznenie"/>
          <w:i w:val="0"/>
          <w:iCs w:val="0"/>
        </w:rPr>
        <w:t xml:space="preserve"> a lehota na prebratie smernice 2019/2235 bola stanovená do </w:t>
      </w:r>
      <w:r w:rsidR="0067030F" w:rsidRPr="001135A5">
        <w:rPr>
          <w:rStyle w:val="Zvraznenie"/>
          <w:i w:val="0"/>
          <w:iCs w:val="0"/>
        </w:rPr>
        <w:t>1.7.2022</w:t>
      </w:r>
      <w:r w:rsidR="009D35C3" w:rsidRPr="001135A5">
        <w:rPr>
          <w:rStyle w:val="Zvraznenie"/>
        </w:rPr>
        <w:t>.</w:t>
      </w:r>
    </w:p>
    <w:p w:rsidR="00B401C7" w:rsidRPr="00EA5085" w:rsidRDefault="00B401C7" w:rsidP="00B401C7">
      <w:pPr>
        <w:pStyle w:val="Zkladntext0"/>
        <w:numPr>
          <w:ilvl w:val="0"/>
          <w:numId w:val="4"/>
        </w:numPr>
        <w:tabs>
          <w:tab w:val="left" w:pos="360"/>
        </w:tabs>
        <w:spacing w:after="0"/>
        <w:jc w:val="both"/>
      </w:pPr>
      <w:r w:rsidRPr="00EA5085">
        <w:t>Proti Slovenskej republike nebolo začaté konanie v rámci „EÚ Pilot“, ani nebol začatý postup EK ako aj nebolo začaté konanie Súdneho dvora EÚ proti SR podľa čl. 258 až 260 Zmluvy o fungovaní Európskej únie.</w:t>
      </w:r>
    </w:p>
    <w:p w:rsidR="00B401C7" w:rsidRPr="00EA5085" w:rsidRDefault="00B401C7" w:rsidP="00B401C7">
      <w:pPr>
        <w:pStyle w:val="Zkladntext0"/>
        <w:numPr>
          <w:ilvl w:val="0"/>
          <w:numId w:val="4"/>
        </w:numPr>
        <w:tabs>
          <w:tab w:val="left" w:pos="360"/>
        </w:tabs>
        <w:spacing w:after="0"/>
        <w:jc w:val="both"/>
      </w:pPr>
      <w:r w:rsidRPr="00EA5085">
        <w:t xml:space="preserve">Smernica </w:t>
      </w:r>
      <w:r w:rsidR="00923173">
        <w:t xml:space="preserve">Rady </w:t>
      </w:r>
      <w:r w:rsidRPr="00EA5085">
        <w:t>2006/112/ES</w:t>
      </w:r>
      <w:r w:rsidR="009D35C3">
        <w:t xml:space="preserve"> a smernica</w:t>
      </w:r>
      <w:r w:rsidR="009D35C3" w:rsidRPr="009D35C3">
        <w:rPr>
          <w:bCs/>
        </w:rPr>
        <w:t xml:space="preserve"> Rady (EÚ) </w:t>
      </w:r>
      <w:r w:rsidR="009D35C3">
        <w:t>2017/2455 sú prebraté</w:t>
      </w:r>
      <w:r w:rsidRPr="00EA5085">
        <w:t xml:space="preserve"> do zákona č. 222/2004 Z. z. o dani z pridanej hodnoty v znení neskorších predpisov</w:t>
      </w:r>
      <w:r w:rsidR="005E63FC">
        <w:t>.</w:t>
      </w:r>
    </w:p>
    <w:p w:rsidR="00B401C7" w:rsidRPr="00181470" w:rsidRDefault="00B401C7" w:rsidP="00B401C7">
      <w:pPr>
        <w:pStyle w:val="Zkladntext0"/>
        <w:tabs>
          <w:tab w:val="left" w:pos="360"/>
        </w:tabs>
        <w:spacing w:after="0"/>
        <w:ind w:left="785"/>
        <w:jc w:val="both"/>
      </w:pPr>
    </w:p>
    <w:p w:rsidR="00B401C7" w:rsidRDefault="00B401C7" w:rsidP="00B401C7">
      <w:pPr>
        <w:tabs>
          <w:tab w:val="left" w:pos="360"/>
        </w:tabs>
        <w:jc w:val="both"/>
        <w:rPr>
          <w:rFonts w:ascii="Times New Roman" w:hAnsi="Times New Roman"/>
          <w:b/>
          <w:bCs/>
          <w:sz w:val="24"/>
          <w:szCs w:val="24"/>
        </w:rPr>
      </w:pPr>
      <w:r w:rsidRPr="00566CD3">
        <w:rPr>
          <w:rFonts w:ascii="Times New Roman" w:hAnsi="Times New Roman"/>
          <w:b/>
          <w:bCs/>
          <w:sz w:val="24"/>
          <w:szCs w:val="24"/>
        </w:rPr>
        <w:t xml:space="preserve">5. </w:t>
      </w:r>
      <w:r w:rsidRPr="00566CD3">
        <w:rPr>
          <w:rFonts w:ascii="Times New Roman" w:hAnsi="Times New Roman"/>
          <w:b/>
          <w:bCs/>
          <w:sz w:val="24"/>
          <w:szCs w:val="24"/>
        </w:rPr>
        <w:tab/>
        <w:t xml:space="preserve"> Návrh zákona je zlučiteľný</w:t>
      </w:r>
      <w:r>
        <w:rPr>
          <w:rFonts w:ascii="Times New Roman" w:hAnsi="Times New Roman"/>
          <w:b/>
          <w:bCs/>
          <w:sz w:val="24"/>
          <w:szCs w:val="24"/>
        </w:rPr>
        <w:t xml:space="preserve"> s právom Európskej únie: </w:t>
      </w:r>
    </w:p>
    <w:p w:rsidR="00B401C7" w:rsidRDefault="00B401C7" w:rsidP="00EA5085">
      <w:pPr>
        <w:widowControl w:val="0"/>
        <w:autoSpaceDE w:val="0"/>
        <w:autoSpaceDN w:val="0"/>
        <w:spacing w:after="0" w:line="240" w:lineRule="auto"/>
        <w:ind w:left="357"/>
        <w:contextualSpacing/>
        <w:jc w:val="both"/>
        <w:rPr>
          <w:rFonts w:ascii="Times New Roman" w:hAnsi="Times New Roman"/>
          <w:b/>
          <w:bCs/>
          <w:sz w:val="24"/>
          <w:szCs w:val="24"/>
          <w:lang w:eastAsia="sk-SK"/>
        </w:rPr>
      </w:pPr>
      <w:r w:rsidRPr="00A83A2A">
        <w:rPr>
          <w:rFonts w:ascii="Times New Roman" w:hAnsi="Times New Roman"/>
          <w:bCs/>
          <w:sz w:val="24"/>
          <w:szCs w:val="24"/>
        </w:rPr>
        <w:t>a)</w:t>
      </w:r>
      <w:r>
        <w:rPr>
          <w:rFonts w:ascii="Times New Roman" w:hAnsi="Times New Roman"/>
          <w:b/>
          <w:bCs/>
          <w:sz w:val="24"/>
          <w:szCs w:val="24"/>
        </w:rPr>
        <w:t xml:space="preserve"> </w:t>
      </w:r>
      <w:r>
        <w:rPr>
          <w:rFonts w:ascii="Times New Roman" w:hAnsi="Times New Roman"/>
          <w:b/>
          <w:bCs/>
          <w:sz w:val="24"/>
          <w:szCs w:val="24"/>
        </w:rPr>
        <w:tab/>
      </w:r>
      <w:r w:rsidRPr="00F51430">
        <w:rPr>
          <w:rFonts w:ascii="Times New Roman" w:hAnsi="Times New Roman"/>
          <w:bCs/>
          <w:sz w:val="24"/>
          <w:szCs w:val="24"/>
        </w:rPr>
        <w:t>Úplne.</w:t>
      </w:r>
    </w:p>
    <w:p w:rsidR="00575F18" w:rsidRPr="00881709" w:rsidRDefault="00575F18" w:rsidP="00EA5085">
      <w:pPr>
        <w:widowControl w:val="0"/>
        <w:autoSpaceDE w:val="0"/>
        <w:autoSpaceDN w:val="0"/>
        <w:spacing w:after="0" w:line="240" w:lineRule="auto"/>
        <w:ind w:left="357"/>
        <w:contextualSpacing/>
        <w:jc w:val="both"/>
        <w:rPr>
          <w:rFonts w:ascii="Times New Roman" w:hAnsi="Times New Roman"/>
          <w:b/>
          <w:bCs/>
          <w:sz w:val="24"/>
          <w:szCs w:val="24"/>
          <w:lang w:eastAsia="sk-SK"/>
        </w:rPr>
      </w:pPr>
    </w:p>
    <w:p w:rsidR="00575F18" w:rsidRDefault="00575F18" w:rsidP="00575F18">
      <w:pPr>
        <w:spacing w:before="120" w:beforeAutospacing="1" w:after="100" w:afterAutospacing="1" w:line="240" w:lineRule="auto"/>
        <w:ind w:left="397"/>
        <w:contextualSpacing/>
        <w:rPr>
          <w:rFonts w:ascii="Times New Roman" w:hAnsi="Times New Roman"/>
          <w:sz w:val="24"/>
          <w:szCs w:val="24"/>
          <w:lang w:eastAsia="sk-SK"/>
        </w:rPr>
      </w:pPr>
    </w:p>
    <w:p w:rsidR="00575F18" w:rsidRPr="00881709" w:rsidRDefault="00575F18" w:rsidP="00575F18">
      <w:pPr>
        <w:spacing w:before="120" w:beforeAutospacing="1" w:after="100" w:afterAutospacing="1" w:line="240" w:lineRule="auto"/>
        <w:ind w:left="397"/>
        <w:contextualSpacing/>
        <w:rPr>
          <w:rFonts w:ascii="Times New Roman" w:hAnsi="Times New Roman"/>
          <w:sz w:val="24"/>
          <w:szCs w:val="24"/>
          <w:lang w:eastAsia="sk-SK"/>
        </w:rPr>
      </w:pPr>
    </w:p>
    <w:p w:rsidR="00575F18" w:rsidRPr="00881709" w:rsidRDefault="00575F18" w:rsidP="00575F18">
      <w:pPr>
        <w:autoSpaceDE w:val="0"/>
        <w:autoSpaceDN w:val="0"/>
        <w:adjustRightInd w:val="0"/>
        <w:spacing w:after="0" w:line="240" w:lineRule="auto"/>
        <w:contextualSpacing/>
        <w:jc w:val="both"/>
        <w:rPr>
          <w:rFonts w:ascii="Times New Roman" w:hAnsi="Times New Roman"/>
          <w:b/>
          <w:sz w:val="24"/>
          <w:szCs w:val="24"/>
          <w:lang w:eastAsia="sk-SK"/>
        </w:rPr>
      </w:pPr>
    </w:p>
    <w:sectPr w:rsidR="00575F18" w:rsidRPr="00881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3"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3"/>
    <w:lvlOverride w:ilvl="0">
      <w:startOverride w:val="2"/>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18"/>
    <w:rsid w:val="0001528F"/>
    <w:rsid w:val="001135A5"/>
    <w:rsid w:val="001E621C"/>
    <w:rsid w:val="002B20D9"/>
    <w:rsid w:val="002C4B45"/>
    <w:rsid w:val="002C6A04"/>
    <w:rsid w:val="00472EE9"/>
    <w:rsid w:val="00575F18"/>
    <w:rsid w:val="005E63FC"/>
    <w:rsid w:val="00601B9B"/>
    <w:rsid w:val="0067030F"/>
    <w:rsid w:val="00670F8D"/>
    <w:rsid w:val="006724C9"/>
    <w:rsid w:val="00690210"/>
    <w:rsid w:val="00774FF8"/>
    <w:rsid w:val="00793BD6"/>
    <w:rsid w:val="00923173"/>
    <w:rsid w:val="009B4D46"/>
    <w:rsid w:val="009D35C3"/>
    <w:rsid w:val="00A900EC"/>
    <w:rsid w:val="00B27208"/>
    <w:rsid w:val="00B401C7"/>
    <w:rsid w:val="00C1036A"/>
    <w:rsid w:val="00C26AFE"/>
    <w:rsid w:val="00D20E65"/>
    <w:rsid w:val="00DA7D62"/>
    <w:rsid w:val="00E275F7"/>
    <w:rsid w:val="00E72025"/>
    <w:rsid w:val="00EA5085"/>
    <w:rsid w:val="00F06A88"/>
    <w:rsid w:val="00F65C14"/>
    <w:rsid w:val="00FC4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363EB-C3CB-4E8F-BC9E-3CE4E85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5F18"/>
    <w:pPr>
      <w:spacing w:after="200" w:line="276" w:lineRule="auto"/>
    </w:pPr>
    <w:rPr>
      <w:rFonts w:ascii="Arial Narrow" w:eastAsia="Times New Roman" w:hAnsi="Arial Narrow" w:cs="Times New Roman"/>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nhideWhenUsed/>
    <w:qFormat/>
    <w:rsid w:val="00575F18"/>
    <w:pPr>
      <w:spacing w:after="120" w:line="240" w:lineRule="auto"/>
    </w:pPr>
    <w:rPr>
      <w:rFonts w:ascii="Times New Roman" w:hAnsi="Times New Roman"/>
      <w:sz w:val="24"/>
      <w:szCs w:val="24"/>
      <w:lang w:eastAsia="sk-SK"/>
    </w:rPr>
  </w:style>
  <w:style w:type="paragraph" w:customStyle="1" w:styleId="Zkladntext">
    <w:name w:val="Zkladn text"/>
    <w:uiPriority w:val="99"/>
    <w:qFormat/>
    <w:rsid w:val="00575F18"/>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paragraph" w:styleId="Zarkazkladnhotextu">
    <w:name w:val="Body Text Indent"/>
    <w:basedOn w:val="Normlny"/>
    <w:link w:val="ZarkazkladnhotextuChar"/>
    <w:uiPriority w:val="99"/>
    <w:rsid w:val="00B401C7"/>
    <w:pPr>
      <w:spacing w:after="0" w:line="240" w:lineRule="auto"/>
      <w:ind w:firstLine="709"/>
      <w:jc w:val="both"/>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B401C7"/>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rsid w:val="00B401C7"/>
    <w:pPr>
      <w:spacing w:after="120" w:line="240" w:lineRule="auto"/>
    </w:pPr>
    <w:rPr>
      <w:rFonts w:ascii="Times New Roman" w:hAnsi="Times New Roman"/>
      <w:sz w:val="24"/>
      <w:szCs w:val="24"/>
      <w:lang w:eastAsia="cs-CZ"/>
    </w:rPr>
  </w:style>
  <w:style w:type="character" w:customStyle="1" w:styleId="ZkladntextChar">
    <w:name w:val="Základný text Char"/>
    <w:basedOn w:val="Predvolenpsmoodseku"/>
    <w:link w:val="Zkladntext0"/>
    <w:uiPriority w:val="99"/>
    <w:rsid w:val="00B401C7"/>
    <w:rPr>
      <w:rFonts w:ascii="Times New Roman" w:eastAsia="Times New Roman" w:hAnsi="Times New Roman" w:cs="Times New Roman"/>
      <w:sz w:val="24"/>
      <w:szCs w:val="24"/>
      <w:lang w:eastAsia="cs-CZ"/>
    </w:rPr>
  </w:style>
  <w:style w:type="character" w:styleId="Zvraznenie">
    <w:name w:val="Emphasis"/>
    <w:uiPriority w:val="20"/>
    <w:qFormat/>
    <w:rsid w:val="00B401C7"/>
    <w:rPr>
      <w:i/>
      <w:iCs/>
    </w:rPr>
  </w:style>
  <w:style w:type="paragraph" w:styleId="Odsekzoznamu">
    <w:name w:val="List Paragraph"/>
    <w:basedOn w:val="Normlny"/>
    <w:uiPriority w:val="99"/>
    <w:qFormat/>
    <w:rsid w:val="00B401C7"/>
    <w:pPr>
      <w:widowControl w:val="0"/>
      <w:adjustRightInd w:val="0"/>
      <w:spacing w:after="0" w:line="240" w:lineRule="auto"/>
      <w:ind w:left="720"/>
      <w:contextualSpacing/>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B401C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401C7"/>
    <w:rPr>
      <w:rFonts w:ascii="Segoe UI" w:eastAsia="Times New Roman" w:hAnsi="Segoe UI" w:cs="Segoe UI"/>
      <w:sz w:val="18"/>
      <w:szCs w:val="18"/>
    </w:rPr>
  </w:style>
  <w:style w:type="character" w:styleId="Hypertextovprepojenie">
    <w:name w:val="Hyperlink"/>
    <w:basedOn w:val="Predvolenpsmoodseku"/>
    <w:uiPriority w:val="99"/>
    <w:semiHidden/>
    <w:unhideWhenUsed/>
    <w:rsid w:val="00670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5385</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Blazekova Lucia</cp:lastModifiedBy>
  <cp:revision>13</cp:revision>
  <dcterms:created xsi:type="dcterms:W3CDTF">2021-05-13T09:29:00Z</dcterms:created>
  <dcterms:modified xsi:type="dcterms:W3CDTF">2021-06-15T07:41:00Z</dcterms:modified>
</cp:coreProperties>
</file>