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74EDB" w:rsidRPr="002E32C0" w:rsidTr="007B71A4">
        <w:trPr>
          <w:trHeight w:val="566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413E9A" w:rsidP="00413E9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2E32C0">
              <w:rPr>
                <w:b/>
                <w:sz w:val="28"/>
                <w:szCs w:val="24"/>
              </w:rPr>
              <w:t>Analýza v</w:t>
            </w:r>
            <w:r w:rsidR="00374EDB" w:rsidRPr="002E32C0">
              <w:rPr>
                <w:b/>
                <w:sz w:val="28"/>
                <w:szCs w:val="24"/>
              </w:rPr>
              <w:t>plyv</w:t>
            </w:r>
            <w:r w:rsidRPr="002E32C0">
              <w:rPr>
                <w:b/>
                <w:sz w:val="28"/>
                <w:szCs w:val="24"/>
              </w:rPr>
              <w:t>ov</w:t>
            </w:r>
            <w:r w:rsidR="00374EDB" w:rsidRPr="002E32C0">
              <w:rPr>
                <w:b/>
                <w:sz w:val="28"/>
                <w:szCs w:val="24"/>
              </w:rPr>
              <w:t xml:space="preserve"> na životné prostredie</w:t>
            </w:r>
          </w:p>
        </w:tc>
      </w:tr>
      <w:tr w:rsidR="00374EDB" w:rsidRPr="002E32C0" w:rsidTr="007B71A4">
        <w:trPr>
          <w:trHeight w:val="688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i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374EDB" w:rsidRPr="002E32C0" w:rsidTr="007B71A4">
        <w:trPr>
          <w:trHeight w:val="995"/>
        </w:trPr>
        <w:tc>
          <w:tcPr>
            <w:tcW w:w="9212" w:type="dxa"/>
          </w:tcPr>
          <w:p w:rsidR="00374EDB" w:rsidRPr="002E32C0" w:rsidRDefault="00136BFE" w:rsidP="007B71A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Návrh zákona bude mať pozitívny vplyv na životné prostredie. Ustanovenia návrhu zákona ukladajú, resp. umožňujú uložiť (rozhodnutím Úradu pre reguláciu elektronických komunikácií a poštových služieb) vybraným subjektom povinnosť navzájom spolupracovať pri výstavbe elektronických komunikačných sietí alebo spolupracovať s inými subjektmi, ktoré disponujú infraštruktúrou, ktorú je možné využiť pri budovaní elektronických komunikačných sietí. Týmito opatreniami (napr. koordinácia výstavby sietí, spoločné investovanie do výstavby sietí, využívanie existujúcich voľných kapacít fyzickej </w:t>
            </w:r>
            <w:r w:rsidR="00B83191">
              <w:rPr>
                <w:i/>
                <w:sz w:val="24"/>
                <w:szCs w:val="24"/>
              </w:rPr>
              <w:t>infraštruktúry</w:t>
            </w:r>
            <w:r>
              <w:rPr>
                <w:i/>
                <w:sz w:val="24"/>
                <w:szCs w:val="24"/>
              </w:rPr>
              <w:t>) sa minimalizujú nadmerné zásahy</w:t>
            </w:r>
            <w:r w:rsidR="00B83191">
              <w:rPr>
                <w:i/>
                <w:sz w:val="24"/>
                <w:szCs w:val="24"/>
              </w:rPr>
              <w:t xml:space="preserve"> do</w:t>
            </w:r>
            <w:r>
              <w:rPr>
                <w:i/>
                <w:sz w:val="24"/>
                <w:szCs w:val="24"/>
              </w:rPr>
              <w:t xml:space="preserve"> životného prostredia, najmä vo forme výkopových prác a zvyšovania počtu podzemných vedení elektronických komunikačných sietí. </w:t>
            </w:r>
          </w:p>
        </w:tc>
      </w:tr>
      <w:tr w:rsidR="00374EDB" w:rsidRPr="002E32C0" w:rsidTr="007B71A4">
        <w:trPr>
          <w:trHeight w:val="404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 xml:space="preserve">5.2 Bude mať predkladaný materiál vplyv na chránené územia a ak áno, aký? </w:t>
            </w:r>
          </w:p>
        </w:tc>
      </w:tr>
      <w:tr w:rsidR="00374EDB" w:rsidRPr="002E32C0" w:rsidTr="007B71A4">
        <w:trPr>
          <w:trHeight w:val="987"/>
        </w:trPr>
        <w:tc>
          <w:tcPr>
            <w:tcW w:w="9212" w:type="dxa"/>
          </w:tcPr>
          <w:p w:rsidR="00374EDB" w:rsidRPr="002E32C0" w:rsidRDefault="00B83191" w:rsidP="007B71A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Nie</w:t>
            </w:r>
          </w:p>
        </w:tc>
      </w:tr>
      <w:tr w:rsidR="00374EDB" w:rsidRPr="002E32C0" w:rsidTr="007B71A4">
        <w:trPr>
          <w:trHeight w:val="698"/>
        </w:trPr>
        <w:tc>
          <w:tcPr>
            <w:tcW w:w="9212" w:type="dxa"/>
            <w:shd w:val="clear" w:color="auto" w:fill="D9D9D9"/>
            <w:vAlign w:val="center"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374EDB" w:rsidRPr="002E32C0" w:rsidTr="007B71A4">
        <w:trPr>
          <w:trHeight w:val="969"/>
        </w:trPr>
        <w:tc>
          <w:tcPr>
            <w:tcW w:w="9212" w:type="dxa"/>
          </w:tcPr>
          <w:p w:rsidR="00374EDB" w:rsidRPr="002E32C0" w:rsidRDefault="00B83191" w:rsidP="007B71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Nie</w:t>
            </w:r>
          </w:p>
        </w:tc>
      </w:tr>
      <w:tr w:rsidR="00374EDB" w:rsidRPr="002E32C0" w:rsidTr="007B71A4">
        <w:trPr>
          <w:trHeight w:val="713"/>
        </w:trPr>
        <w:tc>
          <w:tcPr>
            <w:tcW w:w="9212" w:type="dxa"/>
            <w:shd w:val="clear" w:color="auto" w:fill="D9D9D9"/>
            <w:vAlign w:val="center"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 w:rsidR="00374EDB" w:rsidRPr="002E32C0" w:rsidTr="007B71A4">
        <w:trPr>
          <w:trHeight w:val="979"/>
        </w:trPr>
        <w:tc>
          <w:tcPr>
            <w:tcW w:w="9212" w:type="dxa"/>
            <w:shd w:val="clear" w:color="auto" w:fill="FFFFFF"/>
          </w:tcPr>
          <w:p w:rsidR="00374EDB" w:rsidRPr="002E32C0" w:rsidRDefault="00B83191" w:rsidP="007B71A4">
            <w:pPr>
              <w:jc w:val="both"/>
              <w:rPr>
                <w:b/>
                <w:sz w:val="24"/>
                <w:szCs w:val="24"/>
              </w:rPr>
            </w:pPr>
            <w:r w:rsidRPr="00B83191">
              <w:rPr>
                <w:i/>
                <w:sz w:val="24"/>
                <w:szCs w:val="24"/>
              </w:rPr>
              <w:t xml:space="preserve">Vzhľadom na to, že </w:t>
            </w:r>
            <w:r>
              <w:rPr>
                <w:i/>
                <w:sz w:val="24"/>
                <w:szCs w:val="24"/>
              </w:rPr>
              <w:t>návrh zákona nemá negatívne vplyvy na životné prostredie, nie sú potrebné žiadne opatrenia.</w:t>
            </w:r>
          </w:p>
        </w:tc>
      </w:tr>
    </w:tbl>
    <w:p w:rsidR="00CB3623" w:rsidRPr="002E32C0" w:rsidRDefault="00CB3623" w:rsidP="00B83191">
      <w:pPr>
        <w:jc w:val="center"/>
      </w:pPr>
    </w:p>
    <w:sectPr w:rsidR="00CB3623" w:rsidRPr="002E32C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ED9" w:rsidRDefault="00301ED9" w:rsidP="00374EDB">
      <w:r>
        <w:separator/>
      </w:r>
    </w:p>
  </w:endnote>
  <w:endnote w:type="continuationSeparator" w:id="0">
    <w:p w:rsidR="00301ED9" w:rsidRDefault="00301ED9" w:rsidP="0037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515198327"/>
      <w:docPartObj>
        <w:docPartGallery w:val="Page Numbers (Bottom of Page)"/>
        <w:docPartUnique/>
      </w:docPartObj>
    </w:sdtPr>
    <w:sdtEndPr/>
    <w:sdtContent>
      <w:p w:rsidR="00374EDB" w:rsidRPr="00374EDB" w:rsidRDefault="00374EDB">
        <w:pPr>
          <w:pStyle w:val="Pta"/>
          <w:jc w:val="right"/>
          <w:rPr>
            <w:sz w:val="22"/>
          </w:rPr>
        </w:pPr>
        <w:r w:rsidRPr="00374EDB">
          <w:rPr>
            <w:sz w:val="22"/>
          </w:rPr>
          <w:fldChar w:fldCharType="begin"/>
        </w:r>
        <w:r w:rsidRPr="00374EDB">
          <w:rPr>
            <w:sz w:val="22"/>
          </w:rPr>
          <w:instrText>PAGE   \* MERGEFORMAT</w:instrText>
        </w:r>
        <w:r w:rsidRPr="00374EDB">
          <w:rPr>
            <w:sz w:val="22"/>
          </w:rPr>
          <w:fldChar w:fldCharType="separate"/>
        </w:r>
        <w:r w:rsidR="00DB1D36">
          <w:rPr>
            <w:noProof/>
            <w:sz w:val="22"/>
          </w:rPr>
          <w:t>1</w:t>
        </w:r>
        <w:r w:rsidRPr="00374EDB">
          <w:rPr>
            <w:sz w:val="22"/>
          </w:rPr>
          <w:fldChar w:fldCharType="end"/>
        </w:r>
      </w:p>
    </w:sdtContent>
  </w:sdt>
  <w:p w:rsidR="00374EDB" w:rsidRDefault="00374ED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ED9" w:rsidRDefault="00301ED9" w:rsidP="00374EDB">
      <w:r>
        <w:separator/>
      </w:r>
    </w:p>
  </w:footnote>
  <w:footnote w:type="continuationSeparator" w:id="0">
    <w:p w:rsidR="00301ED9" w:rsidRDefault="00301ED9" w:rsidP="00374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EDB" w:rsidRDefault="00374EDB" w:rsidP="00374EDB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5</w:t>
    </w:r>
  </w:p>
  <w:p w:rsidR="00374EDB" w:rsidRDefault="00374ED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DF"/>
    <w:rsid w:val="00023CD5"/>
    <w:rsid w:val="000E6199"/>
    <w:rsid w:val="00136BFE"/>
    <w:rsid w:val="002E32C0"/>
    <w:rsid w:val="00301ED9"/>
    <w:rsid w:val="0031319E"/>
    <w:rsid w:val="00374EDB"/>
    <w:rsid w:val="00413E9A"/>
    <w:rsid w:val="004B6669"/>
    <w:rsid w:val="00702CAB"/>
    <w:rsid w:val="007604EE"/>
    <w:rsid w:val="00A96EDF"/>
    <w:rsid w:val="00B83191"/>
    <w:rsid w:val="00CB3623"/>
    <w:rsid w:val="00DB1D36"/>
    <w:rsid w:val="00E9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AF5FE-DEC6-47F6-80F9-11DFE06C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Jánošíková, Michaela</cp:lastModifiedBy>
  <cp:revision>2</cp:revision>
  <dcterms:created xsi:type="dcterms:W3CDTF">2021-02-18T13:52:00Z</dcterms:created>
  <dcterms:modified xsi:type="dcterms:W3CDTF">2021-02-18T13:52:00Z</dcterms:modified>
</cp:coreProperties>
</file>