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91" w:rsidRDefault="009C3691" w:rsidP="009C3691">
      <w:pPr>
        <w:pStyle w:val="Nzov"/>
      </w:pPr>
      <w:r>
        <w:t>ZBIERKA</w:t>
      </w:r>
      <w:r>
        <w:rPr>
          <w:spacing w:val="45"/>
        </w:rPr>
        <w:t xml:space="preserve"> </w:t>
      </w:r>
      <w:r>
        <w:rPr>
          <w:noProof/>
          <w:spacing w:val="45"/>
          <w:position w:val="-10"/>
          <w:lang w:eastAsia="sk-SK"/>
        </w:rPr>
        <w:drawing>
          <wp:inline distT="0" distB="0" distL="0" distR="0" wp14:anchorId="446114D3" wp14:editId="5B68C2EF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ZÁKONOV</w:t>
      </w:r>
    </w:p>
    <w:p w:rsidR="009C3691" w:rsidRDefault="009C3691" w:rsidP="009C3691">
      <w:pPr>
        <w:spacing w:before="8"/>
        <w:ind w:left="105" w:right="105"/>
        <w:jc w:val="center"/>
        <w:rPr>
          <w:sz w:val="34"/>
        </w:rPr>
      </w:pPr>
      <w:r>
        <w:rPr>
          <w:sz w:val="34"/>
        </w:rPr>
        <w:t>SLOVENSKEJ REPUBLIKY</w:t>
      </w:r>
    </w:p>
    <w:p w:rsidR="009C3691" w:rsidRDefault="009C3691" w:rsidP="009C3691">
      <w:pPr>
        <w:spacing w:before="168"/>
        <w:ind w:left="105" w:right="105"/>
        <w:jc w:val="center"/>
        <w:rPr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0B3452" wp14:editId="11E32467">
                <wp:simplePos x="0" y="0"/>
                <wp:positionH relativeFrom="page">
                  <wp:posOffset>701675</wp:posOffset>
                </wp:positionH>
                <wp:positionV relativeFrom="paragraph">
                  <wp:posOffset>412115</wp:posOffset>
                </wp:positionV>
                <wp:extent cx="6155690" cy="1270"/>
                <wp:effectExtent l="0" t="0" r="0" b="0"/>
                <wp:wrapTopAndBottom/>
                <wp:docPr id="6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8D15" id="Freeform 26" o:spid="_x0000_s1026" style="position:absolute;margin-left:55.25pt;margin-top:32.45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Ročník 2003</w:t>
      </w:r>
    </w:p>
    <w:p w:rsidR="009C3691" w:rsidRDefault="009C3691" w:rsidP="009C3691">
      <w:pPr>
        <w:tabs>
          <w:tab w:val="left" w:pos="4991"/>
        </w:tabs>
        <w:spacing w:before="10" w:line="355" w:lineRule="auto"/>
        <w:ind w:left="105" w:right="103"/>
        <w:jc w:val="center"/>
      </w:pPr>
      <w:r>
        <w:t xml:space="preserve">Vyhlásené: </w:t>
      </w:r>
      <w:r>
        <w:tab/>
        <w:t>Časová verzia predpisu účinná od: 3.5.2021</w:t>
      </w:r>
    </w:p>
    <w:p w:rsidR="009C3691" w:rsidRDefault="009C3691" w:rsidP="009C3691">
      <w:pPr>
        <w:tabs>
          <w:tab w:val="left" w:pos="4991"/>
        </w:tabs>
        <w:spacing w:before="10" w:line="355" w:lineRule="auto"/>
        <w:ind w:left="105" w:right="103"/>
        <w:jc w:val="center"/>
      </w:pPr>
      <w:r>
        <w:t>Obsah dokumentu je právne záväzný.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608</w:t>
      </w:r>
    </w:p>
    <w:p w:rsidR="009C3691" w:rsidRDefault="009C3691" w:rsidP="009C36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9C36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ZÁKON</w:t>
      </w:r>
    </w:p>
    <w:p w:rsidR="009C3691" w:rsidRPr="009C3691" w:rsidRDefault="009C3691" w:rsidP="009C369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 3. decembra 2003</w:t>
      </w:r>
    </w:p>
    <w:p w:rsidR="009C3691" w:rsidRPr="009C3691" w:rsidRDefault="009C3691" w:rsidP="009C36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 štátnej správe pre územné plánovanie, stavebný poriadok a bývanie a o zmene a doplnení zákona č. </w:t>
      </w:r>
      <w:hyperlink r:id="rId6" w:tooltip="Odkaz na predpis alebo ustanovenie" w:history="1">
        <w:r w:rsidRPr="009C3691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o územnom plánovaní a stavebnom poriadku (stavebný zákon) v znení neskorších predpisov</w:t>
      </w:r>
    </w:p>
    <w:p w:rsidR="007A66DB" w:rsidRDefault="007A66DB" w:rsidP="007A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7A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Národná rada Slovenskej republiky sa uzniesla na tomto zákone:</w:t>
      </w:r>
    </w:p>
    <w:p w:rsid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Čl. I</w:t>
      </w:r>
    </w:p>
    <w:p w:rsidR="007A66DB" w:rsidRDefault="007A66DB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1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</w:p>
    <w:p w:rsidR="00706EAD" w:rsidRPr="00D41CD2" w:rsidRDefault="009C3691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Orgány štátnej správy pre územné plánovanie, stavebný poriadok a</w:t>
      </w:r>
      <w:r w:rsidR="00706EAD" w:rsidRPr="00D41CD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</w:t>
      </w:r>
      <w:r w:rsidRPr="00D41CD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bývanie</w:t>
      </w:r>
    </w:p>
    <w:p w:rsidR="00D41CD2" w:rsidRPr="00D41CD2" w:rsidRDefault="00D41CD2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sk-SK"/>
        </w:rPr>
      </w:pPr>
    </w:p>
    <w:p w:rsidR="009C3691" w:rsidRPr="00D41CD2" w:rsidRDefault="009C3691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(1) Štátnu správu na úsekoch územného plánovania, stavebného poriadku a bývania vykonávajú:</w:t>
      </w:r>
    </w:p>
    <w:p w:rsidR="007A66DB" w:rsidRPr="00D41CD2" w:rsidRDefault="007A66DB" w:rsidP="007A66D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 dopravy, výstavby a regionálneho rozvoja Slovenskej republiky (ďalej len „ministerstvo“)</w:t>
      </w:r>
      <w:r w:rsidR="00EF1137" w:rsidRPr="00D41CD2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Ministerstvo dopravy Slovenskej republiky (ďalej len „ministerstvo“),</w:t>
      </w:r>
    </w:p>
    <w:p w:rsidR="007D3DB6" w:rsidRPr="00D41CD2" w:rsidRDefault="007D3DB6" w:rsidP="007A66D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 pre územné plánovanie a výstavbu Slovenskej republiky (ďalej len „úrad“),</w:t>
      </w:r>
    </w:p>
    <w:p w:rsidR="007A66DB" w:rsidRPr="00D41CD2" w:rsidRDefault="007A66DB" w:rsidP="007A66D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148BE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obvodný úrad v sídle kraja</w:t>
      </w:r>
      <w:r w:rsidR="00EF1137" w:rsidRPr="00B148BE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EF1137"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okresný úrad v sídle kraja</w:t>
      </w: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9C3691" w:rsidRPr="00D41CD2" w:rsidRDefault="009C3691" w:rsidP="009C369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obec v rozsahu ustanovenom osobitnými predpismi,</w:t>
      </w:r>
      <w:hyperlink r:id="rId7" w:anchor="poznamky.poznamka-1" w:tooltip="Odkaz na predpis alebo ustanovenie" w:history="1"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1</w:t>
        </w:r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9C3691" w:rsidRPr="00D41CD2" w:rsidRDefault="009C3691" w:rsidP="009C369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Slovenská stavebná inšpekcia v rozsahu ustanovenom osobitným predpisom.</w:t>
      </w:r>
      <w:hyperlink r:id="rId8" w:anchor="poznamky.poznamka-2" w:tooltip="Odkaz na predpis alebo ustanovenie" w:history="1"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2</w:t>
        </w:r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C440CF" w:rsidRPr="00D41CD2" w:rsidRDefault="00C440CF" w:rsidP="00C440CF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</w:p>
    <w:p w:rsidR="009C3691" w:rsidRPr="00D41CD2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(2) Štátnu správu na úseku územného plánovania a stavebného poriadku vykonávajú aj iné orgány v rozsahu ustanovenom osobitným predpisom.</w:t>
      </w:r>
      <w:hyperlink r:id="rId9" w:anchor="poznamky.poznamka-3" w:tooltip="Odkaz na predpis alebo ustanovenie" w:history="1"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3</w:t>
        </w:r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7D3DB6" w:rsidRDefault="007D3DB6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7D3DB6" w:rsidRPr="007D3DB6" w:rsidRDefault="007D3DB6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b/>
          <w:color w:val="FF0000"/>
          <w:sz w:val="20"/>
          <w:szCs w:val="20"/>
        </w:rPr>
        <w:t>§ 1a</w:t>
      </w:r>
    </w:p>
    <w:p w:rsidR="007D3DB6" w:rsidRPr="007D3DB6" w:rsidRDefault="007D3DB6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b/>
          <w:color w:val="FF0000"/>
          <w:sz w:val="20"/>
          <w:szCs w:val="20"/>
        </w:rPr>
        <w:t>Pôsobnosť ministerstva</w:t>
      </w:r>
    </w:p>
    <w:p w:rsidR="007D3DB6" w:rsidRPr="007D3DB6" w:rsidRDefault="007D3DB6" w:rsidP="007D3DB6">
      <w:pPr>
        <w:pStyle w:val="Odsekzoznamu"/>
        <w:spacing w:after="200" w:line="240" w:lineRule="auto"/>
        <w:ind w:left="426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7D3DB6" w:rsidRPr="007D3DB6" w:rsidRDefault="007D3DB6" w:rsidP="007D3DB6">
      <w:pPr>
        <w:pStyle w:val="Odsekzoznamu"/>
        <w:spacing w:after="200"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Ministerstvo na úseku bývania pri tvorbe a uskutočňovaní bytovej politiky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navrhuje základné ciele štátnej bytovej politiky s nevyhnutnými väzbami na sociálnu politiku a finančnú politiku,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spracúva koncepcie v oblasti bývania a navrhuje opatrenia na ich implementáciu,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koordinuje a metodicky usmerňuje orgány samosprávy miest a obcí a orgány miestnej štátnej správy,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vykonáva dohľad a kontrolu nad dodržiavaním všeobecne záväzných právnych predpisov v oblasti štátnej podpory rozvoja bývania,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vykonáva správu Štátneho fondu rozvoja bývania (ďalej len „fond“),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zabezpečuje výkon činností a kontroly vynakladania verejných finančných zdrojov na rozvoj bývania,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spolupracuje s inými ústrednými orgánmi štátnej správy pri tvorbe opatrení súvisiacich s rozvojom bývania,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navrhuje, organizuje a zabezpečuje databázu o kvalitatívnom a kvantitatívnom stave bytového fondu,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navrhuje riešenia v oblasti nájomného a poplatkov za služby spojené s užívaním bytov,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zabezpečuje tvorbu metodických materiálov pre užívateľov bytov,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vypracúva analýzy úrovne bývania a ekonomických podmienok na rozvoj bývania,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navrhuje formy podpory štátu a poskytuje vybrané druhy podpôr pre rozvoj bývania,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lastRenderedPageBreak/>
        <w:t>zabezpečuje metodické usmerňovanie programov rozvoja bývania a miestnych bytových politík,</w:t>
      </w:r>
    </w:p>
    <w:p w:rsidR="007D3DB6" w:rsidRPr="007D3DB6" w:rsidRDefault="007D3DB6" w:rsidP="007D3DB6">
      <w:pPr>
        <w:pStyle w:val="Odsekzoznamu"/>
        <w:numPr>
          <w:ilvl w:val="0"/>
          <w:numId w:val="32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D3DB6">
        <w:rPr>
          <w:rFonts w:ascii="Times New Roman" w:hAnsi="Times New Roman" w:cs="Times New Roman"/>
          <w:color w:val="FF0000"/>
          <w:sz w:val="20"/>
          <w:szCs w:val="20"/>
        </w:rPr>
        <w:t>je oprávnené spracúvať osobné údaje o fyzických osobách podľa osobitného predpisu,</w:t>
      </w:r>
      <w:r w:rsidRPr="007D3DB6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6b</w:t>
      </w:r>
      <w:r w:rsidRPr="007D3DB6">
        <w:rPr>
          <w:rFonts w:ascii="Times New Roman" w:hAnsi="Times New Roman" w:cs="Times New Roman"/>
          <w:color w:val="FF0000"/>
          <w:sz w:val="20"/>
          <w:szCs w:val="20"/>
        </w:rPr>
        <w:t>) ktoré užívajú byty v nájomnom vzťahu, na ktorý sa vzťahuje regulácia cien nájmu podľa osobitného predpisu,</w:t>
      </w:r>
      <w:r w:rsidRPr="007D3DB6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6c</w:t>
      </w:r>
      <w:r w:rsidRPr="007D3DB6">
        <w:rPr>
          <w:rFonts w:ascii="Times New Roman" w:hAnsi="Times New Roman" w:cs="Times New Roman"/>
          <w:color w:val="FF0000"/>
          <w:sz w:val="20"/>
          <w:szCs w:val="20"/>
        </w:rPr>
        <w:t>) a o fyzických osobách žijúcich s nimi v spoločnej domácnosti; dátum narodenia a adresu jej trvalého pobytu, celkovú podlahovú plochu bytu a výšku nájomného.</w:t>
      </w:r>
    </w:p>
    <w:p w:rsidR="007D3DB6" w:rsidRDefault="007D3DB6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1F1DF0" w:rsidRDefault="001F1DF0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D41CD2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2</w:t>
      </w:r>
    </w:p>
    <w:p w:rsidR="009C3691" w:rsidRPr="00D41CD2" w:rsidRDefault="009C3691" w:rsidP="009C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</w:p>
    <w:p w:rsidR="00706EAD" w:rsidRPr="002E6E22" w:rsidRDefault="009C3691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Pôsobnosť ministerstva</w:t>
      </w:r>
      <w:r w:rsidR="00EF1137" w:rsidRPr="002E6E22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 xml:space="preserve"> </w:t>
      </w:r>
    </w:p>
    <w:p w:rsidR="009C3691" w:rsidRPr="00D41CD2" w:rsidRDefault="00706EAD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 xml:space="preserve">Pôsobnosť </w:t>
      </w:r>
      <w:r w:rsidR="00EF1137" w:rsidRPr="00D41CD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>úradu</w:t>
      </w:r>
    </w:p>
    <w:p w:rsidR="00706EAD" w:rsidRPr="00706EAD" w:rsidRDefault="00706EAD" w:rsidP="0070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</w:pPr>
    </w:p>
    <w:p w:rsidR="009C3691" w:rsidRPr="00D41CD2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="00EF1137"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Úrad</w:t>
      </w:r>
    </w:p>
    <w:p w:rsidR="009C3691" w:rsidRPr="00D41CD2" w:rsidRDefault="009C3691" w:rsidP="00C440CF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na úseku územného plánovania</w:t>
      </w:r>
    </w:p>
    <w:p w:rsidR="007A66DB" w:rsidRPr="00D41CD2" w:rsidRDefault="007A66DB" w:rsidP="007A66DB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koordinuje činnosť ústredných orgánov štátnej správy, </w:t>
      </w:r>
      <w:r w:rsidRPr="00B148BE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obvodných úradov v sídle kraja</w:t>
      </w:r>
      <w:r w:rsidR="00EF1137"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okresných úradov v sídle kraja</w:t>
      </w: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, samosprávnych krajov a obcí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je dotknutým orgánom štátnej správy pri prerokúvaní koncepcií, politík a programov ministerstiev a samosprávnych krajov,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vypracúva metodiku obstarávania územných plánov regiónov, územných plánov obcí a územných plánov zón a metodicky usmerňuje orgány územného plánovania,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organizuje vzdelávanie zamestnancov samosprávnych krajov a obcí, ktoré obstarávajú územnoplánovacie podklady a územnoplánovacie dokumenty,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overuje skúškou odbornú spôsobilosť na obstarávanie územnoplánovacej dokumentácie a územnoplánovacích podkladov obcami a samosprávnymi krajmi,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vedie register odborne spôsobilých osôb,</w:t>
      </w:r>
      <w:hyperlink r:id="rId10" w:anchor="poznamky.poznamka-4" w:tooltip="Odkaz na predpis alebo ustanovenie" w:history="1"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4</w:t>
        </w:r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zabezpečuje spoluprácu s inými štátmi, medzinárodnými organizáciami a s orgánmi Európskej únie,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obstaráva Stratégiu územného rozvoja Slovenska a jej aktualizáciu,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obstaráva Koncepciu územného rozvoja Slovenska a jej aktualizáciu a predkladá ju vláde na schválenie,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zverejňuje Koncepciu územného rozvoja Slovenska,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obstaráva územno-technické podklady a poveruje ostatné orgány územného plánovania ich obstaraním,</w:t>
      </w:r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posudzuje zadanie a návrh územného plánu regiónu a návrh zmien a doplnkov územného plánu regiónu,</w:t>
      </w:r>
    </w:p>
    <w:p w:rsidR="009C3691" w:rsidRPr="00B97EA0" w:rsidRDefault="00B97EA0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je správcom a prevádzkovateľom informačného systému územného plánovania a výstavby,</w:t>
      </w:r>
      <w:bookmarkStart w:id="0" w:name="_GoBack"/>
      <w:bookmarkEnd w:id="0"/>
    </w:p>
    <w:p w:rsidR="009C3691" w:rsidRPr="00D41CD2" w:rsidRDefault="009C3691" w:rsidP="00C440CF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predkladá vláde každé štyri roky správu o stave v oblasti územného rozvoja Slovenskej republiky,</w:t>
      </w:r>
    </w:p>
    <w:p w:rsidR="009C3691" w:rsidRPr="00D41CD2" w:rsidRDefault="009C3691" w:rsidP="00C440CF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na úseku stavebného poriadku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vypracúva koncepcie a smery rozvoja na úseku územného rozhodovania, stavebného poriadku, štátneho stavebného dohľadu, stavebnej inšpekcie a postupu vyvlastnenia,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zabezpečuje spoluprácu s inými štátmi, medzinárodnými organizáciami a s orgánmi Európskej únie,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spolupracuje s Európskou komisiou na úseku uznávania odborných kvalifikácií pre výkon povolaní architekt a stavebný inžinier,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vytvára koncepciu bezpečnosti a vhodnosti výstavby a jednotnej technickej politiky určením všeobecných technických požiadaviek na výstavbu,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vykonáva štátnu stavebnú správu, riadi a kontroluje jej výkon,</w:t>
      </w:r>
    </w:p>
    <w:p w:rsidR="007A66DB" w:rsidRPr="00D41CD2" w:rsidRDefault="007A66DB" w:rsidP="007A66DB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metodicky usmerňuje činnosť </w:t>
      </w:r>
      <w:r w:rsidRPr="00B148BE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obvodného úradu v sídle kraja</w:t>
      </w:r>
      <w:r w:rsidR="00EF1137" w:rsidRPr="00B148BE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 </w:t>
      </w:r>
      <w:r w:rsidR="00EF1137" w:rsidRPr="00B148BE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okresného úradu v sídle kraja</w:t>
      </w: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, stavebného úradu a Slovenskej stavebnej inšpekcie,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zabezpečuje hlavný štátny stavebný dohľad,</w:t>
      </w:r>
    </w:p>
    <w:p w:rsidR="007A66DB" w:rsidRPr="00D41CD2" w:rsidRDefault="007A66DB" w:rsidP="001F1DF0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preskúmava rozhodnutia </w:t>
      </w:r>
      <w:r w:rsidRPr="00B148BE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obvodného úradu v sídle kraja</w:t>
      </w:r>
      <w:r w:rsidRPr="00B148BE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EF1137" w:rsidRPr="00B148BE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okresného úradu v sídle kraja </w:t>
      </w: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vydané v správnom konaní,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koordinuje uplatňovanie stavebného zákona špeciálnymi, vojenskými a inými stavebnými úradmi,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koordinuje postupy správnych orgánov preskúmavajúcich záujmy chránené osobitnými predpismi v konaniach podľa stavebného zákona,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po prerokovaní s príslušnými ústrednými orgánmi rozhoduje o rozporoch v konaniach podľa stavebného zákona v prípade, že sa vzniknutý rozpor neodstráni dohodou medzi príslušnými dotknutými správnymi orgánmi,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určuje obsah a rozsah odbornej prípravy a postup pri overovaní a osvedčovaní osobitného kvalifikačného predpokladu na výkon činnosti stavebného úradu,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určuje v spolupráci so Slovenskou komorou architektov a Slovenskou komorou stavebných inžinierov obsah odbornej skúšky, vymenúva členov skúšobnej komisie, navrhuje preskúšanie a koordinuje činnosti týchto komôr,</w:t>
      </w:r>
    </w:p>
    <w:p w:rsidR="009C3691" w:rsidRPr="00D41CD2" w:rsidRDefault="009C3691" w:rsidP="00C440CF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pri prevode majetku štátu podľa osobitného predpisu</w:t>
      </w:r>
      <w:hyperlink r:id="rId11" w:anchor="poznamky.poznamka-5" w:tooltip="Odkaz na predpis alebo ustanovenie" w:history="1"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5</w:t>
        </w:r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D41CD2">
        <w:rPr>
          <w:rFonts w:ascii="Times New Roman" w:eastAsia="Times New Roman" w:hAnsi="Times New Roman" w:cs="Times New Roman"/>
          <w:sz w:val="20"/>
          <w:szCs w:val="20"/>
          <w:lang w:eastAsia="sk-SK"/>
        </w:rPr>
        <w:t> sa vyjadruje, či sú splnené podmienky na vyvlastnenie podľa osobitného predpisu,</w:t>
      </w:r>
      <w:hyperlink r:id="rId12" w:anchor="poznamky.poznamka-6" w:tooltip="Odkaz na predpis alebo ustanovenie" w:history="1"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6</w:t>
        </w:r>
        <w:r w:rsidRPr="00D41CD2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9C3691" w:rsidRPr="00706EAD" w:rsidRDefault="009C3691" w:rsidP="00C440CF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lastRenderedPageBreak/>
        <w:t>na úseku bývania pri tvorbe a uskutočňovaní bytovej politiky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navrhuje základné ciele štátnej bytovej politiky s nevyhnutnými väzbami na sociálnu politiku a finančnú politiku,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spracúva koncepcie v oblasti bývania a navrhuje opatrenia na ich implementáciu,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koordinuje a metodicky usmerňuje orgány samosprávy miest a obcí a orgány miestnej štátnej správy,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vykonáva dohľad a kontrolu nad dodržiavaním všeobecne záväzných právnych predpisov v oblasti štátnej podpory rozvoja bývania,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vykonáva správu Štátneho fondu rozvoja bývania (ďalej len „fond“),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výkon činností a kontroly vynakladania verejných finančných zdrojov na rozvoj bývania,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spolupracuje s inými ústrednými orgánmi štátnej správy pri tvorbe opatrení súvisiacich s rozvojom bývania,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navrhuje, organizuje a zabezpečuje databázu o kvalitatívnom a kvantitatívnom stave bytového fondu,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navrhuje riešenia v oblasti nájomného a poplatkov za služby spojené s užívaním bytov,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tvorbu metodických materiálov pre užívateľov bytov,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vypracúva analýzy úrovne bývania a ekonomických podmienok na rozvoj bývania,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navrhuje formy podpory štátu a poskytuje vybrané druhy podpôr pre rozvoj bývania,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zabezpečuje metodické usmerňovanie programov rozvoja bývania a miestnych bytových politík,</w:t>
      </w:r>
    </w:p>
    <w:p w:rsidR="009C3691" w:rsidRPr="00706EAD" w:rsidRDefault="009C3691" w:rsidP="00C440CF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je oprávnené spracúvať osobné údaje o fyzických osobách podľa osobitného predpisu,</w:t>
      </w:r>
      <w:hyperlink r:id="rId13" w:anchor="poznamky.poznamka-6b" w:tooltip="Odkaz na predpis alebo ustanovenie" w:history="1">
        <w:r w:rsidRPr="00706EAD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6b</w:t>
        </w:r>
        <w:r w:rsidRPr="00706EAD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 ktoré užívajú byty v nájomnom vzťahu, na ktorý sa vzťahuje regulácia cien nájmu podľa osobitného predpisu,</w:t>
      </w:r>
      <w:hyperlink r:id="rId14" w:anchor="poznamky.poznamka-6c" w:tooltip="Odkaz na predpis alebo ustanovenie" w:history="1">
        <w:r w:rsidRPr="00706EAD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6c</w:t>
        </w:r>
        <w:r w:rsidRPr="00706EAD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  <w:r w:rsidRPr="00706EA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 a o fyzických osobách žijúcich s nimi v spoločnej domácnosti; spracúvať možno meno, priezvisko a titul fyzickej osoby, dátum narodenia a adresu jej trvalého pobytu, celkovú podlahovú plochu bytu a výšku nájomného.</w:t>
      </w:r>
    </w:p>
    <w:p w:rsidR="00C440CF" w:rsidRDefault="00C440CF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C440CF" w:rsidRP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4</w:t>
      </w:r>
    </w:p>
    <w:p w:rsidR="00C440CF" w:rsidRPr="00C440CF" w:rsidRDefault="00C440CF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C440CF" w:rsidRPr="001F1DF0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Pôsobnosť </w:t>
      </w:r>
      <w:r w:rsidRPr="001F1DF0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  <w:lang w:eastAsia="sk-SK"/>
        </w:rPr>
        <w:t>obvodného úradu v sídle kraja</w:t>
      </w:r>
      <w:r w:rsidR="00EF1137" w:rsidRPr="00EF113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 xml:space="preserve"> </w:t>
      </w:r>
      <w:r w:rsidR="00EF1137" w:rsidRPr="001F1D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>okresného úradu v sídle kraja</w:t>
      </w:r>
    </w:p>
    <w:p w:rsidR="007A66DB" w:rsidRPr="00C440CF" w:rsidRDefault="007A66DB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C440CF" w:rsidRPr="002E6E22" w:rsidRDefault="00C440CF" w:rsidP="00EF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(1</w:t>
      </w: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) </w:t>
      </w:r>
      <w:r w:rsidRPr="00B148BE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Obvodný úrad v sídle kraja</w:t>
      </w:r>
      <w:r w:rsidR="00EF1137"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Okresný úrad v sídle kraja</w:t>
      </w:r>
    </w:p>
    <w:p w:rsidR="00C440CF" w:rsidRPr="002E6E22" w:rsidRDefault="00C440CF" w:rsidP="00C440CF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na úseku územného plánovania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posudzuje zadanie pre územný plán obce a zadanie pre územný plán zóny,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vydáva stanovisko pri prerokovaní konceptu územného plánu obce a konceptu územného plánu zóny,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vydáva stanovisko pri prerokovaní návrhu územného plánu obce a návrhu územného plánu zóny,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preskúmava návrh územného plánu obce a návrh územného plánu zóny,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rieši rozpory pri prerokúvaní územnoplánovacej dokumentácie,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je metodickým orgánom pre činnosť obce na úseku územného plánovania,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podieľa sa na tvorbe koncepcií v oblasti územného plánovania,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obstaráva a prerokúva územnoplánovacie podklady,</w:t>
      </w:r>
    </w:p>
    <w:p w:rsidR="00C440CF" w:rsidRPr="002E6E22" w:rsidRDefault="00C440CF" w:rsidP="00C440CF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podieľa sa na vykonávaní informačných činností pre informačný systém o územnom plánovaní,</w:t>
      </w:r>
    </w:p>
    <w:p w:rsidR="00C440CF" w:rsidRPr="002E6E22" w:rsidRDefault="00C440CF" w:rsidP="002E6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b) na úseku stavebného poriadku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štátnu stavebnú správu v druhom stupni vo veciach, v ktorých v správnom konaní v prvom stupni koná obec ako stavebný úrad,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riadi a kontroluje výkon prenesenej štátnej správy vykonávanej obcami ako stavebnými úradmi,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plní úlohy štátneho stavebného dohľadu,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zabezpečuje výkon pôsobnosti stavebného úradu, ak obec dlhodobo, najmenej šesť mesiacov, nevykonáva svoju pôsobnosť stavebného úradu,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zabezpečuje výkon pôsobnosti stavebného úradu pri vyhradenej právomoci pri jednotlivých technicky náročných alebo neobvyklých stavbách alebo opatreniach s väčšími alebo rozsiahlejšími účinkami na životné prostredie v ich okolí,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určuje, ktorý stavebný úrad vykoná konanie a vydá rozhodnutie v prípade stavieb alebo opatrení presahujúcich hranice územného obvodu jedného stavebného úradu,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podieľa sa na tvorbe koncepcií v oblasti povoľovania a realizácie stavieb,</w:t>
      </w:r>
    </w:p>
    <w:p w:rsidR="00C440CF" w:rsidRPr="002E6E22" w:rsidRDefault="00C440CF" w:rsidP="00C440CF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pôsobnosť stavebného úradu v rozsahu ustanovenom osobitným predpisom,6a)</w:t>
      </w:r>
    </w:p>
    <w:p w:rsidR="00C440CF" w:rsidRPr="002E6E22" w:rsidRDefault="001F1DF0" w:rsidP="002E6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c)</w:t>
      </w:r>
      <w:r w:rsidR="00C440CF"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na úseku bývania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posudzuje a overuje údaje v žiadosti o poskytnutie dotácií na rozvoj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kontrolu vynakladania verejných finančných prostriedkov na rozvoj bývania poskytnutých ministerstvom a fondom,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kontrolu dodržiavania zmluvných podmienok vyplývajúcich zo zmlúv uzatvorených ministerstvom alebo fondom v oblasti podpory rozvoja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vykonáva prevod finančných prostriedkov podľa uzatvorených zmlúv o poskytnutí dotácií na rozvoj bývania uzatvorených v rámci programu rozvoja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vykonáva kontrolu čerpania podpory poskytnutej z fondu pred jej úhradou bankou,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zabezpečuje spracovanie podkladov a návrhov na rozvoj bývania v príslušnom kraji,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spolupracuje s inými orgánmi štátnej správy pri tvorbe opatrení súvisiacich s rozvojom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zabezpečuje spracovanie regionálnych koncepcií zameraných na vytváranie podmienok na rozvoj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vedie evidenciu podaných žiadostí o poskytovanie dotácií na rozvoj bývania,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poskytuje informácie o formách pomoci štátu pri zveľaďovaní a rozširovaní bytového fondu,</w:t>
      </w:r>
    </w:p>
    <w:p w:rsidR="00C440CF" w:rsidRP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spolupracuje s orgánmi územnej samosprávy pri riešení problémov rozvoja bývania,</w:t>
      </w:r>
    </w:p>
    <w:p w:rsidR="00C440CF" w:rsidRDefault="00C440CF" w:rsidP="00C440CF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metodicky usmerňuje orgány územnej samosprávy pri tvorbe a realizácii miestnej bytovej politiky, pri zabezpečovaní dostupnosti pozemkov na bytovú výstavbu a ich zainvestovaní technickou vybavenosťou.</w:t>
      </w:r>
    </w:p>
    <w:p w:rsidR="007A66DB" w:rsidRPr="00C440CF" w:rsidRDefault="007A66DB" w:rsidP="007A66D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C440CF" w:rsidRPr="00C440CF" w:rsidRDefault="00C440CF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(2) </w:t>
      </w:r>
      <w:r w:rsidRPr="001F1DF0"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sk-SK"/>
        </w:rPr>
        <w:t>Obvodný úrad v sídle kraja</w:t>
      </w: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EF1137" w:rsidRPr="001F1D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Okresný úrad v sídle kraja </w:t>
      </w: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vykonáva činnosti uvedené </w:t>
      </w:r>
      <w:r w:rsidRP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 odseku 1 písm. c)</w:t>
      </w:r>
      <w:r w:rsidRPr="002E6E2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 </w:t>
      </w:r>
      <w:r w:rsidRPr="00C440C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štvrtom bode prostredníctvom mimorozpočtového účtu</w:t>
      </w:r>
      <w:r w:rsidR="002E6E2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</w:t>
      </w:r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5</w:t>
      </w: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Pôsobnosť obce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Obec v rámci preneseného výkonu štátnej správy</w:t>
      </w:r>
    </w:p>
    <w:p w:rsidR="009C3691" w:rsidRPr="002E6E22" w:rsidRDefault="009C3691" w:rsidP="002E6E22">
      <w:pPr>
        <w:pStyle w:val="Odsekzoznamu"/>
        <w:numPr>
          <w:ilvl w:val="0"/>
          <w:numId w:val="3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sz w:val="20"/>
          <w:szCs w:val="20"/>
          <w:lang w:eastAsia="sk-SK"/>
        </w:rPr>
        <w:t>na úseku stavebného poriadku</w:t>
      </w:r>
    </w:p>
    <w:p w:rsidR="009C3691" w:rsidRPr="002E6E22" w:rsidRDefault="009C3691" w:rsidP="007A66D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sz w:val="20"/>
          <w:szCs w:val="20"/>
          <w:lang w:eastAsia="sk-SK"/>
        </w:rPr>
        <w:t>vykonáva pôsobnosť stavebného úradu,</w:t>
      </w:r>
    </w:p>
    <w:p w:rsidR="009C3691" w:rsidRPr="002E6E22" w:rsidRDefault="009C3691" w:rsidP="007A66DB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sz w:val="20"/>
          <w:szCs w:val="20"/>
          <w:lang w:eastAsia="sk-SK"/>
        </w:rPr>
        <w:t>zabezpečuje štátny stavebný dohľad,</w:t>
      </w:r>
    </w:p>
    <w:p w:rsidR="009C3691" w:rsidRPr="00131DA8" w:rsidRDefault="00131DA8" w:rsidP="002E6E22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E6E2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b) </w:t>
      </w:r>
      <w:r w:rsidR="009C3691" w:rsidRPr="00131DA8">
        <w:rPr>
          <w:rFonts w:ascii="Times New Roman" w:eastAsia="Times New Roman" w:hAnsi="Times New Roman" w:cs="Times New Roman"/>
          <w:sz w:val="20"/>
          <w:szCs w:val="20"/>
          <w:lang w:eastAsia="sk-SK"/>
        </w:rPr>
        <w:t>na úseku bývania zabezpečuje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overovanie úplnosti náležitostí žiadosti o podporu rozvoja bývania z fondu a žiadosti podľa vládneho programu zatepľovania,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preskúmanie bytových pomerov žiadateľov o poskytnutie podpory,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predloženie overenej žiadosti na fond,</w:t>
      </w:r>
    </w:p>
    <w:p w:rsidR="009C3691" w:rsidRPr="007A66DB" w:rsidRDefault="009C3691" w:rsidP="007A66D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kontrolu dodržiavania zmluvných podmienok a kontrolu čerpania podpory podľa osobitného predpisu.</w:t>
      </w:r>
      <w:hyperlink r:id="rId15" w:anchor="poznamky.poznamka-7" w:tooltip="Odkaz na predpis alebo ustanovenie" w:history="1">
        <w:r w:rsidRPr="007A66D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7</w:t>
        </w:r>
        <w:r w:rsidRPr="007A66DB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6</w:t>
      </w: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Prechodné ustanovenia</w:t>
      </w: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Práva a povinnosti zo štátnozamestnaneckých pomerov štátnych zamestnancov, ktorí k 31. decembru 2003 vykonávali štátnu službu na krajskom úrade na úsekoch územného plánovania, stavebného poriadku a bytových politík, prechádzajú na krajský stavebný úrad.</w:t>
      </w:r>
    </w:p>
    <w:p w:rsidR="007A66DB" w:rsidRPr="009C3691" w:rsidRDefault="007A66DB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(2)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Práva a povinnosti z pracovnoprávnych vzťahov zamestnancov krajských úradov, ktorí k 31. decembru 2003 vykonávali verejnú službu na úsekoch územného plánovania, stavebného poriadku, prechádzajú na krajský stavebný úrad.</w:t>
      </w:r>
    </w:p>
    <w:p w:rsidR="00131DA8" w:rsidRPr="009C3691" w:rsidRDefault="00131DA8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Čl. II</w:t>
      </w: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 č. </w:t>
      </w:r>
      <w:hyperlink r:id="rId16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územnom plánovaní a stavebnom poriadku (stavebný zákon) v znení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 a zákona č. 417/2003 Z. z. sa mení a dopĺňa takto:</w:t>
      </w:r>
    </w:p>
    <w:p w:rsidR="007A66DB" w:rsidRPr="009C3691" w:rsidRDefault="007A66DB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Slová „krajský úrad“ vo všetkých tvaroch sa v celom texte zákona nahrádzajú slovami „krajský stavebný úrad“ v príslušnom tvare.</w:t>
      </w:r>
    </w:p>
    <w:p w:rsid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20 ods. 2 sa vypúšťa veta „Krajský úrad spracuje súhrnné stanovisko za všetky orgány štátnej správy v jeho pôsobnosti.“.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105 sa za odsek 4 vkladá nový odsek 5, ktorý znie:</w:t>
      </w:r>
    </w:p>
    <w:p w:rsidR="009C3691" w:rsidRPr="009C3691" w:rsidRDefault="009C3691" w:rsidP="007A66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„(5)</w:t>
      </w:r>
      <w:r w:rsidR="00C440CF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Priestupky </w:t>
      </w:r>
      <w:proofErr w:type="spellStart"/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prejednáva</w:t>
      </w:r>
      <w:proofErr w:type="spellEnd"/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stavebný úrad alebo inšpekcia.“.</w:t>
      </w:r>
    </w:p>
    <w:p w:rsidR="009C3691" w:rsidRPr="009C3691" w:rsidRDefault="009C3691" w:rsidP="007A66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Doterajší odsek 5 sa označuje ako odsek 6.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106 sa v odsekoch 1 až 3 za slovo „úrad“ vkladajú slová „alebo inšpekcia“.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117 ods. 1 sa vypúšťa tretia veta.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V § 123a ods. 1 sa slová „v Bratislave, Banskej Bystrici, Nitre, Košiciach a Žiline“ nahrádzajú slovami „v meste, ktoré je sídlom kraja“ a slová „sú uvedené v prílohe“ sa nahrádzajú slovami „sú totožné s územnými obvodmi krajov“.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123a ods. 2 sa vkladá nová prvá veta, ktorá znie: „Riaditeľstvo je služobným úradom štátnych zamestnancov, ktorí v ňom vykonávajú štátnu službu, a zamestnávateľom zamestnancov, ktorí v ňom vykonávajú verejnú službu.“.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V § 130 ods. 2 sa slová „krajské úrady, okresné úrady“ nahrádzajú slovami „krajské stavebné úrady“.</w:t>
      </w:r>
    </w:p>
    <w:p w:rsidR="009C3691" w:rsidRPr="007A66DB" w:rsidRDefault="009C3691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§ 141 sa dopĺňa odsekom 9, ktorý znie:</w:t>
      </w:r>
    </w:p>
    <w:p w:rsidR="009C3691" w:rsidRPr="009C3691" w:rsidRDefault="009C3691" w:rsidP="007A66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„(9)</w:t>
      </w:r>
      <w:r w:rsidR="00C440CF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Správne konanie na úseku stavebného poriadku začaté krajským úradom pred 1. januárom 2004 dokončí miestne príslušný krajský stavebný úrad.“.</w:t>
      </w:r>
    </w:p>
    <w:p w:rsidR="009C3691" w:rsidRPr="007A66DB" w:rsidRDefault="00C440CF" w:rsidP="007A66DB">
      <w:pPr>
        <w:pStyle w:val="Odsekzoznamu"/>
        <w:numPr>
          <w:ilvl w:val="1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Prílo</w:t>
      </w:r>
      <w:r w:rsidR="009C3691" w:rsidRPr="007A66DB">
        <w:rPr>
          <w:rFonts w:ascii="Times New Roman" w:eastAsia="Times New Roman" w:hAnsi="Times New Roman" w:cs="Times New Roman"/>
          <w:sz w:val="20"/>
          <w:szCs w:val="20"/>
          <w:lang w:eastAsia="sk-SK"/>
        </w:rPr>
        <w:t>ha k zákonu sa vypúšťa.</w:t>
      </w:r>
    </w:p>
    <w:p w:rsidR="00C440CF" w:rsidRDefault="00C440CF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Čl. III</w:t>
      </w: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Tento zákon nadobúda účinnosť 1. januára 2004.</w:t>
      </w:r>
    </w:p>
    <w:p w:rsidR="007A66DB" w:rsidRDefault="007A66DB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C3691" w:rsidRPr="009C3691" w:rsidRDefault="009C3691" w:rsidP="00C4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Rudolf Schuster v. r.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Pavol Hrušovský v. r.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Mikuláš Dzurinda v. r.</w:t>
      </w:r>
    </w:p>
    <w:p w:rsidR="00C440CF" w:rsidRDefault="00C440CF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06EAD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1)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17" w:anchor="paragraf-117" w:tooltip="Odkaz na predpis alebo ustanovenie" w:history="1">
        <w:r w:rsidRPr="00ED0918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117</w:t>
        </w:r>
      </w:hyperlink>
      <w:r w:rsidRPr="00ED0918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18" w:tooltip="Odkaz na predpis alebo ustanovenie" w:history="1">
        <w:r w:rsidRPr="00ED0918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ED0918">
        <w:rPr>
          <w:rFonts w:ascii="Times New Roman" w:eastAsia="Times New Roman" w:hAnsi="Times New Roman" w:cs="Times New Roman"/>
          <w:sz w:val="20"/>
          <w:szCs w:val="20"/>
          <w:lang w:eastAsia="sk-SK"/>
        </w:rPr>
        <w:t> o územnom plánovaní a stavebnom poriadku (stavebný zákon) v znení neskorších predpisov.</w:t>
      </w:r>
      <w:r w:rsidR="00706EAD" w:rsidRPr="00ED091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9C3691" w:rsidRPr="009C3691" w:rsidRDefault="00B97EA0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hyperlink r:id="rId19" w:anchor="paragraf-11" w:tooltip="Odkaz na predpis alebo ustanovenie" w:history="1">
        <w:r w:rsidR="009C3691"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11</w:t>
        </w:r>
      </w:hyperlink>
      <w:r w:rsidR="009C3691"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0" w:tooltip="Odkaz na predpis alebo ustanovenie" w:history="1">
        <w:r w:rsidR="009C3691"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607/2003 Z. z.</w:t>
        </w:r>
      </w:hyperlink>
      <w:r w:rsidR="009C3691"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štátnom fonde rozvoja bývania.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2)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1" w:anchor="paragraf-123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123a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2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3)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3" w:anchor="paragraf-16.odsek-4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16 ods. 4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, </w:t>
      </w:r>
      <w:hyperlink r:id="rId24" w:anchor="paragraf-120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120 a 121 zákona č. 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4)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5" w:anchor="paragraf-2.odsek-6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2a ods. 6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6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5)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7" w:anchor="paragraf-8.odsek-2.pismeno-c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8 ods. 2 písm. c)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28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278/1993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správe majetku štátu 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29" w:anchor="paragraf-108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108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 č. </w:t>
      </w:r>
      <w:hyperlink r:id="rId30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6a)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31" w:anchor="paragraf-117a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117a zákona č. 50/1976 Zb.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6b)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 </w:t>
      </w:r>
      <w:hyperlink r:id="rId32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č. 428/2002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ochrane osobných údajov v znení neskorších predpisov.</w:t>
      </w:r>
    </w:p>
    <w:p w:rsidR="009C3691" w:rsidRPr="009C3691" w:rsidRDefault="009C3691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6c)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 Národnej rady Slovenskej republiky </w:t>
      </w:r>
      <w:hyperlink r:id="rId33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č. 18/1996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cenách v znení neskorších predpisov.</w:t>
      </w:r>
    </w:p>
    <w:p w:rsidR="009C3691" w:rsidRPr="009C3691" w:rsidRDefault="009C3691" w:rsidP="00C4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7)</w:t>
      </w:r>
      <w:r w:rsidR="00C440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34" w:anchor="paragraf-13.odsek-3" w:tooltip="Odkaz na predpis alebo ustanovenie" w:history="1">
        <w:r w:rsidRPr="009C369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13 ods. 3 zákona č. 607/2003 Z. z.</w:t>
        </w:r>
      </w:hyperlink>
      <w:r w:rsidRPr="009C3691">
        <w:rPr>
          <w:rFonts w:ascii="Times New Roman" w:eastAsia="Times New Roman" w:hAnsi="Times New Roman" w:cs="Times New Roman"/>
          <w:sz w:val="20"/>
          <w:szCs w:val="20"/>
          <w:lang w:eastAsia="sk-SK"/>
        </w:rPr>
        <w:t> o Štátnom fonde rozvoja bývania v znení neskorších predpisov</w:t>
      </w:r>
    </w:p>
    <w:p w:rsidR="00A57D66" w:rsidRPr="009C3691" w:rsidRDefault="00A57D66">
      <w:pPr>
        <w:rPr>
          <w:rFonts w:ascii="Times New Roman" w:hAnsi="Times New Roman" w:cs="Times New Roman"/>
          <w:sz w:val="20"/>
          <w:szCs w:val="20"/>
        </w:rPr>
      </w:pPr>
    </w:p>
    <w:sectPr w:rsidR="00A57D66" w:rsidRPr="009C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19D"/>
    <w:multiLevelType w:val="hybridMultilevel"/>
    <w:tmpl w:val="BDBEB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34EB"/>
    <w:multiLevelType w:val="hybridMultilevel"/>
    <w:tmpl w:val="174E4C14"/>
    <w:lvl w:ilvl="0" w:tplc="3064B3B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26E"/>
    <w:multiLevelType w:val="hybridMultilevel"/>
    <w:tmpl w:val="CB0E52F0"/>
    <w:lvl w:ilvl="0" w:tplc="90B2768E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838"/>
    <w:multiLevelType w:val="hybridMultilevel"/>
    <w:tmpl w:val="5F6AF14A"/>
    <w:lvl w:ilvl="0" w:tplc="0FA8DBA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5E97"/>
    <w:multiLevelType w:val="hybridMultilevel"/>
    <w:tmpl w:val="D09A32EE"/>
    <w:lvl w:ilvl="0" w:tplc="6924EDC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EA30D49"/>
    <w:multiLevelType w:val="hybridMultilevel"/>
    <w:tmpl w:val="989863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6086"/>
    <w:multiLevelType w:val="hybridMultilevel"/>
    <w:tmpl w:val="E9AC2B4A"/>
    <w:lvl w:ilvl="0" w:tplc="096CD174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A0F"/>
    <w:multiLevelType w:val="hybridMultilevel"/>
    <w:tmpl w:val="5A92F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565D"/>
    <w:multiLevelType w:val="hybridMultilevel"/>
    <w:tmpl w:val="F0E646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562D8"/>
    <w:multiLevelType w:val="hybridMultilevel"/>
    <w:tmpl w:val="74624574"/>
    <w:lvl w:ilvl="0" w:tplc="0DDE45F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6E54"/>
    <w:multiLevelType w:val="hybridMultilevel"/>
    <w:tmpl w:val="DB04A5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223A"/>
    <w:multiLevelType w:val="hybridMultilevel"/>
    <w:tmpl w:val="6E32F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2C4C"/>
    <w:multiLevelType w:val="hybridMultilevel"/>
    <w:tmpl w:val="737AACA6"/>
    <w:lvl w:ilvl="0" w:tplc="B7DACD6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547C"/>
    <w:multiLevelType w:val="hybridMultilevel"/>
    <w:tmpl w:val="0CB001EA"/>
    <w:lvl w:ilvl="0" w:tplc="D68E949E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32F4"/>
    <w:multiLevelType w:val="hybridMultilevel"/>
    <w:tmpl w:val="83CCC2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450F7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4" w:hanging="360"/>
      </w:pPr>
    </w:lvl>
    <w:lvl w:ilvl="2" w:tplc="041B001B" w:tentative="1">
      <w:start w:val="1"/>
      <w:numFmt w:val="lowerRoman"/>
      <w:lvlText w:val="%3."/>
      <w:lvlJc w:val="right"/>
      <w:pPr>
        <w:ind w:left="2574" w:hanging="180"/>
      </w:pPr>
    </w:lvl>
    <w:lvl w:ilvl="3" w:tplc="041B000F" w:tentative="1">
      <w:start w:val="1"/>
      <w:numFmt w:val="decimal"/>
      <w:lvlText w:val="%4."/>
      <w:lvlJc w:val="left"/>
      <w:pPr>
        <w:ind w:left="3294" w:hanging="360"/>
      </w:pPr>
    </w:lvl>
    <w:lvl w:ilvl="4" w:tplc="041B0019" w:tentative="1">
      <w:start w:val="1"/>
      <w:numFmt w:val="lowerLetter"/>
      <w:lvlText w:val="%5."/>
      <w:lvlJc w:val="left"/>
      <w:pPr>
        <w:ind w:left="4014" w:hanging="360"/>
      </w:pPr>
    </w:lvl>
    <w:lvl w:ilvl="5" w:tplc="041B001B" w:tentative="1">
      <w:start w:val="1"/>
      <w:numFmt w:val="lowerRoman"/>
      <w:lvlText w:val="%6."/>
      <w:lvlJc w:val="right"/>
      <w:pPr>
        <w:ind w:left="4734" w:hanging="180"/>
      </w:pPr>
    </w:lvl>
    <w:lvl w:ilvl="6" w:tplc="041B000F" w:tentative="1">
      <w:start w:val="1"/>
      <w:numFmt w:val="decimal"/>
      <w:lvlText w:val="%7."/>
      <w:lvlJc w:val="left"/>
      <w:pPr>
        <w:ind w:left="5454" w:hanging="360"/>
      </w:pPr>
    </w:lvl>
    <w:lvl w:ilvl="7" w:tplc="041B0019" w:tentative="1">
      <w:start w:val="1"/>
      <w:numFmt w:val="lowerLetter"/>
      <w:lvlText w:val="%8."/>
      <w:lvlJc w:val="left"/>
      <w:pPr>
        <w:ind w:left="6174" w:hanging="360"/>
      </w:pPr>
    </w:lvl>
    <w:lvl w:ilvl="8" w:tplc="041B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 w15:restartNumberingAfterBreak="0">
    <w:nsid w:val="4FA06F7F"/>
    <w:multiLevelType w:val="hybridMultilevel"/>
    <w:tmpl w:val="4476B6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10E8"/>
    <w:multiLevelType w:val="hybridMultilevel"/>
    <w:tmpl w:val="A1547A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34B0"/>
    <w:multiLevelType w:val="hybridMultilevel"/>
    <w:tmpl w:val="DE8C5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03B02"/>
    <w:multiLevelType w:val="hybridMultilevel"/>
    <w:tmpl w:val="F7088F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43AD"/>
    <w:multiLevelType w:val="hybridMultilevel"/>
    <w:tmpl w:val="0DF26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D444B"/>
    <w:multiLevelType w:val="hybridMultilevel"/>
    <w:tmpl w:val="5FC2F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E5334"/>
    <w:multiLevelType w:val="hybridMultilevel"/>
    <w:tmpl w:val="E21A8874"/>
    <w:lvl w:ilvl="0" w:tplc="3870B3C2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45B6"/>
    <w:multiLevelType w:val="hybridMultilevel"/>
    <w:tmpl w:val="98264E68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8635CD2"/>
    <w:multiLevelType w:val="hybridMultilevel"/>
    <w:tmpl w:val="EB3E66F0"/>
    <w:lvl w:ilvl="0" w:tplc="6A8614AA">
      <w:start w:val="1"/>
      <w:numFmt w:val="lowerLetter"/>
      <w:lvlText w:val="%1)"/>
      <w:lvlJc w:val="left"/>
      <w:pPr>
        <w:ind w:left="1125" w:hanging="360"/>
      </w:pPr>
      <w:rPr>
        <w:rFonts w:hint="default"/>
        <w:strike/>
        <w:color w:val="FF0000"/>
      </w:rPr>
    </w:lvl>
    <w:lvl w:ilvl="1" w:tplc="D436D6DE">
      <w:start w:val="1"/>
      <w:numFmt w:val="decimal"/>
      <w:lvlText w:val="%2."/>
      <w:lvlJc w:val="left"/>
      <w:pPr>
        <w:ind w:left="1635" w:hanging="1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96461D2"/>
    <w:multiLevelType w:val="hybridMultilevel"/>
    <w:tmpl w:val="CD74947E"/>
    <w:lvl w:ilvl="0" w:tplc="B3346A8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E8A6DA6"/>
    <w:multiLevelType w:val="hybridMultilevel"/>
    <w:tmpl w:val="94FAE1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5749C"/>
    <w:multiLevelType w:val="hybridMultilevel"/>
    <w:tmpl w:val="F5762F9A"/>
    <w:lvl w:ilvl="0" w:tplc="777667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567D"/>
    <w:multiLevelType w:val="hybridMultilevel"/>
    <w:tmpl w:val="43EADCFE"/>
    <w:lvl w:ilvl="0" w:tplc="459CC6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C32177"/>
    <w:multiLevelType w:val="hybridMultilevel"/>
    <w:tmpl w:val="C14061F2"/>
    <w:lvl w:ilvl="0" w:tplc="9768F196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E10D1"/>
    <w:multiLevelType w:val="hybridMultilevel"/>
    <w:tmpl w:val="AEAEB8EE"/>
    <w:lvl w:ilvl="0" w:tplc="CCD45F40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3402"/>
    <w:multiLevelType w:val="hybridMultilevel"/>
    <w:tmpl w:val="2632B34C"/>
    <w:lvl w:ilvl="0" w:tplc="FCCCAD0C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274E2"/>
    <w:multiLevelType w:val="hybridMultilevel"/>
    <w:tmpl w:val="8C0E9702"/>
    <w:lvl w:ilvl="0" w:tplc="B566B3E2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A653D"/>
    <w:multiLevelType w:val="hybridMultilevel"/>
    <w:tmpl w:val="D3029F04"/>
    <w:lvl w:ilvl="0" w:tplc="531AA6C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88E300A"/>
    <w:multiLevelType w:val="hybridMultilevel"/>
    <w:tmpl w:val="4C245080"/>
    <w:lvl w:ilvl="0" w:tplc="D76CEEB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E7747"/>
    <w:multiLevelType w:val="hybridMultilevel"/>
    <w:tmpl w:val="3C4458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10C8D"/>
    <w:multiLevelType w:val="hybridMultilevel"/>
    <w:tmpl w:val="6DA6D764"/>
    <w:lvl w:ilvl="0" w:tplc="1932F6D2">
      <w:start w:val="1"/>
      <w:numFmt w:val="decimal"/>
      <w:lvlText w:val="%1."/>
      <w:lvlJc w:val="left"/>
      <w:pPr>
        <w:ind w:left="525" w:hanging="1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757D4"/>
    <w:multiLevelType w:val="hybridMultilevel"/>
    <w:tmpl w:val="CCF2FD5A"/>
    <w:lvl w:ilvl="0" w:tplc="97762F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9"/>
  </w:num>
  <w:num w:numId="3">
    <w:abstractNumId w:val="18"/>
  </w:num>
  <w:num w:numId="4">
    <w:abstractNumId w:val="30"/>
  </w:num>
  <w:num w:numId="5">
    <w:abstractNumId w:val="23"/>
  </w:num>
  <w:num w:numId="6">
    <w:abstractNumId w:val="20"/>
  </w:num>
  <w:num w:numId="7">
    <w:abstractNumId w:val="32"/>
  </w:num>
  <w:num w:numId="8">
    <w:abstractNumId w:val="11"/>
  </w:num>
  <w:num w:numId="9">
    <w:abstractNumId w:val="6"/>
  </w:num>
  <w:num w:numId="10">
    <w:abstractNumId w:val="33"/>
  </w:num>
  <w:num w:numId="11">
    <w:abstractNumId w:val="10"/>
  </w:num>
  <w:num w:numId="12">
    <w:abstractNumId w:val="13"/>
  </w:num>
  <w:num w:numId="13">
    <w:abstractNumId w:val="19"/>
  </w:num>
  <w:num w:numId="14">
    <w:abstractNumId w:val="31"/>
  </w:num>
  <w:num w:numId="15">
    <w:abstractNumId w:val="16"/>
  </w:num>
  <w:num w:numId="16">
    <w:abstractNumId w:val="2"/>
  </w:num>
  <w:num w:numId="17">
    <w:abstractNumId w:val="25"/>
  </w:num>
  <w:num w:numId="18">
    <w:abstractNumId w:val="21"/>
  </w:num>
  <w:num w:numId="19">
    <w:abstractNumId w:val="1"/>
  </w:num>
  <w:num w:numId="20">
    <w:abstractNumId w:val="5"/>
  </w:num>
  <w:num w:numId="21">
    <w:abstractNumId w:val="9"/>
  </w:num>
  <w:num w:numId="22">
    <w:abstractNumId w:val="35"/>
  </w:num>
  <w:num w:numId="23">
    <w:abstractNumId w:val="12"/>
  </w:num>
  <w:num w:numId="24">
    <w:abstractNumId w:val="24"/>
  </w:num>
  <w:num w:numId="25">
    <w:abstractNumId w:val="8"/>
  </w:num>
  <w:num w:numId="26">
    <w:abstractNumId w:val="36"/>
  </w:num>
  <w:num w:numId="27">
    <w:abstractNumId w:val="26"/>
  </w:num>
  <w:num w:numId="28">
    <w:abstractNumId w:val="3"/>
  </w:num>
  <w:num w:numId="29">
    <w:abstractNumId w:val="7"/>
  </w:num>
  <w:num w:numId="30">
    <w:abstractNumId w:val="14"/>
  </w:num>
  <w:num w:numId="31">
    <w:abstractNumId w:val="17"/>
  </w:num>
  <w:num w:numId="32">
    <w:abstractNumId w:val="15"/>
  </w:num>
  <w:num w:numId="33">
    <w:abstractNumId w:val="37"/>
  </w:num>
  <w:num w:numId="34">
    <w:abstractNumId w:val="22"/>
  </w:num>
  <w:num w:numId="35">
    <w:abstractNumId w:val="27"/>
  </w:num>
  <w:num w:numId="36">
    <w:abstractNumId w:val="28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C8"/>
    <w:rsid w:val="00012EC8"/>
    <w:rsid w:val="00131DA8"/>
    <w:rsid w:val="001F1DF0"/>
    <w:rsid w:val="002E6E22"/>
    <w:rsid w:val="0060482E"/>
    <w:rsid w:val="00706EAD"/>
    <w:rsid w:val="007A66DB"/>
    <w:rsid w:val="007D3DB6"/>
    <w:rsid w:val="009B656B"/>
    <w:rsid w:val="009C3691"/>
    <w:rsid w:val="00A57D66"/>
    <w:rsid w:val="00B148BE"/>
    <w:rsid w:val="00B97EA0"/>
    <w:rsid w:val="00C440CF"/>
    <w:rsid w:val="00D41CD2"/>
    <w:rsid w:val="00DF57BF"/>
    <w:rsid w:val="00ED0918"/>
    <w:rsid w:val="00EF1137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5564"/>
  <w15:chartTrackingRefBased/>
  <w15:docId w15:val="{B2E38222-2468-4155-A644-1AC4B5B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369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9C3691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9C3691"/>
    <w:rPr>
      <w:rFonts w:ascii="TeX Gyre Bonum" w:eastAsia="TeX Gyre Bonum" w:hAnsi="TeX Gyre Bonum" w:cs="TeX Gyre Bonum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9C3691"/>
    <w:pPr>
      <w:widowControl w:val="0"/>
      <w:autoSpaceDE w:val="0"/>
      <w:autoSpaceDN w:val="0"/>
      <w:spacing w:after="0" w:line="283" w:lineRule="exact"/>
      <w:ind w:left="105" w:right="105"/>
      <w:jc w:val="center"/>
      <w:outlineLvl w:val="1"/>
    </w:pPr>
    <w:rPr>
      <w:rFonts w:ascii="TeX Gyre Bonum" w:eastAsia="TeX Gyre Bonum" w:hAnsi="TeX Gyre Bonum" w:cs="TeX Gyre Bonum"/>
      <w:b/>
      <w:bCs/>
      <w:sz w:val="20"/>
      <w:szCs w:val="20"/>
    </w:rPr>
  </w:style>
  <w:style w:type="paragraph" w:styleId="Nzov">
    <w:name w:val="Title"/>
    <w:basedOn w:val="Normlny"/>
    <w:link w:val="NzovChar"/>
    <w:uiPriority w:val="1"/>
    <w:qFormat/>
    <w:rsid w:val="009C3691"/>
    <w:pPr>
      <w:widowControl w:val="0"/>
      <w:autoSpaceDE w:val="0"/>
      <w:autoSpaceDN w:val="0"/>
      <w:spacing w:before="6" w:after="0" w:line="240" w:lineRule="auto"/>
      <w:ind w:left="43" w:right="163"/>
      <w:jc w:val="center"/>
    </w:pPr>
    <w:rPr>
      <w:rFonts w:ascii="TeX Gyre Bonum" w:eastAsia="TeX Gyre Bonum" w:hAnsi="TeX Gyre Bonum" w:cs="TeX Gyre Bonum"/>
      <w:sz w:val="46"/>
      <w:szCs w:val="46"/>
    </w:rPr>
  </w:style>
  <w:style w:type="character" w:customStyle="1" w:styleId="NzovChar">
    <w:name w:val="Názov Char"/>
    <w:basedOn w:val="Predvolenpsmoodseku"/>
    <w:link w:val="Nzov"/>
    <w:uiPriority w:val="1"/>
    <w:rsid w:val="009C3691"/>
    <w:rPr>
      <w:rFonts w:ascii="TeX Gyre Bonum" w:eastAsia="TeX Gyre Bonum" w:hAnsi="TeX Gyre Bonum" w:cs="TeX Gyre Bonum"/>
      <w:sz w:val="46"/>
      <w:szCs w:val="46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C3691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7D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938374385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9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246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9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447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16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86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8721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667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0219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476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73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8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4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30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7297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6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7950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3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0488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08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4360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56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466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23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920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23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8624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092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39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48233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1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8081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301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5968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4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384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2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5244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13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0278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88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5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8543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96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872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45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678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069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2838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164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40198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360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253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204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2656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90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876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3940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5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545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8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1722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08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9994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683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3862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518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357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863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6617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24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4110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8983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790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017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8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6505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6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749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5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96174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99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248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26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970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3201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1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57413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7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745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80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583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80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0649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3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6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99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21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729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0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30414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57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839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507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96890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28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192886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915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85916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279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711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8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6129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00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43832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51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1069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243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805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49480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078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92047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77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49858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423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09486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55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740362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670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808499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41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73364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97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4797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607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11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78218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801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156157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37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1860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13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5669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254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1441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840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98910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53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208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72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12352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95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19215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226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659734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46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02010">
                              <w:marLeft w:val="25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66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48931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44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27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209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870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04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7763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8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7408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341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25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2572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829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2131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39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1471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0718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10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87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71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8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361322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0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90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3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84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1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55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2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825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5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47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4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487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41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584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1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5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30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2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6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1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205417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4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4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9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45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06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725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38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23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236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53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98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517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3/608/" TargetMode="External"/><Relationship Id="rId18" Type="http://schemas.openxmlformats.org/officeDocument/2006/relationships/hyperlink" Target="https://www.slov-lex.sk/pravne-predpisy/SK/ZZ/1976/50/" TargetMode="External"/><Relationship Id="rId26" Type="http://schemas.openxmlformats.org/officeDocument/2006/relationships/hyperlink" Target="https://www.slov-lex.sk/pravne-predpisy/SK/ZZ/1976/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1976/50/" TargetMode="External"/><Relationship Id="rId34" Type="http://schemas.openxmlformats.org/officeDocument/2006/relationships/hyperlink" Target="https://www.slov-lex.sk/pravne-predpisy/SK/ZZ/2003/607/" TargetMode="External"/><Relationship Id="rId7" Type="http://schemas.openxmlformats.org/officeDocument/2006/relationships/hyperlink" Target="https://www.slov-lex.sk/pravne-predpisy/SK/ZZ/2003/608/" TargetMode="External"/><Relationship Id="rId12" Type="http://schemas.openxmlformats.org/officeDocument/2006/relationships/hyperlink" Target="https://www.slov-lex.sk/pravne-predpisy/SK/ZZ/2003/608/" TargetMode="External"/><Relationship Id="rId17" Type="http://schemas.openxmlformats.org/officeDocument/2006/relationships/hyperlink" Target="https://www.slov-lex.sk/pravne-predpisy/SK/ZZ/1976/50/" TargetMode="External"/><Relationship Id="rId25" Type="http://schemas.openxmlformats.org/officeDocument/2006/relationships/hyperlink" Target="https://www.slov-lex.sk/pravne-predpisy/SK/ZZ/1976/50/" TargetMode="External"/><Relationship Id="rId33" Type="http://schemas.openxmlformats.org/officeDocument/2006/relationships/hyperlink" Target="https://www.slov-lex.sk/pravne-predpisy/SK/ZZ/1996/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1976/50/" TargetMode="External"/><Relationship Id="rId20" Type="http://schemas.openxmlformats.org/officeDocument/2006/relationships/hyperlink" Target="https://www.slov-lex.sk/pravne-predpisy/SK/ZZ/2003/607/" TargetMode="External"/><Relationship Id="rId29" Type="http://schemas.openxmlformats.org/officeDocument/2006/relationships/hyperlink" Target="https://www.slov-lex.sk/pravne-predpisy/SK/ZZ/1976/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76/50/" TargetMode="External"/><Relationship Id="rId11" Type="http://schemas.openxmlformats.org/officeDocument/2006/relationships/hyperlink" Target="https://www.slov-lex.sk/pravne-predpisy/SK/ZZ/2003/608/" TargetMode="External"/><Relationship Id="rId24" Type="http://schemas.openxmlformats.org/officeDocument/2006/relationships/hyperlink" Target="https://www.slov-lex.sk/pravne-predpisy/SK/ZZ/1976/50/" TargetMode="External"/><Relationship Id="rId32" Type="http://schemas.openxmlformats.org/officeDocument/2006/relationships/hyperlink" Target="https://www.slov-lex.sk/pravne-predpisy/SK/ZZ/2002/428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lov-lex.sk/pravne-predpisy/SK/ZZ/2003/608/" TargetMode="External"/><Relationship Id="rId23" Type="http://schemas.openxmlformats.org/officeDocument/2006/relationships/hyperlink" Target="https://www.slov-lex.sk/pravne-predpisy/SK/ZZ/1976/50/" TargetMode="External"/><Relationship Id="rId28" Type="http://schemas.openxmlformats.org/officeDocument/2006/relationships/hyperlink" Target="https://www.slov-lex.sk/pravne-predpisy/SK/ZZ/1993/278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lov-lex.sk/pravne-predpisy/SK/ZZ/2003/608/" TargetMode="External"/><Relationship Id="rId19" Type="http://schemas.openxmlformats.org/officeDocument/2006/relationships/hyperlink" Target="https://www.slov-lex.sk/pravne-predpisy/SK/ZZ/2003/607/" TargetMode="External"/><Relationship Id="rId31" Type="http://schemas.openxmlformats.org/officeDocument/2006/relationships/hyperlink" Target="https://www.slov-lex.sk/pravne-predpisy/SK/ZZ/1976/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3/608/" TargetMode="External"/><Relationship Id="rId14" Type="http://schemas.openxmlformats.org/officeDocument/2006/relationships/hyperlink" Target="https://www.slov-lex.sk/pravne-predpisy/SK/ZZ/2003/608/" TargetMode="External"/><Relationship Id="rId22" Type="http://schemas.openxmlformats.org/officeDocument/2006/relationships/hyperlink" Target="https://www.slov-lex.sk/pravne-predpisy/SK/ZZ/1976/50/" TargetMode="External"/><Relationship Id="rId27" Type="http://schemas.openxmlformats.org/officeDocument/2006/relationships/hyperlink" Target="https://www.slov-lex.sk/pravne-predpisy/SK/ZZ/1993/278/" TargetMode="External"/><Relationship Id="rId30" Type="http://schemas.openxmlformats.org/officeDocument/2006/relationships/hyperlink" Target="https://www.slov-lex.sk/pravne-predpisy/SK/ZZ/1976/50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lov-lex.sk/pravne-predpisy/SK/ZZ/2003/60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Tančiboková Pavla</dc:creator>
  <cp:keywords/>
  <dc:description/>
  <cp:lastModifiedBy>Semanco Martin</cp:lastModifiedBy>
  <cp:revision>13</cp:revision>
  <dcterms:created xsi:type="dcterms:W3CDTF">2021-05-03T09:26:00Z</dcterms:created>
  <dcterms:modified xsi:type="dcterms:W3CDTF">2021-06-24T14:37:00Z</dcterms:modified>
</cp:coreProperties>
</file>