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1" w:rsidRDefault="009C3691" w:rsidP="009C3691">
      <w:pPr>
        <w:pStyle w:val="Nzov"/>
      </w:pPr>
      <w:r>
        <w:t>ZBIERKA</w:t>
      </w:r>
      <w:r>
        <w:rPr>
          <w:spacing w:val="45"/>
        </w:rPr>
        <w:t xml:space="preserve"> </w:t>
      </w:r>
      <w:r>
        <w:rPr>
          <w:noProof/>
          <w:spacing w:val="45"/>
          <w:position w:val="-10"/>
          <w:lang w:eastAsia="sk-SK"/>
        </w:rPr>
        <w:drawing>
          <wp:inline distT="0" distB="0" distL="0" distR="0" wp14:anchorId="446114D3" wp14:editId="5B68C2EF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ZÁKONOV</w:t>
      </w:r>
    </w:p>
    <w:p w:rsidR="009C3691" w:rsidRDefault="009C3691" w:rsidP="009C3691">
      <w:pPr>
        <w:spacing w:before="8"/>
        <w:ind w:left="105" w:right="105"/>
        <w:jc w:val="center"/>
        <w:rPr>
          <w:sz w:val="34"/>
        </w:rPr>
      </w:pPr>
      <w:r>
        <w:rPr>
          <w:sz w:val="34"/>
        </w:rPr>
        <w:t>SLOVENSKEJ REPUBLIKY</w:t>
      </w:r>
    </w:p>
    <w:p w:rsidR="009C3691" w:rsidRDefault="009C3691" w:rsidP="009C3691">
      <w:pPr>
        <w:spacing w:before="168"/>
        <w:ind w:left="105" w:right="105"/>
        <w:jc w:val="center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0B3452" wp14:editId="11E32467">
                <wp:simplePos x="0" y="0"/>
                <wp:positionH relativeFrom="page">
                  <wp:posOffset>701675</wp:posOffset>
                </wp:positionH>
                <wp:positionV relativeFrom="paragraph">
                  <wp:posOffset>412115</wp:posOffset>
                </wp:positionV>
                <wp:extent cx="6155690" cy="1270"/>
                <wp:effectExtent l="0" t="0" r="0" b="0"/>
                <wp:wrapTopAndBottom/>
                <wp:docPr id="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E58D15" id="Freeform 26" o:spid="_x0000_s1026" style="position:absolute;margin-left:55.25pt;margin-top:32.45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Ročník 2003</w:t>
      </w:r>
    </w:p>
    <w:p w:rsidR="009C3691" w:rsidRDefault="009C3691" w:rsidP="009C3691">
      <w:pPr>
        <w:tabs>
          <w:tab w:val="left" w:pos="4991"/>
        </w:tabs>
        <w:spacing w:before="10" w:line="355" w:lineRule="auto"/>
        <w:ind w:left="105" w:right="103"/>
        <w:jc w:val="center"/>
      </w:pPr>
      <w:r>
        <w:t xml:space="preserve">Vyhlásené: </w:t>
      </w:r>
      <w:r>
        <w:tab/>
        <w:t>Časová verzia predpisu účinná od: 3.5.2021</w:t>
      </w:r>
    </w:p>
    <w:p w:rsidR="009C3691" w:rsidRDefault="009C3691" w:rsidP="009C3691">
      <w:pPr>
        <w:tabs>
          <w:tab w:val="left" w:pos="4991"/>
        </w:tabs>
        <w:spacing w:before="10" w:line="355" w:lineRule="auto"/>
        <w:ind w:left="105" w:right="103"/>
        <w:jc w:val="center"/>
      </w:pPr>
      <w:r>
        <w:t>Obsah dokumentu je právne záväzný.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608</w:t>
      </w:r>
    </w:p>
    <w:p w:rsidR="009C3691" w:rsidRDefault="009C3691" w:rsidP="009C3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ZÁKON</w:t>
      </w:r>
    </w:p>
    <w:p w:rsidR="009C3691" w:rsidRPr="009C3691" w:rsidRDefault="009C3691" w:rsidP="009C369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 3. decembra 2003</w:t>
      </w:r>
    </w:p>
    <w:p w:rsidR="009C3691" w:rsidRPr="009C3691" w:rsidRDefault="009C3691" w:rsidP="009C36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 štátnej správe pre územné plánovanie, stavebný poriadok a bývanie a o zmene a doplnení zákona č. </w:t>
      </w:r>
      <w:hyperlink r:id="rId6" w:tooltip="Odkaz na predpis alebo ustanovenie" w:history="1">
        <w:r w:rsidRPr="009C3691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o územnom plánovaní a stavebnom poriadku (stavebný zákon) v znení neskorších predpisov</w:t>
      </w:r>
    </w:p>
    <w:p w:rsidR="007A66DB" w:rsidRDefault="007A66DB" w:rsidP="007A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7A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Národná rada Slovenskej republiky sa uzniesla na tomto zákone:</w:t>
      </w:r>
    </w:p>
    <w:p w:rsid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</w:t>
      </w:r>
    </w:p>
    <w:p w:rsidR="007A66DB" w:rsidRDefault="007A66DB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:rsidR="00706EAD" w:rsidRDefault="009C3691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Orgány štátnej správy pre územné plánovanie, stavebný poriadok a</w:t>
      </w:r>
      <w:r w:rsid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 </w:t>
      </w:r>
      <w:r w:rsidRP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bývanie</w:t>
      </w:r>
    </w:p>
    <w:p w:rsidR="00D0047B" w:rsidRPr="00D0047B" w:rsidRDefault="00D0047B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Orgány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>štátnej správy pre bývanie</w:t>
      </w:r>
    </w:p>
    <w:p w:rsidR="00D41CD2" w:rsidRPr="00D41CD2" w:rsidRDefault="00D41CD2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sk-SK"/>
        </w:rPr>
      </w:pPr>
    </w:p>
    <w:p w:rsidR="009C3691" w:rsidRPr="00D0047B" w:rsidRDefault="009C3691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(1) Štátnu správu na úsekoch územného plánovania, stavebného poriadku a bývania vykonávajú:</w:t>
      </w:r>
    </w:p>
    <w:p w:rsidR="007A66DB" w:rsidRPr="00D0047B" w:rsidRDefault="00EF1137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 dopravy Slovenskej republiky (ďalej len „ministerstvo“),</w:t>
      </w:r>
    </w:p>
    <w:p w:rsidR="007D3DB6" w:rsidRPr="00D0047B" w:rsidRDefault="007D3DB6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Úrad pre územné plánovanie a výstavbu Slovenskej republiky (ďalej len „úrad“),</w:t>
      </w:r>
    </w:p>
    <w:p w:rsidR="007A66DB" w:rsidRPr="00D0047B" w:rsidRDefault="00EF1137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okresný úrad v sídle kraja</w:t>
      </w:r>
      <w:r w:rsidR="007A66DB"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,</w:t>
      </w:r>
    </w:p>
    <w:p w:rsidR="009C3691" w:rsidRPr="00D0047B" w:rsidRDefault="009C3691" w:rsidP="009C369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 v rozsahu ustanovenom osobitnými predpismi,</w:t>
      </w:r>
      <w:hyperlink r:id="rId7" w:anchor="poznamky.poznamka-1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1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9C3691" w:rsidRPr="00D0047B" w:rsidRDefault="009C3691" w:rsidP="009C369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Slovenská stavebná inšpekcia v rozsahu ustanovenom osobitným predpisom.</w:t>
      </w:r>
      <w:hyperlink r:id="rId8" w:anchor="poznamky.poznamka-2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2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C440CF" w:rsidRPr="00D0047B" w:rsidRDefault="00C440CF" w:rsidP="00C440CF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color w:val="FF0000"/>
          <w:sz w:val="20"/>
          <w:szCs w:val="20"/>
          <w:u w:val="single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(2) Štátnu správu na úseku územného plánovania a stavebného poriadku vykonávajú aj iné orgány v rozsahu ustanovenom osobitným predpisom.</w:t>
      </w:r>
      <w:hyperlink r:id="rId9" w:anchor="poznamky.poznamka-3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3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D0047B" w:rsidRDefault="00D0047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color w:val="FF0000"/>
          <w:sz w:val="20"/>
          <w:szCs w:val="20"/>
          <w:u w:val="single"/>
          <w:lang w:eastAsia="sk-SK"/>
        </w:rPr>
      </w:pPr>
    </w:p>
    <w:p w:rsidR="00D0047B" w:rsidRPr="00D0047B" w:rsidRDefault="00D0047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sk-SK"/>
        </w:rPr>
        <w:t>Štátnu správu na úseku bývania vykonávajú</w:t>
      </w:r>
    </w:p>
    <w:p w:rsidR="00D0047B" w:rsidRDefault="00D0047B" w:rsidP="00D0047B">
      <w:pPr>
        <w:pStyle w:val="Odsekzoznamu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Ministerstvo dopravy Slovenskej republiky (ďalej len „ministerstvo“),</w:t>
      </w:r>
    </w:p>
    <w:p w:rsidR="00D0047B" w:rsidRDefault="00D0047B" w:rsidP="00D0047B">
      <w:pPr>
        <w:pStyle w:val="Odsekzoznamu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okresný úrad v sídle kraja,</w:t>
      </w:r>
    </w:p>
    <w:p w:rsidR="00D0047B" w:rsidRPr="00D0047B" w:rsidRDefault="00D0047B" w:rsidP="00D0047B">
      <w:pPr>
        <w:pStyle w:val="Odsekzoznamu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obec v rozsahu ustanovenom osobitným predpisom.</w:t>
      </w:r>
      <w:hyperlink r:id="rId10" w:anchor="poznamky.poznamka-1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color w:val="FF0000"/>
            <w:sz w:val="20"/>
            <w:szCs w:val="20"/>
            <w:u w:val="single"/>
            <w:vertAlign w:val="superscript"/>
            <w:lang w:eastAsia="sk-SK"/>
          </w:rPr>
          <w:t>1</w:t>
        </w:r>
        <w:r w:rsidRPr="00D0047B">
          <w:rPr>
            <w:rFonts w:ascii="Times New Roman" w:eastAsia="Times New Roman" w:hAnsi="Times New Roman" w:cs="Times New Roman"/>
            <w:i/>
            <w:iCs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7D3DB6" w:rsidRDefault="007D3DB6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7D3DB6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47B">
        <w:rPr>
          <w:rFonts w:ascii="Times New Roman" w:hAnsi="Times New Roman" w:cs="Times New Roman"/>
          <w:b/>
          <w:sz w:val="20"/>
          <w:szCs w:val="20"/>
        </w:rPr>
        <w:t>§ 1a</w:t>
      </w:r>
    </w:p>
    <w:p w:rsidR="00D0047B" w:rsidRPr="00D0047B" w:rsidRDefault="00D0047B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3DB6" w:rsidRPr="00D0047B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47B">
        <w:rPr>
          <w:rFonts w:ascii="Times New Roman" w:hAnsi="Times New Roman" w:cs="Times New Roman"/>
          <w:b/>
          <w:sz w:val="20"/>
          <w:szCs w:val="20"/>
        </w:rPr>
        <w:t>Pôsobnosť ministerstva</w:t>
      </w:r>
    </w:p>
    <w:p w:rsidR="007D3DB6" w:rsidRPr="00D0047B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7D3DB6" w:rsidRPr="00D0047B" w:rsidRDefault="007D3DB6" w:rsidP="007D3DB6">
      <w:pPr>
        <w:pStyle w:val="Odsekzoznamu"/>
        <w:spacing w:after="20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Ministerstvo na úseku bývania pri tvorbe a uskutočňovaní bytovej politiky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navrhuje základné ciele štátnej bytovej politiky s nevyhnutnými väzbami na sociálnu politiku a finančnú politiku,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spracúva koncepcie v oblasti bývania a navrhuje opatrenia na ich implementáciu,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lastRenderedPageBreak/>
        <w:t>koordinuje a metodicky usmerňuje orgány samosprávy miest a obcí a orgány miestnej štátnej správy,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vykonáva dohľad a kontrolu nad dodržiavaním všeobecne záväzných právnych predpisov v oblasti štátnej podpory rozvoja bývania,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vykonáva správu Štátneho fondu rozvoja bývania (ďalej len „fond“),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zabezpečuje výkon činností a kontroly vynakladania verejných finančných zdrojov na rozvoj bývania,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spolupracuje s inými ústrednými orgánmi štátnej správy pri tvorbe opatrení súvisiacich s rozvojom bývania,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navrhuje, organizuje a zabezpečuje databázu o kvalitatívnom a kvantitatívnom stave bytového fondu,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navrhuje riešenia v oblasti nájomného a poplatkov za služby spojené s užívaním bytov,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zabezpečuje tvorbu metodických materiálov pre užívateľov bytov,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vypracúva analýzy úrovne bývania a ekonomických podmienok na rozvoj bývania,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navrhuje formy podpory štátu a poskytuje vybrané druhy podpôr pre rozvoj bývania,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zabezpečuje metodické usmerňovanie programov rozvoja bývania a miestnych bytových politík,</w:t>
      </w:r>
    </w:p>
    <w:p w:rsidR="007D3DB6" w:rsidRPr="00D0047B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0047B">
        <w:rPr>
          <w:rFonts w:ascii="Times New Roman" w:hAnsi="Times New Roman" w:cs="Times New Roman"/>
          <w:sz w:val="20"/>
          <w:szCs w:val="20"/>
        </w:rPr>
        <w:t>je oprávnené spracúvať osobné údaje o fyzických osobách podľa osobitného predpisu,</w:t>
      </w:r>
      <w:r w:rsidRPr="00D0047B">
        <w:rPr>
          <w:rFonts w:ascii="Times New Roman" w:hAnsi="Times New Roman" w:cs="Times New Roman"/>
          <w:sz w:val="20"/>
          <w:szCs w:val="20"/>
          <w:vertAlign w:val="superscript"/>
        </w:rPr>
        <w:t>6b</w:t>
      </w:r>
      <w:r w:rsidRPr="00D0047B">
        <w:rPr>
          <w:rFonts w:ascii="Times New Roman" w:hAnsi="Times New Roman" w:cs="Times New Roman"/>
          <w:sz w:val="20"/>
          <w:szCs w:val="20"/>
        </w:rPr>
        <w:t>) ktoré užívajú byty v nájomnom vzťahu, na ktorý sa vzťahuje regulácia cien nájmu podľa osobitného predpisu,</w:t>
      </w:r>
      <w:r w:rsidRPr="00D0047B">
        <w:rPr>
          <w:rFonts w:ascii="Times New Roman" w:hAnsi="Times New Roman" w:cs="Times New Roman"/>
          <w:sz w:val="20"/>
          <w:szCs w:val="20"/>
          <w:vertAlign w:val="superscript"/>
        </w:rPr>
        <w:t>6c</w:t>
      </w:r>
      <w:r w:rsidRPr="00D0047B">
        <w:rPr>
          <w:rFonts w:ascii="Times New Roman" w:hAnsi="Times New Roman" w:cs="Times New Roman"/>
          <w:sz w:val="20"/>
          <w:szCs w:val="20"/>
        </w:rPr>
        <w:t>) a o fyzických osobách žijúcich s nimi v spoločnej domácnosti; dátum narodenia a adresu jej trvalého pobytu, celkovú podlahovú plochu bytu a výšku nájomného.</w:t>
      </w:r>
    </w:p>
    <w:p w:rsidR="007D3DB6" w:rsidRDefault="007D3DB6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1F1DF0" w:rsidRDefault="001F1DF0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D0047B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§ 2</w:t>
      </w:r>
    </w:p>
    <w:p w:rsidR="009C3691" w:rsidRPr="00D0047B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</w:p>
    <w:p w:rsidR="009C3691" w:rsidRPr="00D0047B" w:rsidRDefault="00706EAD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 xml:space="preserve">Pôsobnosť </w:t>
      </w:r>
      <w:r w:rsidR="00EF1137" w:rsidRPr="00D0047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úradu</w:t>
      </w:r>
    </w:p>
    <w:p w:rsidR="00706EAD" w:rsidRPr="00D0047B" w:rsidRDefault="00706EAD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</w:p>
    <w:p w:rsidR="009C3691" w:rsidRPr="00D0047B" w:rsidRDefault="00EF1137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Úrad</w:t>
      </w:r>
    </w:p>
    <w:p w:rsidR="009C3691" w:rsidRPr="00D0047B" w:rsidRDefault="009C3691" w:rsidP="00C440CF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 na úseku územného plánovania</w:t>
      </w:r>
    </w:p>
    <w:p w:rsidR="007A66DB" w:rsidRPr="00D0047B" w:rsidRDefault="007A66DB" w:rsidP="007A66DB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koordinuje činnosť ústredných orgánov štátnej správy, </w:t>
      </w:r>
      <w:r w:rsidR="00EF1137"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okresných úradov v sídle kraja</w:t>
      </w: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, samosprávnych krajov a obcí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je dotknutým orgánom štátnej správy pri prerokúvaní koncepcií, politík a programov ministerstiev a samosprávnych krajov,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vypracúva metodiku obstarávania územných plánov regiónov, územných plánov obcí a územných plánov zón a metodicky usmerňuje orgány územného plánovania,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organizuje vzdelávanie zamestnancov samosprávnych krajov a obcí, ktoré obstarávajú územnoplánovacie podklady a územnoplánovacie dokumenty,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overuje skúškou odbornú spôsobilosť na obstarávanie územnoplánovacej dokumentácie a územnoplánovacích podkladov obcami a samosprávnymi krajmi,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vedie register odborne spôsobilých osôb,</w:t>
      </w:r>
      <w:hyperlink r:id="rId11" w:anchor="poznamky.poznamka-4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4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spoluprácu s inými štátmi, medzinárodnými organizáciami a s orgánmi Európskej únie,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obstaráva Stratégiu územného rozvoja Slovenska a jej aktualizáciu,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obstaráva Koncepciu územného rozvoja Slovenska a jej aktualizáciu a predkladá ju vláde na schválenie,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zverejňuje Koncepciu územného rozvoja Slovenska,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obstaráva územno-technické podklady a poveruje ostatné orgány územného plánovania ich obstaraním,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posudzuje zadanie a návrh územného plánu regiónu a návrh zmien a doplnkov územného plánu regiónu,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prevádzkuje a sprístupňuje informačný systém o územnom plánovaní,</w:t>
      </w:r>
    </w:p>
    <w:p w:rsidR="009C3691" w:rsidRPr="00D0047B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predkladá vláde každé štyri roky správu o stave v oblasti územného rozvoja Slovenskej republiky,</w:t>
      </w:r>
    </w:p>
    <w:p w:rsidR="009C3691" w:rsidRPr="00D0047B" w:rsidRDefault="009C3691" w:rsidP="00C440CF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 úseku stavebného poriadku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vypracúva koncepcie a smery rozvoja na úseku územného rozhodovania, stavebného poriadku, štátneho stavebného dohľadu, stavebnej inšpekcie a postupu vyvlastnenia,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spoluprácu s inými štátmi, medzinárodnými organizáciami a s orgánmi Európskej únie,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spolupracuje s Európskou komisiou na úseku uznávania odborných kvalifikácií pre výkon povolaní architekt a stavebný inžinier,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lastRenderedPageBreak/>
        <w:t>vytvára koncepciu bezpečnosti a vhodnosti výstavby a jednotnej technickej politiky určením všeobecných technických požiadaviek na výstavbu,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vykonáva štátnu stavebnú správu, riadi a kontroluje jej výkon,</w:t>
      </w:r>
    </w:p>
    <w:p w:rsidR="007A66DB" w:rsidRPr="00D0047B" w:rsidRDefault="007A66DB" w:rsidP="007A66DB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metodicky usmerňuje činnosť </w:t>
      </w:r>
      <w:r w:rsidR="00EF1137"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okresného úradu v sídle kraja</w:t>
      </w: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, stavebného úradu a Slovenskej stavebnej inšpekcie,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hlavný štátny stavebný dohľad,</w:t>
      </w:r>
    </w:p>
    <w:p w:rsidR="007A66DB" w:rsidRPr="00D0047B" w:rsidRDefault="007A66DB" w:rsidP="001F1DF0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preskúmava rozhodnutia </w:t>
      </w:r>
      <w:r w:rsidR="00EF1137"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okresného úradu v sídle kraja </w:t>
      </w: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vydané v správnom konaní,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koordinuje uplatňovanie stavebného zákona špeciálnymi, vojenskými a inými stavebnými úradmi,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koordinuje postupy správnych orgánov preskúmavajúcich záujmy chránené osobitnými predpismi v konaniach podľa stavebného zákona,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po prerokovaní s príslušnými ústrednými orgánmi rozhoduje o rozporoch v konaniach podľa stavebného zákona v prípade, že sa vzniknutý rozpor neodstráni dohodou medzi príslušnými dotknutými správnymi orgánmi,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určuje obsah a rozsah odbornej prípravy a postup pri overovaní a osvedčovaní osobitného kvalifikačného predpokladu na výkon činnosti stavebného úradu,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určuje v spolupráci so Slovenskou komorou architektov a Slovenskou komorou stavebných inžinierov obsah odbornej skúšky, vymenúva členov skúšobnej komisie, navrhuje preskúšanie a koordinuje činnosti týchto komôr,</w:t>
      </w:r>
    </w:p>
    <w:p w:rsidR="009C3691" w:rsidRPr="00D0047B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pri prevode majetku štátu podľa osobitného predpisu</w:t>
      </w:r>
      <w:hyperlink r:id="rId12" w:anchor="poznamky.poznamka-5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5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 sa vyjadruje, či sú splnené podmienky na vyvlastnenie podľa osobitného predpisu,</w:t>
      </w:r>
      <w:hyperlink r:id="rId13" w:anchor="poznamky.poznamka-6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6</w:t>
        </w:r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P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4</w:t>
      </w:r>
    </w:p>
    <w:p w:rsidR="00C440CF" w:rsidRP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440CF" w:rsidRPr="00D0047B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Pôsobnosť </w:t>
      </w:r>
      <w:r w:rsidR="00EF1137" w:rsidRPr="00D0047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okresného úradu v sídle kraja</w:t>
      </w:r>
    </w:p>
    <w:p w:rsidR="007A66DB" w:rsidRPr="00C440CF" w:rsidRDefault="007A66DB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Pr="002E6E22" w:rsidRDefault="00C440CF" w:rsidP="00EF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(1</w:t>
      </w:r>
      <w:r w:rsidR="00D0047B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) Okresný</w:t>
      </w: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úrad v sídle kraja</w:t>
      </w:r>
      <w:r w:rsidR="00EF1137"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p w:rsidR="00C440CF" w:rsidRPr="00D0047B" w:rsidRDefault="00C440CF" w:rsidP="00C440CF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na úseku územného plánovania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posudzuje zadanie pre územný plán obce a zadanie pre územný plán zóny,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vydáva stanovisko pri prerokovaní konceptu územného plánu obce a konceptu územného plánu zóny,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vydáva stanovisko pri prerokovaní návrhu územného plánu obce a návrhu územného plánu zóny,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preskúmava návrh územného plánu obce a návrh územného plánu zóny,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rieši rozpory pri prerokúvaní územnoplánovacej dokumentácie,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je metodickým orgánom pre činnosť obce na úseku územného plánovania,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podieľa sa na tvorbe koncepcií v oblasti územného plánovania,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obstaráva a prerokúva územnoplánovacie podklady,</w:t>
      </w:r>
    </w:p>
    <w:p w:rsidR="00C440CF" w:rsidRPr="00D0047B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podieľa sa na vykonávaní informačných činností pre informačný systém o územnom plánovaní,</w:t>
      </w:r>
    </w:p>
    <w:p w:rsidR="00C440CF" w:rsidRPr="00D0047B" w:rsidRDefault="00C440CF" w:rsidP="002E6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b) na úseku stavebného poriadku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vykonáva štátnu stavebnú správu v druhom stupni vo veciach, v ktorých v správnom konaní v prvom stupni koná obec ako stavebný úrad,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riadi a kontroluje výkon prenesenej štátnej správy vykonávanej obcami ako stavebnými úradmi,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plní úlohy štátneho stavebného dohľadu,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zabezpečuje výkon pôsobnosti stavebného úradu, ak obec dlhodobo, najmenej šesť mesiacov, nevykonáva svoju pôsobnosť stavebného úradu,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zabezpečuje výkon pôsobnosti stavebného úradu pri vyhradenej právomoci pri jednotlivých technicky náročných alebo neobvyklých stavbách alebo opatreniach s väčšími alebo rozsiahlejšími účinkami na životné prostredie v ich okolí,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určuje, ktorý stavebný úrad vykoná konanie a vydá rozhodnutie v prípade stavieb alebo opatrení presahujúcich hranice územného obvodu jedného stavebného úradu,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podieľa sa na tvorbe koncepcií v oblasti povoľovania a realizácie stavieb,</w:t>
      </w:r>
    </w:p>
    <w:p w:rsidR="00C440CF" w:rsidRPr="00D0047B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vykonáva pôsobnosť stavebného úradu v rozsahu ustanovenom osobitným predpisom,6a)</w:t>
      </w:r>
    </w:p>
    <w:p w:rsidR="00C440CF" w:rsidRPr="002E6E22" w:rsidRDefault="00D0047B" w:rsidP="002E6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c</w:t>
      </w:r>
      <w:r w:rsidR="001F1DF0"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)</w:t>
      </w:r>
      <w:r w:rsidRPr="00D0047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>a)</w:t>
      </w:r>
      <w:r w:rsidR="00C440CF"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na úseku bývania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posudzuje a overuje údaje v žiadosti o poskytnutie dotácií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kontrolu vynakladania verejných finančných prostriedkov na rozvoj bývania poskytnutých ministerstvom a fondom,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vykonáva kontrolu dodržiavania zmluvných podmienok vyplývajúcich zo zmlúv uzatvorených ministerstvom alebo fondom v oblasti podpory rozvoja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prevod finančných prostriedkov podľa uzatvorených zmlúv o poskytnutí dotácií na rozvoj bývania uzatvorených v rámci programu rozvoja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kontrolu čerpania podpory poskytnutej z fondu pred jej úhradou bankou,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spracovanie podkladov a návrhov na rozvoj bývania v príslušnom kraji,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spolupracuje s inými orgánmi štátnej správy pri tvorbe opatrení súvisiacich s rozvojom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spracovanie regionálnych koncepcií zameraných na vytváranie podmienok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vedie evidenciu podaných žiadostí o poskytovanie dotácií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poskytuje informácie o formách pomoci štátu pri zveľaďovaní a rozširovaní bytového fondu,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spolupracuje s orgánmi územnej samosprávy pri riešení problémov rozvoja bývania,</w:t>
      </w:r>
    </w:p>
    <w:p w:rsid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metodicky usmerňuje orgány územnej samosprávy pri tvorbe a realizácii miestnej bytovej politiky, pri zabezpečovaní dostupnosti pozemkov na bytovú výstavbu a ich zainvestovaní technickou vybavenosťou.</w:t>
      </w:r>
    </w:p>
    <w:p w:rsidR="007A66DB" w:rsidRPr="00C440CF" w:rsidRDefault="007A66DB" w:rsidP="007A66D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440CF" w:rsidRP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(2) </w:t>
      </w:r>
      <w:r w:rsidR="00EF1137" w:rsidRPr="00D0047B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Okresný úrad v sídle kraja</w:t>
      </w:r>
      <w:r w:rsidR="00EF1137" w:rsidRPr="001F1D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 </w:t>
      </w: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vykonáva činnosti uvedené </w:t>
      </w:r>
      <w:r w:rsidRPr="00D0047B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v odseku 1 písm. c)</w:t>
      </w:r>
      <w:r w:rsidRPr="00D0047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 </w:t>
      </w:r>
      <w:r w:rsidR="00D0047B" w:rsidRPr="00D0047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v odseku 1 písm. a) </w:t>
      </w: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štvrtom bode prostredníctvom mimorozpočtového účtu</w:t>
      </w:r>
      <w:r w:rsid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</w:t>
      </w: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5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Pôsobnosť obce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Obec v rámci preneseného výkonu štátnej správy</w:t>
      </w:r>
    </w:p>
    <w:p w:rsidR="009C3691" w:rsidRPr="00FC0F8D" w:rsidRDefault="009C3691" w:rsidP="002E6E22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 úseku stavebného poriadku</w:t>
      </w:r>
    </w:p>
    <w:p w:rsidR="009C3691" w:rsidRPr="00FC0F8D" w:rsidRDefault="009C3691" w:rsidP="007A66D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vykonáva pôsobnosť stavebného úradu,</w:t>
      </w:r>
    </w:p>
    <w:p w:rsidR="009C3691" w:rsidRPr="00FC0F8D" w:rsidRDefault="009C3691" w:rsidP="007A66D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štátny stavebný dohľad,</w:t>
      </w:r>
    </w:p>
    <w:p w:rsidR="009C3691" w:rsidRPr="00131DA8" w:rsidRDefault="00131DA8" w:rsidP="002E6E22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b)</w:t>
      </w:r>
      <w:r w:rsidR="00FC0F8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 </w:t>
      </w:r>
      <w:r w:rsidR="00FC0F8D" w:rsidRPr="00FC0F8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a)</w:t>
      </w:r>
      <w:r w:rsidRPr="002E6E2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9C3691" w:rsidRPr="00131DA8">
        <w:rPr>
          <w:rFonts w:ascii="Times New Roman" w:eastAsia="Times New Roman" w:hAnsi="Times New Roman" w:cs="Times New Roman"/>
          <w:sz w:val="20"/>
          <w:szCs w:val="20"/>
          <w:lang w:eastAsia="sk-SK"/>
        </w:rPr>
        <w:t>na úseku bývania zabezpečuje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overovanie úplnosti náležitostí žiadosti o podporu rozvoja bývania z fondu a žiadosti podľa vládneho programu zatepľovania,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preskúmanie bytových pomerov žiadateľov o poskytnutie podpory,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predloženie overenej žiadosti na fond,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kontrolu dodržiavania zmluvných podmienok a kontrolu čerpania podpory podľa osobitného predpisu.</w:t>
      </w:r>
      <w:hyperlink r:id="rId14" w:anchor="poznamky.poznamka-7" w:tooltip="Odkaz na predpis alebo ustanovenie" w:history="1">
        <w:r w:rsidRPr="007A66D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7</w:t>
        </w:r>
        <w:r w:rsidRPr="007A66D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6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Prechodné ustanovenia</w:t>
      </w: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 povinnosti zo štátnozamestnaneckých pomerov štátnych zamestnancov, ktorí k 31. decembru 2003 vykonávali štátnu službu na krajskom úrade na úsekoch územného plánovania, stavebného poriadku a bytových politík, prechádzajú na krajský stavebný úrad.</w:t>
      </w:r>
    </w:p>
    <w:p w:rsidR="007A66DB" w:rsidRPr="009C3691" w:rsidRDefault="007A66D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 povinnosti z pracovnoprávnych vzťahov zamestnancov krajských úradov, ktorí k 31. decembru 2003 vykonávali verejnú službu na úsekoch územného plánovania, stavebného poriadku, prechádzajú na krajský stavebný úrad.</w:t>
      </w:r>
    </w:p>
    <w:p w:rsidR="00FC0F8D" w:rsidRDefault="00FC0F8D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C0F8D" w:rsidRPr="00FC0F8D" w:rsidRDefault="00FC0F8D" w:rsidP="00FC0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  <w:t>§ 7</w:t>
      </w:r>
    </w:p>
    <w:p w:rsidR="00FC0F8D" w:rsidRPr="00FC0F8D" w:rsidRDefault="00FC0F8D" w:rsidP="00FC0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</w:pPr>
    </w:p>
    <w:p w:rsidR="00FC0F8D" w:rsidRPr="00FC0F8D" w:rsidRDefault="00FC0F8D" w:rsidP="00FC0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</w:pPr>
      <w:r w:rsidRPr="00FC0F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  <w:t>Prechodné ustanovenia k úpravám účinným od 1. januára 2023</w:t>
      </w:r>
    </w:p>
    <w:p w:rsidR="00131DA8" w:rsidRDefault="00131DA8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C0F8D" w:rsidRPr="00BE6C9A" w:rsidRDefault="00BE6C9A" w:rsidP="00BE6C9A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(1) </w:t>
      </w:r>
      <w:r w:rsidR="00FC0F8D" w:rsidRPr="00BE6C9A">
        <w:rPr>
          <w:rFonts w:ascii="Times New Roman" w:hAnsi="Times New Roman" w:cs="Times New Roman"/>
          <w:color w:val="FF0000"/>
          <w:sz w:val="20"/>
          <w:szCs w:val="20"/>
        </w:rPr>
        <w:t xml:space="preserve">Práva a povinnosti zo štátnozamestnaneckých pomerov štátnych zamestnancov, ktorí k 31. decembru 2022 vykonávali štátnu službu na okresnom úrade na úsekoch územného plánovania a stavebného poriadku, prechádzajú na </w:t>
      </w:r>
      <w:r w:rsidR="00212CF7">
        <w:rPr>
          <w:rFonts w:ascii="Times New Roman" w:hAnsi="Times New Roman" w:cs="Times New Roman"/>
          <w:color w:val="FF0000"/>
          <w:sz w:val="20"/>
          <w:szCs w:val="20"/>
        </w:rPr>
        <w:t>Ú</w:t>
      </w:r>
      <w:r w:rsidR="00FC0F8D" w:rsidRPr="00BE6C9A">
        <w:rPr>
          <w:rFonts w:ascii="Times New Roman" w:hAnsi="Times New Roman" w:cs="Times New Roman"/>
          <w:color w:val="FF0000"/>
          <w:sz w:val="20"/>
          <w:szCs w:val="20"/>
        </w:rPr>
        <w:t>rad</w:t>
      </w:r>
      <w:r w:rsidR="00212CF7">
        <w:rPr>
          <w:rFonts w:ascii="Times New Roman" w:hAnsi="Times New Roman" w:cs="Times New Roman"/>
          <w:color w:val="FF0000"/>
          <w:sz w:val="20"/>
          <w:szCs w:val="20"/>
        </w:rPr>
        <w:t xml:space="preserve"> pre územné plánovanie a výstavbu Slovenskej republiky</w:t>
      </w:r>
      <w:r w:rsidR="00FC0F8D" w:rsidRPr="00BE6C9A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C0F8D" w:rsidRPr="00BE6C9A" w:rsidRDefault="00BE6C9A" w:rsidP="00BE6C9A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(2) </w:t>
      </w:r>
      <w:r w:rsidR="00FC0F8D" w:rsidRPr="00BE6C9A">
        <w:rPr>
          <w:rFonts w:ascii="Times New Roman" w:hAnsi="Times New Roman" w:cs="Times New Roman"/>
          <w:color w:val="FF0000"/>
          <w:sz w:val="20"/>
          <w:szCs w:val="20"/>
        </w:rPr>
        <w:t xml:space="preserve">Práva a povinnosti z pracovnoprávnych vzťahov zamestnancov okresných úradov, ktorí k 31. decembru 2022 vykonávali verejnú službu na úsekoch územného plánovania a stavebného poriadku, prechádzajú na </w:t>
      </w:r>
      <w:r w:rsidR="00212CF7">
        <w:rPr>
          <w:rFonts w:ascii="Times New Roman" w:hAnsi="Times New Roman" w:cs="Times New Roman"/>
          <w:color w:val="FF0000"/>
          <w:sz w:val="20"/>
          <w:szCs w:val="20"/>
        </w:rPr>
        <w:t>Ú</w:t>
      </w:r>
      <w:r w:rsidR="00212CF7" w:rsidRPr="00BE6C9A">
        <w:rPr>
          <w:rFonts w:ascii="Times New Roman" w:hAnsi="Times New Roman" w:cs="Times New Roman"/>
          <w:color w:val="FF0000"/>
          <w:sz w:val="20"/>
          <w:szCs w:val="20"/>
        </w:rPr>
        <w:t>rad</w:t>
      </w:r>
      <w:r w:rsidR="00212CF7">
        <w:rPr>
          <w:rFonts w:ascii="Times New Roman" w:hAnsi="Times New Roman" w:cs="Times New Roman"/>
          <w:color w:val="FF0000"/>
          <w:sz w:val="20"/>
          <w:szCs w:val="20"/>
        </w:rPr>
        <w:t xml:space="preserve"> pre územné plánovanie a výstavbu Slovenskej republiky</w:t>
      </w:r>
      <w:bookmarkStart w:id="0" w:name="_GoBack"/>
      <w:bookmarkEnd w:id="0"/>
      <w:r w:rsidR="00FC0F8D" w:rsidRPr="00BE6C9A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C0F8D" w:rsidRPr="009C3691" w:rsidRDefault="00FC0F8D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II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 č. </w:t>
      </w:r>
      <w:hyperlink r:id="rId15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územnom plánovaní a stavebnom poriadku (stavebný zákon) v znení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 a zákona č. 417/2003 Z. z. sa mení a dopĺňa takto:</w:t>
      </w:r>
    </w:p>
    <w:p w:rsidR="007A66DB" w:rsidRPr="009C3691" w:rsidRDefault="007A66D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Slová „krajský úrad“ vo všetkých tvaroch sa v celom texte zákona nahrádzajú slovami „krajský stavebný úrad“ v príslušnom tvare.</w:t>
      </w:r>
    </w:p>
    <w:p w:rsid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20 ods. 2 sa vypúšťa veta „Krajský úrad spracuje súhrnné stanovisko za všetky orgány štátnej správy v jeho pôsobnosti.“.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105 sa za odsek 4 vkladá nový odsek 5, ktorý znie: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„(5)</w:t>
      </w:r>
      <w:r w:rsidR="00C440C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Priestupky </w:t>
      </w:r>
      <w:proofErr w:type="spellStart"/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prejednáva</w:t>
      </w:r>
      <w:proofErr w:type="spellEnd"/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stavebný úrad alebo inšpekcia.“.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Doterajší odsek 5 sa označuje ako odsek 6.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106 sa v odsekoch 1 až 3 za slovo „úrad“ vkladajú slová „alebo inšpekcia“.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117 ods. 1 sa vypúšťa tretia veta.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123a ods. 1 sa slová „v Bratislave, Banskej Bystrici, Nitre, Košiciach a Žiline“ nahrádzajú slovami „v meste, ktoré je sídlom kraja“ a slová „sú uvedené v prílohe“ sa nahrádzajú slovami „sú totožné s územnými obvodmi krajov“.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123a ods. 2 sa vkladá nová prvá veta, ktorá znie: „Riaditeľstvo je služobným úradom štátnych zamestnancov, ktorí v ňom vykonávajú štátnu službu, a zamestnávateľom zamestnancov, ktorí v ňom vykonávajú verejnú službu.“.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130 ods. 2 sa slová „krajské úrady, okresné úrady“ nahrádzajú slovami „krajské stavebné úrady“.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§ 141 sa dopĺňa odsekom 9, ktorý znie: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„(9)</w:t>
      </w:r>
      <w:r w:rsidR="00C440C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Správne konanie na úseku stavebného poriadku začaté krajským úradom pred 1. januárom 2004 dokončí miestne príslušný krajský stavebný úrad.“.</w:t>
      </w:r>
    </w:p>
    <w:p w:rsidR="009C3691" w:rsidRPr="007A66DB" w:rsidRDefault="00C440CF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Prílo</w:t>
      </w:r>
      <w:r w:rsidR="009C3691"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ha k zákonu sa vypúšťa.</w:t>
      </w: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III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Tento zákon nadobúda účinnosť 1. januára 2004.</w:t>
      </w:r>
    </w:p>
    <w:p w:rsidR="007A66DB" w:rsidRDefault="007A66DB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Rudolf Schuster v. r.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Pavol Hrušovský v. r.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Mikuláš Dzurinda v. r.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06EAD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1)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16" w:anchor="paragraf-117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§ 117</w:t>
        </w:r>
      </w:hyperlink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 zákona č. </w:t>
      </w:r>
      <w:hyperlink r:id="rId17" w:tooltip="Odkaz na predpis alebo ustanovenie" w:history="1">
        <w:r w:rsidRPr="00D0047B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50/1976 Zb.</w:t>
        </w:r>
      </w:hyperlink>
      <w:r w:rsidRPr="00D0047B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 o územnom plánovaní a stavebnom poriadku (stavebný zákon) v znení neskorších predpisov.</w:t>
      </w:r>
      <w:r w:rsidR="00706EAD" w:rsidRPr="00ED091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0047B" w:rsidRPr="00D0047B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§ 11 zákona č. 607/2003 o štátnom fonde rozvoja bývania.</w:t>
      </w:r>
    </w:p>
    <w:p w:rsidR="009C3691" w:rsidRPr="009C3691" w:rsidRDefault="00212CF7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hyperlink r:id="rId18" w:anchor="paragraf-11" w:tooltip="Odkaz na predpis alebo ustanovenie" w:history="1">
        <w:r w:rsidR="009C3691"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</w:t>
        </w:r>
      </w:hyperlink>
      <w:r w:rsidR="009C3691"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19" w:tooltip="Odkaz na predpis alebo ustanovenie" w:history="1">
        <w:r w:rsidR="009C3691"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607/2003 Z. z.</w:t>
        </w:r>
      </w:hyperlink>
      <w:r w:rsidR="009C3691"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štátnom fonde rozvoja bývania.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2)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0" w:anchor="paragraf-123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123a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1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3)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2" w:anchor="paragraf-16.odsek-4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16 ods. 4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, </w:t>
      </w:r>
      <w:hyperlink r:id="rId23" w:anchor="paragraf-120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120 a 121 zákona č. 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4)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4" w:anchor="paragraf-2.odsek-6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2a ods. 6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5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5)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6" w:anchor="paragraf-8.odsek-2.pismeno-c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8 ods. 2 písm. c)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7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278/1993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správe majetku štátu 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8" w:anchor="paragraf-108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108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9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6a)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30" w:anchor="paragraf-117a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117a zákona č. 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6b)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 </w:t>
      </w:r>
      <w:hyperlink r:id="rId31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č. 428/2002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ochrane osobných údajov 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6c)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 Národnej rady Slovenskej republiky </w:t>
      </w:r>
      <w:hyperlink r:id="rId32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č. 18/1996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cenách v znení neskorších predpisov.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7)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33" w:anchor="paragraf-13.odsek-3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13 ods. 3 zákona č. 607/2003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Štátnom fonde rozvoja bývania v znení neskorších predpisov</w:t>
      </w:r>
    </w:p>
    <w:p w:rsidR="00A57D66" w:rsidRPr="009C3691" w:rsidRDefault="00A57D66">
      <w:pPr>
        <w:rPr>
          <w:rFonts w:ascii="Times New Roman" w:hAnsi="Times New Roman" w:cs="Times New Roman"/>
          <w:sz w:val="20"/>
          <w:szCs w:val="20"/>
        </w:rPr>
      </w:pPr>
    </w:p>
    <w:sectPr w:rsidR="00A57D66" w:rsidRPr="009C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19D"/>
    <w:multiLevelType w:val="hybridMultilevel"/>
    <w:tmpl w:val="BDBEB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34EB"/>
    <w:multiLevelType w:val="hybridMultilevel"/>
    <w:tmpl w:val="174E4C14"/>
    <w:lvl w:ilvl="0" w:tplc="3064B3B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26E"/>
    <w:multiLevelType w:val="hybridMultilevel"/>
    <w:tmpl w:val="CB0E52F0"/>
    <w:lvl w:ilvl="0" w:tplc="90B2768E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838"/>
    <w:multiLevelType w:val="hybridMultilevel"/>
    <w:tmpl w:val="5F6AF14A"/>
    <w:lvl w:ilvl="0" w:tplc="0FA8DBA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5E97"/>
    <w:multiLevelType w:val="hybridMultilevel"/>
    <w:tmpl w:val="D09A32EE"/>
    <w:lvl w:ilvl="0" w:tplc="6924EDC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EA30D49"/>
    <w:multiLevelType w:val="hybridMultilevel"/>
    <w:tmpl w:val="989863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6086"/>
    <w:multiLevelType w:val="hybridMultilevel"/>
    <w:tmpl w:val="E9AC2B4A"/>
    <w:lvl w:ilvl="0" w:tplc="096CD174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A0F"/>
    <w:multiLevelType w:val="hybridMultilevel"/>
    <w:tmpl w:val="5A92F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565D"/>
    <w:multiLevelType w:val="hybridMultilevel"/>
    <w:tmpl w:val="F0E646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562D8"/>
    <w:multiLevelType w:val="hybridMultilevel"/>
    <w:tmpl w:val="74624574"/>
    <w:lvl w:ilvl="0" w:tplc="0DDE45F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E54"/>
    <w:multiLevelType w:val="hybridMultilevel"/>
    <w:tmpl w:val="DB04A5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223A"/>
    <w:multiLevelType w:val="hybridMultilevel"/>
    <w:tmpl w:val="6E32F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2C4C"/>
    <w:multiLevelType w:val="hybridMultilevel"/>
    <w:tmpl w:val="737AACA6"/>
    <w:lvl w:ilvl="0" w:tplc="B7DACD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547C"/>
    <w:multiLevelType w:val="hybridMultilevel"/>
    <w:tmpl w:val="0CB001EA"/>
    <w:lvl w:ilvl="0" w:tplc="D68E949E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2F4"/>
    <w:multiLevelType w:val="hybridMultilevel"/>
    <w:tmpl w:val="83CCC2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450F7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4" w:hanging="360"/>
      </w:p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4FA06F7F"/>
    <w:multiLevelType w:val="hybridMultilevel"/>
    <w:tmpl w:val="4476B6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0E8"/>
    <w:multiLevelType w:val="hybridMultilevel"/>
    <w:tmpl w:val="A1547A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34B0"/>
    <w:multiLevelType w:val="hybridMultilevel"/>
    <w:tmpl w:val="DE8C5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7E04"/>
    <w:multiLevelType w:val="hybridMultilevel"/>
    <w:tmpl w:val="2234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03B02"/>
    <w:multiLevelType w:val="hybridMultilevel"/>
    <w:tmpl w:val="F7088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543AD"/>
    <w:multiLevelType w:val="hybridMultilevel"/>
    <w:tmpl w:val="0DF26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444B"/>
    <w:multiLevelType w:val="hybridMultilevel"/>
    <w:tmpl w:val="5FC2F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E5334"/>
    <w:multiLevelType w:val="hybridMultilevel"/>
    <w:tmpl w:val="E21A8874"/>
    <w:lvl w:ilvl="0" w:tplc="3870B3C2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5B6"/>
    <w:multiLevelType w:val="hybridMultilevel"/>
    <w:tmpl w:val="98264E68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8635CD2"/>
    <w:multiLevelType w:val="hybridMultilevel"/>
    <w:tmpl w:val="EB3E66F0"/>
    <w:lvl w:ilvl="0" w:tplc="6A8614AA">
      <w:start w:val="1"/>
      <w:numFmt w:val="lowerLetter"/>
      <w:lvlText w:val="%1)"/>
      <w:lvlJc w:val="left"/>
      <w:pPr>
        <w:ind w:left="1125" w:hanging="360"/>
      </w:pPr>
      <w:rPr>
        <w:rFonts w:hint="default"/>
        <w:strike/>
        <w:color w:val="FF0000"/>
      </w:rPr>
    </w:lvl>
    <w:lvl w:ilvl="1" w:tplc="D436D6DE">
      <w:start w:val="1"/>
      <w:numFmt w:val="decimal"/>
      <w:lvlText w:val="%2."/>
      <w:lvlJc w:val="left"/>
      <w:pPr>
        <w:ind w:left="1635" w:hanging="1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96461D2"/>
    <w:multiLevelType w:val="hybridMultilevel"/>
    <w:tmpl w:val="CD74947E"/>
    <w:lvl w:ilvl="0" w:tplc="B3346A8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6E8A6DA6"/>
    <w:multiLevelType w:val="hybridMultilevel"/>
    <w:tmpl w:val="94FAE1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5749C"/>
    <w:multiLevelType w:val="hybridMultilevel"/>
    <w:tmpl w:val="F5762F9A"/>
    <w:lvl w:ilvl="0" w:tplc="777667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6567D"/>
    <w:multiLevelType w:val="hybridMultilevel"/>
    <w:tmpl w:val="43EADCFE"/>
    <w:lvl w:ilvl="0" w:tplc="459CC6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C32177"/>
    <w:multiLevelType w:val="hybridMultilevel"/>
    <w:tmpl w:val="C14061F2"/>
    <w:lvl w:ilvl="0" w:tplc="9768F196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10D1"/>
    <w:multiLevelType w:val="hybridMultilevel"/>
    <w:tmpl w:val="AEAEB8EE"/>
    <w:lvl w:ilvl="0" w:tplc="CCD45F4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73402"/>
    <w:multiLevelType w:val="hybridMultilevel"/>
    <w:tmpl w:val="2632B34C"/>
    <w:lvl w:ilvl="0" w:tplc="FCCCAD0C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274E2"/>
    <w:multiLevelType w:val="hybridMultilevel"/>
    <w:tmpl w:val="8C0E9702"/>
    <w:lvl w:ilvl="0" w:tplc="B566B3E2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A653D"/>
    <w:multiLevelType w:val="hybridMultilevel"/>
    <w:tmpl w:val="D3029F04"/>
    <w:lvl w:ilvl="0" w:tplc="531AA6C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88E300A"/>
    <w:multiLevelType w:val="hybridMultilevel"/>
    <w:tmpl w:val="4C245080"/>
    <w:lvl w:ilvl="0" w:tplc="D76CEEB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E7747"/>
    <w:multiLevelType w:val="hybridMultilevel"/>
    <w:tmpl w:val="3C4458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10C8D"/>
    <w:multiLevelType w:val="hybridMultilevel"/>
    <w:tmpl w:val="6DA6D764"/>
    <w:lvl w:ilvl="0" w:tplc="1932F6D2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757D4"/>
    <w:multiLevelType w:val="hybridMultilevel"/>
    <w:tmpl w:val="CCF2FD5A"/>
    <w:lvl w:ilvl="0" w:tplc="97762F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0"/>
  </w:num>
  <w:num w:numId="3">
    <w:abstractNumId w:val="18"/>
  </w:num>
  <w:num w:numId="4">
    <w:abstractNumId w:val="31"/>
  </w:num>
  <w:num w:numId="5">
    <w:abstractNumId w:val="24"/>
  </w:num>
  <w:num w:numId="6">
    <w:abstractNumId w:val="21"/>
  </w:num>
  <w:num w:numId="7">
    <w:abstractNumId w:val="33"/>
  </w:num>
  <w:num w:numId="8">
    <w:abstractNumId w:val="11"/>
  </w:num>
  <w:num w:numId="9">
    <w:abstractNumId w:val="6"/>
  </w:num>
  <w:num w:numId="10">
    <w:abstractNumId w:val="34"/>
  </w:num>
  <w:num w:numId="11">
    <w:abstractNumId w:val="10"/>
  </w:num>
  <w:num w:numId="12">
    <w:abstractNumId w:val="13"/>
  </w:num>
  <w:num w:numId="13">
    <w:abstractNumId w:val="20"/>
  </w:num>
  <w:num w:numId="14">
    <w:abstractNumId w:val="32"/>
  </w:num>
  <w:num w:numId="15">
    <w:abstractNumId w:val="16"/>
  </w:num>
  <w:num w:numId="16">
    <w:abstractNumId w:val="2"/>
  </w:num>
  <w:num w:numId="17">
    <w:abstractNumId w:val="26"/>
  </w:num>
  <w:num w:numId="18">
    <w:abstractNumId w:val="22"/>
  </w:num>
  <w:num w:numId="19">
    <w:abstractNumId w:val="1"/>
  </w:num>
  <w:num w:numId="20">
    <w:abstractNumId w:val="5"/>
  </w:num>
  <w:num w:numId="21">
    <w:abstractNumId w:val="9"/>
  </w:num>
  <w:num w:numId="22">
    <w:abstractNumId w:val="36"/>
  </w:num>
  <w:num w:numId="23">
    <w:abstractNumId w:val="12"/>
  </w:num>
  <w:num w:numId="24">
    <w:abstractNumId w:val="25"/>
  </w:num>
  <w:num w:numId="25">
    <w:abstractNumId w:val="8"/>
  </w:num>
  <w:num w:numId="26">
    <w:abstractNumId w:val="37"/>
  </w:num>
  <w:num w:numId="27">
    <w:abstractNumId w:val="27"/>
  </w:num>
  <w:num w:numId="28">
    <w:abstractNumId w:val="3"/>
  </w:num>
  <w:num w:numId="29">
    <w:abstractNumId w:val="7"/>
  </w:num>
  <w:num w:numId="30">
    <w:abstractNumId w:val="14"/>
  </w:num>
  <w:num w:numId="31">
    <w:abstractNumId w:val="17"/>
  </w:num>
  <w:num w:numId="32">
    <w:abstractNumId w:val="15"/>
  </w:num>
  <w:num w:numId="33">
    <w:abstractNumId w:val="38"/>
  </w:num>
  <w:num w:numId="34">
    <w:abstractNumId w:val="23"/>
  </w:num>
  <w:num w:numId="35">
    <w:abstractNumId w:val="28"/>
  </w:num>
  <w:num w:numId="36">
    <w:abstractNumId w:val="29"/>
  </w:num>
  <w:num w:numId="37">
    <w:abstractNumId w:val="0"/>
  </w:num>
  <w:num w:numId="38">
    <w:abstractNumId w:val="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C8"/>
    <w:rsid w:val="00012EC8"/>
    <w:rsid w:val="00131DA8"/>
    <w:rsid w:val="001F1DF0"/>
    <w:rsid w:val="00212CF7"/>
    <w:rsid w:val="002E6E22"/>
    <w:rsid w:val="0060482E"/>
    <w:rsid w:val="00706EAD"/>
    <w:rsid w:val="007A66DB"/>
    <w:rsid w:val="007D3DB6"/>
    <w:rsid w:val="009B656B"/>
    <w:rsid w:val="009C3691"/>
    <w:rsid w:val="00A57D66"/>
    <w:rsid w:val="00BE6C9A"/>
    <w:rsid w:val="00C440CF"/>
    <w:rsid w:val="00D0047B"/>
    <w:rsid w:val="00D041B7"/>
    <w:rsid w:val="00D41CD2"/>
    <w:rsid w:val="00DF57BF"/>
    <w:rsid w:val="00ED0918"/>
    <w:rsid w:val="00EF1137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8222-2468-4155-A644-1AC4B5B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369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9C3691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9C3691"/>
    <w:rPr>
      <w:rFonts w:ascii="TeX Gyre Bonum" w:eastAsia="TeX Gyre Bonum" w:hAnsi="TeX Gyre Bonum" w:cs="TeX Gyre Bonum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9C3691"/>
    <w:pPr>
      <w:widowControl w:val="0"/>
      <w:autoSpaceDE w:val="0"/>
      <w:autoSpaceDN w:val="0"/>
      <w:spacing w:after="0" w:line="283" w:lineRule="exact"/>
      <w:ind w:left="105" w:right="105"/>
      <w:jc w:val="center"/>
      <w:outlineLvl w:val="1"/>
    </w:pPr>
    <w:rPr>
      <w:rFonts w:ascii="TeX Gyre Bonum" w:eastAsia="TeX Gyre Bonum" w:hAnsi="TeX Gyre Bonum" w:cs="TeX Gyre Bonum"/>
      <w:b/>
      <w:bCs/>
      <w:sz w:val="20"/>
      <w:szCs w:val="20"/>
    </w:rPr>
  </w:style>
  <w:style w:type="paragraph" w:styleId="Nzov">
    <w:name w:val="Title"/>
    <w:basedOn w:val="Normlny"/>
    <w:link w:val="NzovChar"/>
    <w:uiPriority w:val="1"/>
    <w:qFormat/>
    <w:rsid w:val="009C3691"/>
    <w:pPr>
      <w:widowControl w:val="0"/>
      <w:autoSpaceDE w:val="0"/>
      <w:autoSpaceDN w:val="0"/>
      <w:spacing w:before="6" w:after="0" w:line="240" w:lineRule="auto"/>
      <w:ind w:left="43" w:right="163"/>
      <w:jc w:val="center"/>
    </w:pPr>
    <w:rPr>
      <w:rFonts w:ascii="TeX Gyre Bonum" w:eastAsia="TeX Gyre Bonum" w:hAnsi="TeX Gyre Bonum" w:cs="TeX Gyre Bonum"/>
      <w:sz w:val="46"/>
      <w:szCs w:val="46"/>
    </w:rPr>
  </w:style>
  <w:style w:type="character" w:customStyle="1" w:styleId="NzovChar">
    <w:name w:val="Názov Char"/>
    <w:basedOn w:val="Predvolenpsmoodseku"/>
    <w:link w:val="Nzov"/>
    <w:uiPriority w:val="1"/>
    <w:rsid w:val="009C3691"/>
    <w:rPr>
      <w:rFonts w:ascii="TeX Gyre Bonum" w:eastAsia="TeX Gyre Bonum" w:hAnsi="TeX Gyre Bonum" w:cs="TeX Gyre Bonum"/>
      <w:sz w:val="46"/>
      <w:szCs w:val="46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C3691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7D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938374385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9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4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9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44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16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86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721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667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21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76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73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8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4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3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7297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6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7950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3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488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08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4360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56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466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23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92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23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624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092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39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4823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1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8081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301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5968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4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384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2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5244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13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278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88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8543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96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72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45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678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069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2838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164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0198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36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253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204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2656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90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876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3940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5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545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8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1722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8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9994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683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3862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518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5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863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661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4110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8983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790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01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8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505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6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749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5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9617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99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248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26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970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3201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1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741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7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45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80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583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0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064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3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6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99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21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729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0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0414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5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839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507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96890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28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192886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915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85916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279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711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8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6129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00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3832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5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069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243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05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4948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078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9204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77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49858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23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09486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55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74036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670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08499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41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73364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97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797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60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11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78218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80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15615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37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1860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13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5669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254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1441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840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9891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53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208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72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12352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95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1921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226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5973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46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0201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66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4893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44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27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209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870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04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7763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8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7408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41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25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2572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829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2131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9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1471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071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10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87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71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361322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0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90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3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84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1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55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2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25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5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47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4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8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41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84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1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5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30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2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6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1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05417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4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4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9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5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06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725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38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23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36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5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98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17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608/" TargetMode="External"/><Relationship Id="rId13" Type="http://schemas.openxmlformats.org/officeDocument/2006/relationships/hyperlink" Target="https://www.slov-lex.sk/pravne-predpisy/SK/ZZ/2003/608/" TargetMode="External"/><Relationship Id="rId18" Type="http://schemas.openxmlformats.org/officeDocument/2006/relationships/hyperlink" Target="https://www.slov-lex.sk/pravne-predpisy/SK/ZZ/2003/607/" TargetMode="External"/><Relationship Id="rId26" Type="http://schemas.openxmlformats.org/officeDocument/2006/relationships/hyperlink" Target="https://www.slov-lex.sk/pravne-predpisy/SK/ZZ/1993/2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1976/5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lov-lex.sk/pravne-predpisy/SK/ZZ/2003/608/" TargetMode="External"/><Relationship Id="rId12" Type="http://schemas.openxmlformats.org/officeDocument/2006/relationships/hyperlink" Target="https://www.slov-lex.sk/pravne-predpisy/SK/ZZ/2003/608/" TargetMode="External"/><Relationship Id="rId17" Type="http://schemas.openxmlformats.org/officeDocument/2006/relationships/hyperlink" Target="https://www.slov-lex.sk/pravne-predpisy/SK/ZZ/1976/50/" TargetMode="External"/><Relationship Id="rId25" Type="http://schemas.openxmlformats.org/officeDocument/2006/relationships/hyperlink" Target="https://www.slov-lex.sk/pravne-predpisy/SK/ZZ/1976/50/" TargetMode="External"/><Relationship Id="rId33" Type="http://schemas.openxmlformats.org/officeDocument/2006/relationships/hyperlink" Target="https://www.slov-lex.sk/pravne-predpisy/SK/ZZ/2003/6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1976/50/" TargetMode="External"/><Relationship Id="rId20" Type="http://schemas.openxmlformats.org/officeDocument/2006/relationships/hyperlink" Target="https://www.slov-lex.sk/pravne-predpisy/SK/ZZ/1976/50/" TargetMode="External"/><Relationship Id="rId29" Type="http://schemas.openxmlformats.org/officeDocument/2006/relationships/hyperlink" Target="https://www.slov-lex.sk/pravne-predpisy/SK/ZZ/1976/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76/50/" TargetMode="External"/><Relationship Id="rId11" Type="http://schemas.openxmlformats.org/officeDocument/2006/relationships/hyperlink" Target="https://www.slov-lex.sk/pravne-predpisy/SK/ZZ/2003/608/" TargetMode="External"/><Relationship Id="rId24" Type="http://schemas.openxmlformats.org/officeDocument/2006/relationships/hyperlink" Target="https://www.slov-lex.sk/pravne-predpisy/SK/ZZ/1976/50/" TargetMode="External"/><Relationship Id="rId32" Type="http://schemas.openxmlformats.org/officeDocument/2006/relationships/hyperlink" Target="https://www.slov-lex.sk/pravne-predpisy/SK/ZZ/1996/18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lov-lex.sk/pravne-predpisy/SK/ZZ/1976/50/" TargetMode="External"/><Relationship Id="rId23" Type="http://schemas.openxmlformats.org/officeDocument/2006/relationships/hyperlink" Target="https://www.slov-lex.sk/pravne-predpisy/SK/ZZ/1976/50/" TargetMode="External"/><Relationship Id="rId28" Type="http://schemas.openxmlformats.org/officeDocument/2006/relationships/hyperlink" Target="https://www.slov-lex.sk/pravne-predpisy/SK/ZZ/1976/50/" TargetMode="External"/><Relationship Id="rId10" Type="http://schemas.openxmlformats.org/officeDocument/2006/relationships/hyperlink" Target="https://www.slov-lex.sk/pravne-predpisy/SK/ZZ/2003/608/" TargetMode="External"/><Relationship Id="rId19" Type="http://schemas.openxmlformats.org/officeDocument/2006/relationships/hyperlink" Target="https://www.slov-lex.sk/pravne-predpisy/SK/ZZ/2003/607/" TargetMode="External"/><Relationship Id="rId31" Type="http://schemas.openxmlformats.org/officeDocument/2006/relationships/hyperlink" Target="https://www.slov-lex.sk/pravne-predpisy/SK/ZZ/2002/4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3/608/" TargetMode="External"/><Relationship Id="rId14" Type="http://schemas.openxmlformats.org/officeDocument/2006/relationships/hyperlink" Target="https://www.slov-lex.sk/pravne-predpisy/SK/ZZ/2003/608/" TargetMode="External"/><Relationship Id="rId22" Type="http://schemas.openxmlformats.org/officeDocument/2006/relationships/hyperlink" Target="https://www.slov-lex.sk/pravne-predpisy/SK/ZZ/1976/50/" TargetMode="External"/><Relationship Id="rId27" Type="http://schemas.openxmlformats.org/officeDocument/2006/relationships/hyperlink" Target="https://www.slov-lex.sk/pravne-predpisy/SK/ZZ/1993/278/" TargetMode="External"/><Relationship Id="rId30" Type="http://schemas.openxmlformats.org/officeDocument/2006/relationships/hyperlink" Target="https://www.slov-lex.sk/pravne-predpisy/SK/ZZ/1976/5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2620</Words>
  <Characters>14934</Characters>
  <Application>Microsoft Office Word</Application>
  <DocSecurity>4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Tančiboková Pavla</dc:creator>
  <cp:keywords/>
  <dc:description/>
  <cp:lastModifiedBy>Semanco Martin</cp:lastModifiedBy>
  <cp:revision>2</cp:revision>
  <dcterms:created xsi:type="dcterms:W3CDTF">2021-05-04T08:18:00Z</dcterms:created>
  <dcterms:modified xsi:type="dcterms:W3CDTF">2021-05-04T08:18:00Z</dcterms:modified>
</cp:coreProperties>
</file>