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1" w:rsidRPr="00E6129D" w:rsidRDefault="00A73BC1" w:rsidP="00A73BC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129D">
        <w:rPr>
          <w:b/>
          <w:bCs/>
          <w:sz w:val="28"/>
          <w:szCs w:val="28"/>
        </w:rPr>
        <w:t>Doložka vybraných vplyvov</w:t>
      </w:r>
    </w:p>
    <w:p w:rsidR="00A73BC1" w:rsidRPr="00E6129D" w:rsidRDefault="00A73BC1" w:rsidP="00A73B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E6129D" w:rsidRPr="00E6129D" w:rsidTr="00A73BC1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Zákon, ktorým sa mení a dopĺňa 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 xml:space="preserve">zákon </w:t>
            </w:r>
            <w:r w:rsidRPr="00E6129D">
              <w:rPr>
                <w:rFonts w:ascii="Times" w:hAnsi="Times" w:cs="Times"/>
                <w:sz w:val="20"/>
                <w:szCs w:val="20"/>
              </w:rPr>
              <w:t>č. 180/2014 Z. z. o podmienkach výkonu volebného práva a o zmene a doplnení niektorých zákon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ov v znení neskorších predpisov</w:t>
            </w:r>
            <w:r w:rsidR="005937DE" w:rsidRPr="00E6129D">
              <w:rPr>
                <w:rFonts w:ascii="Times" w:hAnsi="Times" w:cs="Times"/>
                <w:sz w:val="20"/>
                <w:szCs w:val="20"/>
              </w:rPr>
              <w:t xml:space="preserve"> a ktorým sa menia a dopĺňajú niektoré zákony</w:t>
            </w: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</w:tr>
      <w:tr w:rsidR="00E6129D" w:rsidRPr="00E6129D" w:rsidTr="00A73BC1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6129D" w:rsidRPr="00E6129D" w:rsidTr="00A73BC1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6129D" w:rsidRPr="00E6129D" w:rsidTr="00A73BC1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6129D" w:rsidRPr="00E6129D" w:rsidTr="00A73BC1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 Začiatok:    ..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 xml:space="preserve"> Ukončenie: ..</w:t>
            </w:r>
          </w:p>
        </w:tc>
      </w:tr>
      <w:tr w:rsidR="00E6129D" w:rsidRPr="00E6129D" w:rsidTr="00A73BC1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 w:rsidP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77563" w:rsidRPr="00E6129D">
              <w:rPr>
                <w:rFonts w:ascii="Times" w:hAnsi="Times" w:cs="Times"/>
                <w:sz w:val="20"/>
                <w:szCs w:val="20"/>
              </w:rPr>
              <w:t>m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áj</w:t>
            </w:r>
            <w:r w:rsidR="005937DE" w:rsidRPr="00E6129D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 w:rsidP="00077563">
            <w:pPr>
              <w:spacing w:line="276" w:lineRule="auto"/>
              <w:ind w:left="15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Predpokladaný termín predloženia </w:t>
            </w:r>
            <w:r w:rsidR="00077563" w:rsidRPr="00E6129D">
              <w:rPr>
                <w:rFonts w:ascii="Times" w:hAnsi="Times" w:cs="Times"/>
                <w:b/>
                <w:bCs/>
                <w:sz w:val="22"/>
                <w:szCs w:val="22"/>
              </w:rPr>
              <w:br/>
            </w: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a </w:t>
            </w:r>
            <w:r w:rsidR="00077563"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r</w:t>
            </w: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okovanie vlády </w:t>
            </w:r>
            <w:r w:rsidR="00077563"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Slovenskej republiky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5937DE" w:rsidP="00E1565B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1565B">
              <w:rPr>
                <w:rFonts w:ascii="Times" w:hAnsi="Times" w:cs="Times"/>
                <w:sz w:val="20"/>
                <w:szCs w:val="20"/>
              </w:rPr>
              <w:t>júl</w:t>
            </w:r>
            <w:r w:rsidR="00A73BC1" w:rsidRPr="00E6129D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:rsidR="00A73BC1" w:rsidRPr="00E6129D" w:rsidRDefault="00A73BC1" w:rsidP="00A73B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566656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Vytvorenie podmienok na vykonanie volieb do orgánov samosprávy obcí a do orgánov samosprávnych krajov v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 xml:space="preserve"> rovnaký 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deň 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 xml:space="preserve">a v rovnakom čase </w:t>
            </w:r>
            <w:r w:rsidRPr="00E6129D">
              <w:rPr>
                <w:rFonts w:ascii="Times" w:hAnsi="Times" w:cs="Times"/>
                <w:sz w:val="20"/>
                <w:szCs w:val="20"/>
              </w:rPr>
              <w:t>v procese volieb a v procese vedenia volebnej kampane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5937DE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Efektívne </w:t>
            </w:r>
            <w:r w:rsidR="00566656" w:rsidRPr="00E6129D">
              <w:rPr>
                <w:rFonts w:ascii="Times" w:hAnsi="Times" w:cs="Times"/>
                <w:sz w:val="20"/>
                <w:szCs w:val="20"/>
              </w:rPr>
              <w:t>vyhotovovanie zápisníc o výsledku volieb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566656" w:rsidRPr="00E6129D" w:rsidRDefault="00566656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Vyhotovovanie zoznamov kandidátov v elektronickej podobe, zjednotenie nároku na odmenu členov volebných komisií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33177F" w:rsidRPr="00E6129D" w:rsidRDefault="0033177F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Zjednotenie nároku na odmenu členov volebných komisií všetkých stupňov.</w:t>
            </w:r>
          </w:p>
          <w:p w:rsidR="002E1C24" w:rsidRPr="00E6129D" w:rsidRDefault="00265EA7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S</w:t>
            </w:r>
            <w:r w:rsidR="002E1C24" w:rsidRPr="00E6129D">
              <w:rPr>
                <w:rFonts w:ascii="Times" w:hAnsi="Times" w:cs="Times"/>
                <w:sz w:val="20"/>
                <w:szCs w:val="20"/>
              </w:rPr>
              <w:t xml:space="preserve">tanovenie výšky odmeny za výkon funkcie člena a zapisovateľa okrskovej volebnej komisie 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vo voľbách do </w:t>
            </w:r>
            <w:r w:rsidR="004D38A2" w:rsidRPr="00E6129D">
              <w:rPr>
                <w:rFonts w:ascii="Times" w:hAnsi="Times" w:cs="Times"/>
                <w:sz w:val="20"/>
                <w:szCs w:val="20"/>
              </w:rPr>
              <w:t xml:space="preserve">orgánov </w:t>
            </w:r>
            <w:r w:rsidRPr="00E6129D">
              <w:rPr>
                <w:rFonts w:ascii="Times" w:hAnsi="Times" w:cs="Times"/>
                <w:sz w:val="20"/>
                <w:szCs w:val="20"/>
              </w:rPr>
              <w:t>územnej samosprávy, ktoré sa konajú v rovnaký deň a v rovnakom čase</w:t>
            </w:r>
            <w:r w:rsidR="00D97C3B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E1C24" w:rsidRPr="00E6129D">
              <w:rPr>
                <w:rFonts w:ascii="Times" w:hAnsi="Times" w:cs="Times"/>
                <w:sz w:val="20"/>
                <w:szCs w:val="20"/>
              </w:rPr>
              <w:t>v sume dvojnásobku</w:t>
            </w:r>
            <w:r w:rsidR="00510A03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="002E1C24" w:rsidRPr="00E6129D">
              <w:rPr>
                <w:rFonts w:ascii="Times" w:hAnsi="Times" w:cs="Times"/>
                <w:sz w:val="20"/>
                <w:szCs w:val="20"/>
              </w:rPr>
              <w:t xml:space="preserve"> ktorá pripadá členovi a zapisovateľovi okrskovej volebnej komisie podľa § 5 </w:t>
            </w:r>
            <w:r w:rsidR="003E6B92" w:rsidRPr="00E6129D">
              <w:rPr>
                <w:rFonts w:ascii="Times" w:hAnsi="Times" w:cs="Times"/>
                <w:sz w:val="20"/>
                <w:szCs w:val="20"/>
              </w:rPr>
              <w:t>vyhlášky Ministerstva vnútra Slovenskej republiky č. 308/2015 Z. z. o výdavkoch spojených s voľbami v znení vyhlášky č. 323/2019 Z. z.</w:t>
            </w:r>
          </w:p>
          <w:p w:rsidR="003E6B92" w:rsidRPr="00E6129D" w:rsidRDefault="003E6B92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Stanovenie minimálneho počtu členov okrskovej volebnej komisie</w:t>
            </w:r>
            <w:r w:rsidR="006107FE"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6129D">
              <w:rPr>
                <w:rFonts w:ascii="Times" w:hAnsi="Times" w:cs="Times"/>
                <w:sz w:val="20"/>
                <w:szCs w:val="20"/>
              </w:rPr>
              <w:t>v hlavnom meste Slovenskej republiky Bratislav</w:t>
            </w:r>
            <w:r w:rsidR="006107FE" w:rsidRPr="00E6129D">
              <w:rPr>
                <w:rFonts w:ascii="Times" w:hAnsi="Times" w:cs="Times"/>
                <w:sz w:val="20"/>
                <w:szCs w:val="20"/>
              </w:rPr>
              <w:t>e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a v meste Košice</w:t>
            </w:r>
            <w:r w:rsidR="006107FE" w:rsidRPr="00E6129D">
              <w:rPr>
                <w:rFonts w:ascii="Times" w:hAnsi="Times" w:cs="Times"/>
                <w:sz w:val="20"/>
                <w:szCs w:val="20"/>
              </w:rPr>
              <w:t xml:space="preserve"> vo voľbách do </w:t>
            </w:r>
            <w:r w:rsidR="004D38A2" w:rsidRPr="00E6129D">
              <w:rPr>
                <w:rFonts w:ascii="Times" w:hAnsi="Times" w:cs="Times"/>
                <w:sz w:val="20"/>
                <w:szCs w:val="20"/>
              </w:rPr>
              <w:t xml:space="preserve">orgánov </w:t>
            </w:r>
            <w:r w:rsidR="006107FE" w:rsidRPr="00E6129D">
              <w:rPr>
                <w:rFonts w:ascii="Times" w:hAnsi="Times" w:cs="Times"/>
                <w:sz w:val="20"/>
                <w:szCs w:val="20"/>
              </w:rPr>
              <w:t>územnej samosprávy, ktoré sa konajú v rovnaký deň a v rovnakom čase</w:t>
            </w:r>
            <w:r w:rsidR="00D97C3B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na sedem.</w:t>
            </w:r>
          </w:p>
          <w:p w:rsidR="00FC7AB3" w:rsidRPr="00E6129D" w:rsidRDefault="00FC7AB3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Zavedenie povinnosti zabezpečiť prístup </w:t>
            </w:r>
            <w:r w:rsidR="00D77ABA" w:rsidRPr="00E6129D">
              <w:rPr>
                <w:rFonts w:ascii="Times" w:hAnsi="Times" w:cs="Times"/>
                <w:sz w:val="20"/>
                <w:szCs w:val="20"/>
              </w:rPr>
              <w:t>k internetu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pre</w:t>
            </w:r>
            <w:r w:rsidR="00D05FF1" w:rsidRPr="00E6129D">
              <w:rPr>
                <w:rFonts w:ascii="Times" w:hAnsi="Times" w:cs="Times"/>
                <w:sz w:val="20"/>
                <w:szCs w:val="20"/>
              </w:rPr>
              <w:t xml:space="preserve"> miestne a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okrskové volebné komisie. </w:t>
            </w:r>
          </w:p>
          <w:p w:rsidR="00566656" w:rsidRPr="00E6129D" w:rsidRDefault="00566656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Prispôsobenie pra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vidiel vedenia volebnej kampane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v čase konania volieb v jeden deň, </w:t>
            </w:r>
            <w:r w:rsidR="00E26763" w:rsidRPr="00E6129D">
              <w:rPr>
                <w:rFonts w:ascii="Times" w:hAnsi="Times" w:cs="Times"/>
                <w:sz w:val="20"/>
                <w:szCs w:val="20"/>
              </w:rPr>
              <w:t>úprava parametrov transparentného účtu</w:t>
            </w:r>
            <w:r w:rsidR="00975D30" w:rsidRPr="00E6129D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29027D" w:rsidRPr="00E6129D" w:rsidRDefault="0029027D" w:rsidP="00077563">
            <w:pPr>
              <w:spacing w:line="276" w:lineRule="auto"/>
              <w:ind w:left="15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Vytvorenie legislatívnych podmienok k zavedenej povinnosti viesť finančné prostriedky na volebnú kampaň na osobitnom účte podľa </w:t>
            </w:r>
            <w:r w:rsidR="00975D30" w:rsidRPr="00E6129D">
              <w:rPr>
                <w:sz w:val="20"/>
                <w:szCs w:val="20"/>
              </w:rPr>
              <w:t>z</w:t>
            </w:r>
            <w:r w:rsidRPr="00E6129D">
              <w:rPr>
                <w:sz w:val="20"/>
                <w:szCs w:val="20"/>
              </w:rPr>
              <w:t xml:space="preserve">ákona č. </w:t>
            </w:r>
            <w:hyperlink r:id="rId8" w:tooltip="Odkaz na predpis alebo ustanovenie" w:history="1">
              <w:r w:rsidRPr="00E6129D">
                <w:rPr>
                  <w:sz w:val="20"/>
                  <w:szCs w:val="20"/>
                </w:rPr>
                <w:t>181/2014 Z. z.</w:t>
              </w:r>
            </w:hyperlink>
            <w:r w:rsidRPr="00E6129D">
              <w:rPr>
                <w:sz w:val="20"/>
                <w:szCs w:val="20"/>
              </w:rPr>
              <w:t xml:space="preserve"> o volebnej kampani a o zmene a doplnení zákona</w:t>
            </w:r>
            <w:r w:rsidR="00077563" w:rsidRPr="00E6129D">
              <w:rPr>
                <w:sz w:val="20"/>
                <w:szCs w:val="20"/>
              </w:rPr>
              <w:br/>
            </w:r>
            <w:r w:rsidRPr="00E6129D">
              <w:rPr>
                <w:sz w:val="20"/>
                <w:szCs w:val="20"/>
              </w:rPr>
              <w:t>č. 85/2005 Z. z. o politických stranách a politických hnutiach v znení neskorších predpisov</w:t>
            </w:r>
            <w:r w:rsidR="00975D30" w:rsidRPr="00E6129D">
              <w:rPr>
                <w:sz w:val="20"/>
                <w:szCs w:val="20"/>
              </w:rPr>
              <w:t>.</w:t>
            </w:r>
          </w:p>
          <w:p w:rsidR="00566656" w:rsidRPr="00E6129D" w:rsidRDefault="00566656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566656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Volebné komisie</w:t>
            </w:r>
          </w:p>
          <w:p w:rsidR="00077563" w:rsidRPr="00E6129D" w:rsidRDefault="00077563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Štatistický úrad Slovenskej republiky</w:t>
            </w:r>
          </w:p>
          <w:p w:rsidR="00077563" w:rsidRPr="00E6129D" w:rsidRDefault="00077563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Okresné úrady</w:t>
            </w:r>
          </w:p>
          <w:p w:rsidR="005937DE" w:rsidRPr="00E6129D" w:rsidRDefault="005937DE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Obce, </w:t>
            </w:r>
            <w:r w:rsidR="00077563" w:rsidRPr="00E6129D">
              <w:rPr>
                <w:rFonts w:ascii="Times" w:hAnsi="Times" w:cs="Times"/>
                <w:sz w:val="20"/>
                <w:szCs w:val="20"/>
              </w:rPr>
              <w:t>vyššie územné celky</w:t>
            </w:r>
          </w:p>
          <w:p w:rsidR="00566656" w:rsidRPr="00E6129D" w:rsidRDefault="00566656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Kandidáti</w:t>
            </w:r>
            <w:r w:rsidR="005937DE" w:rsidRPr="00E6129D">
              <w:rPr>
                <w:rFonts w:ascii="Times" w:hAnsi="Times" w:cs="Times"/>
                <w:sz w:val="20"/>
                <w:szCs w:val="20"/>
              </w:rPr>
              <w:t xml:space="preserve"> a politické strany a politické hnutia</w:t>
            </w:r>
          </w:p>
          <w:p w:rsidR="0029027D" w:rsidRPr="00E6129D" w:rsidRDefault="0029027D" w:rsidP="0007756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lastRenderedPageBreak/>
              <w:t>Banky a pobočky zahraničných bánk</w:t>
            </w: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6622C" w:rsidP="00206F33">
            <w:pPr>
              <w:tabs>
                <w:tab w:val="left" w:pos="3649"/>
              </w:tabs>
              <w:spacing w:before="120" w:after="240"/>
              <w:jc w:val="both"/>
              <w:rPr>
                <w:lang w:eastAsia="en-US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Nulový variant </w:t>
            </w:r>
            <w:r w:rsidR="006060BF" w:rsidRPr="00E6129D">
              <w:rPr>
                <w:rFonts w:ascii="Times" w:hAnsi="Times" w:cs="Times"/>
                <w:sz w:val="20"/>
                <w:szCs w:val="20"/>
              </w:rPr>
              <w:t xml:space="preserve">je variant, z ktorého predkladateľ vychádzal pri príprave návrhu zákona. </w:t>
            </w:r>
            <w:r w:rsidR="00E94928" w:rsidRPr="00E6129D">
              <w:rPr>
                <w:rFonts w:ascii="Times" w:hAnsi="Times" w:cs="Times"/>
                <w:sz w:val="20"/>
                <w:szCs w:val="20"/>
              </w:rPr>
              <w:t xml:space="preserve">Výkon funkcie člena volebnej komisie je iným úkonom vo všeobecnom záujme. </w:t>
            </w:r>
            <w:r w:rsidR="00301AAF" w:rsidRPr="00E6129D">
              <w:rPr>
                <w:rFonts w:ascii="Times" w:hAnsi="Times" w:cs="Times"/>
                <w:sz w:val="20"/>
                <w:szCs w:val="20"/>
              </w:rPr>
              <w:t>Pri zachovaní súčasného stavu</w:t>
            </w:r>
            <w:r w:rsidR="00086268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="00301AAF" w:rsidRPr="00E6129D">
              <w:rPr>
                <w:rFonts w:ascii="Times" w:hAnsi="Times" w:cs="Times"/>
                <w:sz w:val="20"/>
                <w:szCs w:val="20"/>
              </w:rPr>
              <w:t xml:space="preserve"> kedy členovia obvodných volebných komisií a členovia volebných komisií samosprávnych krajov vo voľbách do orgánov samosprávnych krajov a členovia okresných volebných komisií vo všetkých druhoch volieb nemajú za výkon</w:t>
            </w:r>
            <w:r w:rsidR="00086268" w:rsidRPr="00E6129D">
              <w:rPr>
                <w:rFonts w:ascii="Times" w:hAnsi="Times" w:cs="Times"/>
                <w:sz w:val="20"/>
                <w:szCs w:val="20"/>
              </w:rPr>
              <w:t xml:space="preserve"> svojej funkcie nárok na odmenu, </w:t>
            </w:r>
            <w:r w:rsidR="00301AAF" w:rsidRPr="00E6129D">
              <w:rPr>
                <w:rFonts w:ascii="Times" w:hAnsi="Times" w:cs="Times"/>
                <w:sz w:val="20"/>
                <w:szCs w:val="20"/>
              </w:rPr>
              <w:t>by naďalej pretrvávali problémy pri organizačnom zabezpečení volieb</w:t>
            </w:r>
            <w:r w:rsidR="00EB40A2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="00301AAF" w:rsidRPr="00E6129D">
              <w:rPr>
                <w:rFonts w:ascii="Times" w:hAnsi="Times" w:cs="Times"/>
                <w:sz w:val="20"/>
                <w:szCs w:val="20"/>
              </w:rPr>
              <w:t xml:space="preserve"> a to predovšetkým pri </w:t>
            </w:r>
            <w:r w:rsidR="00EB40A2" w:rsidRPr="00E6129D">
              <w:rPr>
                <w:rFonts w:ascii="Times" w:hAnsi="Times" w:cs="Times"/>
                <w:sz w:val="20"/>
                <w:szCs w:val="20"/>
              </w:rPr>
              <w:t>obsadzov</w:t>
            </w:r>
            <w:r w:rsidR="00086268" w:rsidRPr="00E6129D">
              <w:rPr>
                <w:rFonts w:ascii="Times" w:hAnsi="Times" w:cs="Times"/>
                <w:sz w:val="20"/>
                <w:szCs w:val="20"/>
              </w:rPr>
              <w:t xml:space="preserve">aní volebných komisií jej členmi. </w:t>
            </w:r>
            <w:r w:rsidR="00140DD6" w:rsidRPr="00E6129D">
              <w:rPr>
                <w:rFonts w:ascii="Times" w:hAnsi="Times" w:cs="Times"/>
                <w:sz w:val="20"/>
                <w:szCs w:val="20"/>
              </w:rPr>
              <w:t>Absencia</w:t>
            </w:r>
            <w:r w:rsidR="00086268"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>finančné</w:t>
            </w:r>
            <w:r w:rsidR="00140DD6" w:rsidRPr="00E6129D">
              <w:rPr>
                <w:rFonts w:ascii="Times" w:hAnsi="Times" w:cs="Times"/>
                <w:sz w:val="20"/>
                <w:szCs w:val="20"/>
              </w:rPr>
              <w:t>ho</w:t>
            </w:r>
            <w:r w:rsidR="004B3AC8">
              <w:rPr>
                <w:rFonts w:ascii="Times" w:hAnsi="Times" w:cs="Times"/>
                <w:sz w:val="20"/>
                <w:szCs w:val="20"/>
              </w:rPr>
              <w:t xml:space="preserve"> ohodnotenia</w:t>
            </w:r>
            <w:bookmarkStart w:id="0" w:name="_GoBack"/>
            <w:bookmarkEnd w:id="0"/>
            <w:r w:rsidR="000E5812"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40DD6" w:rsidRPr="00E6129D">
              <w:rPr>
                <w:rFonts w:ascii="Times" w:hAnsi="Times" w:cs="Times"/>
                <w:sz w:val="20"/>
                <w:szCs w:val="20"/>
              </w:rPr>
              <w:t xml:space="preserve">tak 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 xml:space="preserve">spôsobuje </w:t>
            </w:r>
            <w:r w:rsidR="00EB40A2" w:rsidRPr="00E6129D">
              <w:rPr>
                <w:rFonts w:ascii="Times" w:hAnsi="Times" w:cs="Times"/>
                <w:sz w:val="20"/>
                <w:szCs w:val="20"/>
              </w:rPr>
              <w:t xml:space="preserve">nezáujem o výkon tejto funkcie 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>a časté domenovanie</w:t>
            </w:r>
            <w:r w:rsidR="00EB40A2" w:rsidRPr="00E6129D">
              <w:rPr>
                <w:rFonts w:ascii="Times" w:hAnsi="Times" w:cs="Times"/>
                <w:sz w:val="20"/>
                <w:szCs w:val="20"/>
              </w:rPr>
              <w:t xml:space="preserve"> chýbajúcich členov obvodnej volebnej komisie a volebnej komisie samosprávneho kraja predsedom samosprávneho kraja a členov okresnej volebnej komisie prednostom okresného úradu, ak počet členov volebnej komisie nedosiahne zákonom </w:t>
            </w:r>
            <w:r w:rsidR="00094570" w:rsidRPr="00E6129D">
              <w:rPr>
                <w:rFonts w:ascii="Times" w:hAnsi="Times" w:cs="Times"/>
                <w:sz w:val="20"/>
                <w:szCs w:val="20"/>
              </w:rPr>
              <w:t>stanovenú hranicu.</w:t>
            </w:r>
            <w:r w:rsidR="00264721"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 xml:space="preserve">Navrhovateľ </w:t>
            </w:r>
            <w:r w:rsidR="00086268" w:rsidRPr="00E6129D">
              <w:rPr>
                <w:rFonts w:ascii="Times" w:hAnsi="Times" w:cs="Times"/>
                <w:sz w:val="20"/>
                <w:szCs w:val="20"/>
              </w:rPr>
              <w:t xml:space="preserve">ďalej 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 xml:space="preserve">usudzuje, že súčasný stav </w:t>
            </w:r>
            <w:r w:rsidR="00206F33" w:rsidRPr="00E6129D">
              <w:rPr>
                <w:rFonts w:ascii="Times" w:hAnsi="Times" w:cs="Times"/>
                <w:sz w:val="20"/>
                <w:szCs w:val="20"/>
              </w:rPr>
              <w:t>neodráža</w:t>
            </w:r>
            <w:r w:rsidR="000E5812" w:rsidRPr="00E6129D">
              <w:rPr>
                <w:rFonts w:ascii="Times" w:hAnsi="Times" w:cs="Times"/>
                <w:sz w:val="20"/>
                <w:szCs w:val="20"/>
              </w:rPr>
              <w:t xml:space="preserve"> náročnosť plnenia úloh vyplývajúcich z volebného zákona členmi obvodnej volebnej komisie, volebnej komisie samosprávneho kraja a okresnej volebnej komisie a nezohľadňuje ani potrebu adekvátneho finančného ohodnotenia za práce vykonávané cez víkend a v noci. </w:t>
            </w:r>
          </w:p>
          <w:p w:rsidR="000E5812" w:rsidRPr="00E6129D" w:rsidRDefault="005921BE" w:rsidP="00124880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Napriek tomu, že neexistovala zákonná povinnosť</w:t>
            </w:r>
            <w:r w:rsidR="00421936" w:rsidRPr="00E6129D">
              <w:rPr>
                <w:rFonts w:ascii="Times" w:hAnsi="Times" w:cs="Times"/>
                <w:sz w:val="20"/>
                <w:szCs w:val="20"/>
              </w:rPr>
              <w:t>, ale iba možnosť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odosielania zápisníc o výsledku volieb elektronickou formou prostredníctvom informačného systému IVIS, pri voľbách do Národnej rady Slovenskej republiky v roku 2020 využilo túto možnosť až 80 % okrskových volebných komisií</w:t>
            </w:r>
            <w:r w:rsidR="0075615C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čo prispelo ku skráteniu času sčítania výsledkov volieb. </w:t>
            </w:r>
          </w:p>
          <w:p w:rsidR="00D05FF1" w:rsidRPr="00E6129D" w:rsidRDefault="00D05FF1" w:rsidP="00124880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Vo voľbách do orgánov územnej samosprávy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>, ktoré sa konajú v rovnaký deň a v rovnakom čase</w:t>
            </w:r>
            <w:r w:rsidR="00D97C3B" w:rsidRPr="00E6129D">
              <w:rPr>
                <w:rFonts w:ascii="Times" w:hAnsi="Times" w:cs="Times"/>
                <w:sz w:val="20"/>
                <w:szCs w:val="20"/>
              </w:rPr>
              <w:t>,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pri určení výšky odmeny 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 xml:space="preserve">za výkon funkcie 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člena a zapisovateľa okrskovej volebnej komisie </w:t>
            </w:r>
            <w:r w:rsidR="00A406EC" w:rsidRPr="00E6129D">
              <w:rPr>
                <w:rFonts w:ascii="Times" w:hAnsi="Times" w:cs="Times"/>
                <w:sz w:val="20"/>
                <w:szCs w:val="20"/>
              </w:rPr>
              <w:t>a stanovení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 xml:space="preserve"> minimálneho počtu členov okrskovej volebnej komisie v hlavnom meste Slovenskej republiky Bratislave a v meste Košice </w:t>
            </w:r>
            <w:r w:rsidRPr="00E6129D">
              <w:rPr>
                <w:rFonts w:ascii="Times" w:hAnsi="Times" w:cs="Times"/>
                <w:sz w:val="20"/>
                <w:szCs w:val="20"/>
              </w:rPr>
              <w:t>nulový variant (súčasný spôsob stanovenia výšky odmeny a súčasný minimálny počet päť členov okrskovej volebnej komisie v hlavnom mesta Slovenskej republiky Br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 xml:space="preserve">atislave a v meste Košice) </w:t>
            </w:r>
            <w:r w:rsidRPr="00E6129D">
              <w:rPr>
                <w:rFonts w:ascii="Times" w:hAnsi="Times" w:cs="Times"/>
                <w:sz w:val="20"/>
                <w:szCs w:val="20"/>
              </w:rPr>
              <w:t>nezohľadňuje</w:t>
            </w:r>
            <w:r w:rsidR="00F55AED" w:rsidRPr="00E6129D">
              <w:rPr>
                <w:rFonts w:ascii="Times" w:hAnsi="Times" w:cs="Times"/>
                <w:sz w:val="20"/>
                <w:szCs w:val="20"/>
              </w:rPr>
              <w:t xml:space="preserve"> vyššiu náročnosť spojených volieb. </w:t>
            </w:r>
          </w:p>
          <w:p w:rsidR="00225B85" w:rsidRPr="00E6129D" w:rsidRDefault="00225B85" w:rsidP="00124880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Na základe uvedeného možno konštatovať, že zachovanie nulového variantu by mohlo priniesť problémy v plynulom zabezpečení volieb. </w:t>
            </w: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 w:rsidP="00757A2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33177F"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Áno            </w:t>
            </w:r>
            <w:r w:rsidR="0033177F"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77563"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Pr="00E6129D">
              <w:rPr>
                <w:rFonts w:ascii="Times" w:hAnsi="Times" w:cs="Times"/>
                <w:sz w:val="20"/>
                <w:szCs w:val="20"/>
              </w:rPr>
              <w:t>Nie</w:t>
            </w:r>
          </w:p>
          <w:p w:rsidR="0033177F" w:rsidRPr="00E6129D" w:rsidRDefault="0033177F" w:rsidP="00757A23">
            <w:pPr>
              <w:spacing w:line="276" w:lineRule="auto"/>
              <w:ind w:left="150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Vyhláška Ministerstva vnútra Slovenskej republiky č. 308/2015 Z. z. o výdavkoch spojených s voľbami v znení vyhlášky č. 323/2019 Z. z.</w:t>
            </w: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 w:rsidP="00757A23">
            <w:pPr>
              <w:spacing w:line="276" w:lineRule="auto"/>
              <w:ind w:left="150"/>
              <w:rPr>
                <w:rFonts w:ascii="Times" w:hAnsi="Times" w:cs="Times"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Cs/>
                <w:sz w:val="22"/>
                <w:szCs w:val="22"/>
              </w:rPr>
              <w:t>Nie</w:t>
            </w:r>
          </w:p>
        </w:tc>
      </w:tr>
      <w:tr w:rsidR="00E6129D" w:rsidRPr="00E6129D" w:rsidTr="00A73BC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E6129D" w:rsidRPr="00E6129D" w:rsidTr="00A73BC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73BC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A73BC1" w:rsidRPr="00E6129D" w:rsidRDefault="00A73BC1" w:rsidP="00077563">
      <w:pPr>
        <w:spacing w:before="120"/>
        <w:ind w:left="142" w:hanging="142"/>
        <w:rPr>
          <w:sz w:val="20"/>
          <w:szCs w:val="20"/>
        </w:rPr>
      </w:pPr>
      <w:r w:rsidRPr="00E6129D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A73BC1" w:rsidRPr="00E6129D" w:rsidRDefault="00A73BC1" w:rsidP="00A73BC1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6129D">
        <w:rPr>
          <w:sz w:val="20"/>
          <w:szCs w:val="20"/>
        </w:rPr>
        <w:t>** nepovinné</w:t>
      </w:r>
    </w:p>
    <w:p w:rsidR="00A73BC1" w:rsidRPr="00E6129D" w:rsidRDefault="00A73BC1" w:rsidP="00A73B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E6129D" w:rsidRPr="00E6129D" w:rsidTr="00A73BC1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6129D" w:rsidRPr="00E6129D" w:rsidTr="00A73BC1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="00D97C3B"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97C3B" w:rsidRPr="00E6129D">
              <w:rPr>
                <w:rFonts w:ascii="Wingdings 2" w:hAnsi="Wingdings 2" w:cs="Times"/>
                <w:sz w:val="28"/>
                <w:szCs w:val="28"/>
              </w:rPr>
              <w:t></w:t>
            </w:r>
            <w:r w:rsidRPr="00E6129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077563" w:rsidP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A45DEF"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="00A45DEF"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A73BC1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</w:t>
            </w:r>
            <w:r w:rsidR="00A45DEF"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077563" w:rsidP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8"/>
              </w:rPr>
              <w:t></w:t>
            </w:r>
            <w:r w:rsidR="00A45DEF"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73BC1" w:rsidRPr="00E6129D">
              <w:rPr>
                <w:rFonts w:ascii="Times" w:hAnsi="Times" w:cs="Times"/>
                <w:sz w:val="20"/>
                <w:szCs w:val="20"/>
              </w:rPr>
              <w:t xml:space="preserve">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566656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>  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>  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566656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E6129D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 w:rsidP="007F1F09">
            <w:pPr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7F1F09">
            <w:pPr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 w:rsidP="007F1F09">
            <w:pPr>
              <w:contextualSpacing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566656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6129D" w:rsidRPr="00E6129D" w:rsidTr="0007756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BC1" w:rsidRPr="00E6129D" w:rsidRDefault="00077563" w:rsidP="00566656">
            <w:pPr>
              <w:tabs>
                <w:tab w:val="left" w:pos="85"/>
              </w:tabs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E6129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6129D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129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6129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A73BC1" w:rsidRPr="00E6129D" w:rsidRDefault="00A73BC1" w:rsidP="00A73B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29D" w:rsidRPr="00E6129D" w:rsidTr="00552D19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6129D" w:rsidRPr="00E6129D" w:rsidTr="00552D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8D7" w:rsidRPr="00E6129D" w:rsidRDefault="009715B3">
            <w:pPr>
              <w:pStyle w:val="Normlnywebov"/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Predkladateľ trvá na tom, že predmetný návrh zákona nemá vplyv na informatizáciu spoločnosti, a to z dôvodu, že výsledky volieb zisťuje Štatistický úrad Slovenskej republiky prostredníctvom informačného systému IVIS, ktorý je </w:t>
            </w:r>
            <w:r w:rsidR="00264721" w:rsidRPr="00E6129D">
              <w:rPr>
                <w:rFonts w:ascii="Times" w:hAnsi="Times" w:cs="Times"/>
                <w:sz w:val="20"/>
                <w:szCs w:val="20"/>
              </w:rPr>
              <w:t>v prevádzke už niekoľko rokov.</w:t>
            </w:r>
          </w:p>
          <w:p w:rsidR="002B18D7" w:rsidRPr="00E6129D" w:rsidRDefault="002B18D7">
            <w:pPr>
              <w:pStyle w:val="Normlnywebov"/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6129D" w:rsidRPr="00E6129D" w:rsidTr="00552D19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6129D" w:rsidRPr="00E6129D" w:rsidTr="00552D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656" w:rsidRPr="00E6129D" w:rsidRDefault="00566656" w:rsidP="00566656">
            <w:pPr>
              <w:pStyle w:val="Normlnywebov"/>
              <w:spacing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 w:rsidRPr="00E6129D">
              <w:rPr>
                <w:rFonts w:ascii="Times" w:hAnsi="Times" w:cs="Times"/>
                <w:sz w:val="20"/>
                <w:szCs w:val="20"/>
              </w:rPr>
              <w:t xml:space="preserve">Ing. Eva Chmelová,  </w:t>
            </w:r>
            <w:hyperlink r:id="rId9" w:history="1">
              <w:r w:rsidRPr="00E6129D">
                <w:rPr>
                  <w:rStyle w:val="Hypertextovprepojenie"/>
                  <w:rFonts w:ascii="Times" w:hAnsi="Times" w:cs="Times"/>
                  <w:color w:val="auto"/>
                  <w:sz w:val="20"/>
                  <w:szCs w:val="20"/>
                </w:rPr>
                <w:t>eva.chmelova@minv.sk</w:t>
              </w:r>
            </w:hyperlink>
            <w:r w:rsidRPr="00E6129D">
              <w:rPr>
                <w:rFonts w:ascii="Times" w:hAnsi="Times" w:cs="Times"/>
                <w:sz w:val="20"/>
                <w:szCs w:val="20"/>
              </w:rPr>
              <w:t>, 00421903776796</w:t>
            </w:r>
          </w:p>
        </w:tc>
      </w:tr>
      <w:tr w:rsidR="00E6129D" w:rsidRPr="00E6129D" w:rsidTr="00552D19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6129D" w:rsidRPr="00E6129D" w:rsidTr="00552D19">
        <w:trPr>
          <w:trHeight w:val="45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BC1" w:rsidRPr="00E6129D" w:rsidRDefault="00A45DEF" w:rsidP="00124880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129D">
              <w:rPr>
                <w:rFonts w:ascii="Times" w:hAnsi="Times" w:cs="Times"/>
                <w:bCs/>
                <w:sz w:val="20"/>
                <w:szCs w:val="20"/>
              </w:rPr>
              <w:t>Skutočne vynaložené výdavky na voľby do orgánov samosprávnych krajov v roku 2017, voľby do orgánov samosprávy obcí v roku 2018, voľby prezidenta Slovenskej republiky a voľby do Európskeho parlamentu v roku 2019 a voľby do Národnej rady Slovenskej republiky v roku 2020.</w:t>
            </w:r>
          </w:p>
        </w:tc>
      </w:tr>
      <w:tr w:rsidR="00E6129D" w:rsidRPr="00E6129D" w:rsidTr="00552D19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3BC1" w:rsidRPr="00E6129D" w:rsidRDefault="00A73BC1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6129D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73BC1" w:rsidRPr="00E6129D" w:rsidTr="00552D19">
        <w:trPr>
          <w:trHeight w:val="7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33D4" w:rsidRPr="00E6129D" w:rsidRDefault="00D00C88" w:rsidP="00124880">
            <w:pPr>
              <w:jc w:val="both"/>
              <w:rPr>
                <w:sz w:val="20"/>
                <w:szCs w:val="20"/>
                <w:lang w:eastAsia="ar-SA"/>
              </w:rPr>
            </w:pPr>
            <w:r w:rsidRPr="00E6129D">
              <w:rPr>
                <w:sz w:val="20"/>
                <w:szCs w:val="20"/>
              </w:rPr>
              <w:t xml:space="preserve">Stála pracovná komisia na posudzovanie vybraných vplyvov vyjadruje </w:t>
            </w:r>
            <w:r w:rsidRPr="00E6129D">
              <w:rPr>
                <w:bCs/>
                <w:sz w:val="20"/>
                <w:szCs w:val="20"/>
              </w:rPr>
              <w:t>nesúhlasné stanovisko</w:t>
            </w:r>
            <w:r w:rsidRPr="00E6129D">
              <w:rPr>
                <w:sz w:val="20"/>
                <w:szCs w:val="20"/>
              </w:rPr>
              <w:t xml:space="preserve"> </w:t>
            </w:r>
            <w:r w:rsidRPr="00E6129D">
              <w:rPr>
                <w:sz w:val="20"/>
                <w:szCs w:val="20"/>
                <w:lang w:eastAsia="ar-SA"/>
              </w:rPr>
              <w:t>s materiálom predloženým na predbežné pripomienkové konanie s odporúčaním na jeho dopracovanie podľa pripomienok.</w:t>
            </w:r>
          </w:p>
          <w:p w:rsidR="007E3BEB" w:rsidRPr="00E6129D" w:rsidRDefault="007E3BEB" w:rsidP="00124880">
            <w:pPr>
              <w:jc w:val="both"/>
              <w:rPr>
                <w:sz w:val="20"/>
                <w:szCs w:val="20"/>
                <w:lang w:val="cs-CZ" w:eastAsia="ar-SA"/>
              </w:rPr>
            </w:pPr>
          </w:p>
          <w:p w:rsidR="00C733D4" w:rsidRPr="00E6129D" w:rsidRDefault="007E3BEB" w:rsidP="00124880">
            <w:pPr>
              <w:jc w:val="both"/>
              <w:rPr>
                <w:sz w:val="20"/>
                <w:szCs w:val="20"/>
                <w:lang w:eastAsia="ar-SA"/>
              </w:rPr>
            </w:pPr>
            <w:r w:rsidRPr="00E6129D">
              <w:rPr>
                <w:sz w:val="20"/>
                <w:szCs w:val="20"/>
                <w:lang w:eastAsia="ar-SA"/>
              </w:rPr>
              <w:t>K doložke vybraných vplyvov</w:t>
            </w:r>
          </w:p>
          <w:p w:rsidR="00A73BC1" w:rsidRPr="00E6129D" w:rsidRDefault="00D00C88" w:rsidP="00124880">
            <w:pPr>
              <w:jc w:val="both"/>
              <w:rPr>
                <w:bCs/>
                <w:sz w:val="20"/>
                <w:szCs w:val="20"/>
              </w:rPr>
            </w:pPr>
            <w:r w:rsidRPr="00E6129D">
              <w:rPr>
                <w:bCs/>
                <w:sz w:val="20"/>
                <w:szCs w:val="20"/>
              </w:rPr>
              <w:t>Komisia odporúča v bode 5. doplniť alternatívne riešenia a uviesť minimálne nulový variant.</w:t>
            </w:r>
          </w:p>
          <w:p w:rsidR="007E3BEB" w:rsidRPr="00E6129D" w:rsidRDefault="007E3BEB" w:rsidP="00124880">
            <w:pPr>
              <w:jc w:val="both"/>
              <w:rPr>
                <w:bCs/>
                <w:sz w:val="20"/>
                <w:szCs w:val="20"/>
              </w:rPr>
            </w:pPr>
          </w:p>
          <w:p w:rsidR="007E3BEB" w:rsidRPr="00E6129D" w:rsidRDefault="007E3BEB" w:rsidP="00124880">
            <w:pPr>
              <w:jc w:val="both"/>
              <w:rPr>
                <w:bCs/>
                <w:sz w:val="20"/>
                <w:szCs w:val="20"/>
              </w:rPr>
            </w:pPr>
            <w:r w:rsidRPr="00E6129D">
              <w:rPr>
                <w:bCs/>
                <w:sz w:val="20"/>
                <w:szCs w:val="20"/>
              </w:rPr>
              <w:t>K vplyvom na rozpočet verejnej správy</w:t>
            </w: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Predložený návrh v čl. I, § 8 stanovuje novú povinnosť pre obce a mestá, kde „starosta obce zabezpečí pre okrskovú volebnú komisiu na účely prípravy a vykonania volieb prístup k internetu“. Komisia upozorňuje, že ide o povinnosť obcí a miest v rámci preneseného výkonu štátnej správy a výdavky s ňou spojené je nevyhnutné zabezpečiť zo štátneho rozpočtu. Preto v nadväznosti na uvedenú novú povinnosť a na § 33 zákona č. 523/2004 Z. z. o rozpočtových pravidlách verejnej správy a o zmene a doplnení niektorých zákonov Komisia žiada doplniť analýzu vplyvov na rozpočet aj o vplyvy na štátny rozpočet súvisiace so zabezpečením prístupu k internetu v obciach vrátane uvedenia finančného krytia predmetných výdavkov.</w:t>
            </w: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V čl. II materiálu sa, okrem iného, navrhujú aj nové ustanovenia, resp. zmeny v ustanoveniach o pokutách, ktoré však v doložke vybraných vplyvov ani analýze vplyvov na rozpočet nie sú nijakým spôsobom vysvetlené ani kvantifikované. Uvedené je potrebné doplniť.</w:t>
            </w: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Zároveň je potrebné zosúladiť vyjadrenie k vplyvom na rozpočet verejnej správy uvedené v dôvodovej správe s ostatnými časťami materiálu.</w:t>
            </w: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7E3BEB" w:rsidRPr="00E6129D" w:rsidRDefault="007E3BEB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K vplyvom na informatizáciu</w:t>
            </w:r>
          </w:p>
          <w:p w:rsidR="00D00C88" w:rsidRPr="00E6129D" w:rsidRDefault="00D00C88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Komisia nesúhlasí s tvrdením predkladateľa, že predmetný návrh zákona nemá vplyv na informatizáciu spoločnosti. Predkladateľ napr. v bode 10 navrhuje vyhotovovanie zápisnice priamo prostredníctvom IS štatistického úradu. Keďže ide o novú úpravu, Komisia má za to, že bude nevyhnutné vykonať úpravy informačného systému prípadne jeho funkcionalít, ktoré uvedené umožnia.</w:t>
            </w:r>
          </w:p>
          <w:p w:rsidR="00C733D4" w:rsidRPr="00E6129D" w:rsidRDefault="00C733D4" w:rsidP="00124880">
            <w:pPr>
              <w:jc w:val="both"/>
              <w:rPr>
                <w:bCs/>
                <w:sz w:val="20"/>
                <w:szCs w:val="20"/>
                <w:lang w:val="cs-CZ" w:eastAsia="ar-SA"/>
              </w:rPr>
            </w:pPr>
          </w:p>
          <w:p w:rsidR="007E3BEB" w:rsidRPr="00E6129D" w:rsidRDefault="007E3BEB" w:rsidP="0012488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K všeobecnej časti dôvodovej správy</w:t>
            </w:r>
          </w:p>
          <w:p w:rsidR="00D00C88" w:rsidRPr="00E6129D" w:rsidRDefault="00D00C88" w:rsidP="00124880">
            <w:pPr>
              <w:jc w:val="both"/>
              <w:rPr>
                <w:bCs/>
                <w:szCs w:val="22"/>
                <w:lang w:eastAsia="ar-SA"/>
              </w:rPr>
            </w:pPr>
            <w:r w:rsidRPr="00E6129D">
              <w:rPr>
                <w:bCs/>
                <w:sz w:val="20"/>
                <w:szCs w:val="20"/>
                <w:lang w:eastAsia="ar-SA"/>
              </w:rPr>
              <w:t>Informáciu o vybraných vplyvoch predloženého návrhu zákona je potrebné zosúladiť s hodnotením vplyvov podľa doložky vybraných vplyvov.</w:t>
            </w:r>
          </w:p>
        </w:tc>
      </w:tr>
    </w:tbl>
    <w:p w:rsidR="00552D19" w:rsidRPr="00E6129D" w:rsidRDefault="00552D19" w:rsidP="00552D19">
      <w:pPr>
        <w:jc w:val="center"/>
        <w:rPr>
          <w:b/>
          <w:bCs/>
          <w:sz w:val="28"/>
          <w:szCs w:val="28"/>
        </w:rPr>
      </w:pPr>
    </w:p>
    <w:p w:rsidR="0011215C" w:rsidRPr="00E6129D" w:rsidRDefault="0011215C" w:rsidP="008E4183">
      <w:pPr>
        <w:rPr>
          <w:b/>
          <w:bCs/>
          <w:sz w:val="28"/>
          <w:szCs w:val="28"/>
        </w:rPr>
      </w:pPr>
    </w:p>
    <w:p w:rsidR="00552D19" w:rsidRPr="00E6129D" w:rsidRDefault="00552D19" w:rsidP="00552D19">
      <w:pPr>
        <w:jc w:val="center"/>
        <w:rPr>
          <w:b/>
          <w:bCs/>
          <w:sz w:val="28"/>
          <w:szCs w:val="28"/>
        </w:rPr>
      </w:pPr>
      <w:r w:rsidRPr="00E6129D">
        <w:rPr>
          <w:b/>
          <w:bCs/>
          <w:sz w:val="28"/>
          <w:szCs w:val="28"/>
        </w:rPr>
        <w:lastRenderedPageBreak/>
        <w:t>Analýza vplyvov na rozpočet verejnej správy,</w:t>
      </w:r>
    </w:p>
    <w:p w:rsidR="00552D19" w:rsidRPr="00E6129D" w:rsidRDefault="00552D19" w:rsidP="00552D19">
      <w:pPr>
        <w:jc w:val="center"/>
        <w:rPr>
          <w:b/>
          <w:bCs/>
          <w:sz w:val="28"/>
          <w:szCs w:val="28"/>
        </w:rPr>
      </w:pPr>
      <w:r w:rsidRPr="00E6129D">
        <w:rPr>
          <w:b/>
          <w:bCs/>
          <w:sz w:val="28"/>
          <w:szCs w:val="28"/>
        </w:rPr>
        <w:t>na zamestnanosť vo verejnej správe a financovanie návrhu</w:t>
      </w:r>
    </w:p>
    <w:p w:rsidR="00552D19" w:rsidRPr="00E6129D" w:rsidRDefault="00552D19" w:rsidP="00552D19">
      <w:pPr>
        <w:spacing w:before="400"/>
        <w:rPr>
          <w:b/>
          <w:bCs/>
        </w:rPr>
      </w:pPr>
      <w:r w:rsidRPr="00E6129D">
        <w:rPr>
          <w:b/>
          <w:bCs/>
        </w:rPr>
        <w:t>2.1 Zhrnutie vplyvov na rozpočet verejnej správy v návrhu</w:t>
      </w:r>
    </w:p>
    <w:p w:rsidR="00552D19" w:rsidRPr="00E6129D" w:rsidRDefault="00552D19" w:rsidP="00552D19">
      <w:pPr>
        <w:spacing w:before="120" w:after="120"/>
        <w:jc w:val="right"/>
      </w:pPr>
      <w:r w:rsidRPr="00E6129D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4"/>
        <w:gridCol w:w="1275"/>
        <w:gridCol w:w="1276"/>
        <w:gridCol w:w="1187"/>
        <w:gridCol w:w="1267"/>
      </w:tblGrid>
      <w:tr w:rsidR="00E6129D" w:rsidRPr="00E6129D" w:rsidTr="00D00C88">
        <w:trPr>
          <w:cantSplit/>
          <w:trHeight w:val="194"/>
          <w:jc w:val="center"/>
        </w:trPr>
        <w:tc>
          <w:tcPr>
            <w:tcW w:w="4724" w:type="dxa"/>
            <w:vMerge w:val="restart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bookmarkStart w:id="1" w:name="OLE_LINK1"/>
            <w:r w:rsidRPr="00E6129D">
              <w:rPr>
                <w:b/>
                <w:bCs/>
              </w:rPr>
              <w:t>Vplyvy na rozpočet verejnej správy</w:t>
            </w:r>
          </w:p>
        </w:tc>
        <w:tc>
          <w:tcPr>
            <w:tcW w:w="5005" w:type="dxa"/>
            <w:gridSpan w:val="4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Vplyv na rozpočet verejnej správy (v eurách)</w:t>
            </w:r>
          </w:p>
        </w:tc>
      </w:tr>
      <w:tr w:rsidR="00E6129D" w:rsidRPr="00E6129D" w:rsidTr="00D00C88">
        <w:trPr>
          <w:cantSplit/>
          <w:trHeight w:val="70"/>
          <w:jc w:val="center"/>
        </w:trPr>
        <w:tc>
          <w:tcPr>
            <w:tcW w:w="4724" w:type="dxa"/>
            <w:vMerge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2022</w:t>
            </w:r>
          </w:p>
        </w:tc>
        <w:tc>
          <w:tcPr>
            <w:tcW w:w="1187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2024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r w:rsidRPr="00E6129D">
              <w:rPr>
                <w:b/>
                <w:bCs/>
              </w:rPr>
              <w:t>Príjmy verejnej správy celkom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187" w:type="dxa"/>
            <w:shd w:val="clear" w:color="auto" w:fill="C0C0C0"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</w:tr>
      <w:tr w:rsidR="00E6129D" w:rsidRPr="00E6129D" w:rsidTr="00D00C88">
        <w:trPr>
          <w:trHeight w:val="132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r w:rsidRPr="00E6129D">
              <w:t>v tom: za každý subjekt verejnej správy zvlášť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 xml:space="preserve">0  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ind w:left="259"/>
              <w:rPr>
                <w:b/>
                <w:bCs/>
                <w:i/>
                <w:iCs/>
              </w:rPr>
            </w:pPr>
            <w:r w:rsidRPr="00E6129D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ind w:left="259"/>
              <w:rPr>
                <w:bCs/>
                <w:i/>
                <w:iCs/>
              </w:rPr>
            </w:pPr>
            <w:r w:rsidRPr="00E6129D">
              <w:rPr>
                <w:bCs/>
                <w:i/>
                <w:iCs/>
              </w:rPr>
              <w:t>EÚ zdroje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Výdavky verejnej správy celkom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15 256 268</w:t>
            </w:r>
          </w:p>
        </w:tc>
        <w:tc>
          <w:tcPr>
            <w:tcW w:w="1187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  <w:iCs/>
              </w:rPr>
              <w:t>779 756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 xml:space="preserve">36 804 452   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r w:rsidRPr="00E6129D">
              <w:t>v tom: Ministerstvo vnútra SR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15 256 268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rPr>
                <w:b/>
                <w:bCs/>
                <w:iCs/>
              </w:rPr>
              <w:t>779 756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36 804 452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15 256 268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779 756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36 804 452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ind w:left="259"/>
              <w:rPr>
                <w:b/>
                <w:bCs/>
                <w:i/>
                <w:iCs/>
              </w:rPr>
            </w:pPr>
            <w:r w:rsidRPr="00E6129D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Cs/>
                <w:iCs/>
              </w:rPr>
            </w:pPr>
            <w:r w:rsidRPr="00E6129D">
              <w:rPr>
                <w:bCs/>
                <w:iCs/>
              </w:rPr>
              <w:t>15 256 268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Cs/>
                <w:iCs/>
              </w:rPr>
            </w:pPr>
            <w:r w:rsidRPr="00E6129D">
              <w:rPr>
                <w:b/>
                <w:bCs/>
                <w:iCs/>
              </w:rPr>
              <w:t>779 756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Cs/>
                <w:iCs/>
              </w:rPr>
            </w:pPr>
            <w:r w:rsidRPr="00E6129D">
              <w:rPr>
                <w:bCs/>
                <w:iCs/>
              </w:rPr>
              <w:t>36 804 452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Cs/>
                <w:i/>
                <w:iCs/>
              </w:rPr>
            </w:pPr>
            <w:r w:rsidRPr="00E6129D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Cs/>
                <w:i/>
                <w:iCs/>
              </w:rPr>
            </w:pPr>
            <w:r w:rsidRPr="00E6129D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125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18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328"/>
          <w:jc w:val="center"/>
        </w:trPr>
        <w:tc>
          <w:tcPr>
            <w:tcW w:w="4724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rPr>
                <w:b/>
              </w:rPr>
            </w:pPr>
            <w:r w:rsidRPr="00E6129D">
              <w:rPr>
                <w:b/>
              </w:rPr>
              <w:t>Vplyv na mzdové výdavky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</w:rPr>
            </w:pPr>
            <w:r w:rsidRPr="00E6129D">
              <w:rPr>
                <w:b/>
              </w:rPr>
              <w:t xml:space="preserve">1 806 </w:t>
            </w:r>
            <w:r w:rsidR="00472222" w:rsidRPr="00E6129D">
              <w:rPr>
                <w:b/>
              </w:rPr>
              <w:t>20</w:t>
            </w:r>
            <w:r w:rsidR="00B70659" w:rsidRPr="00E6129D">
              <w:rPr>
                <w:b/>
              </w:rPr>
              <w:t>0</w:t>
            </w:r>
          </w:p>
        </w:tc>
        <w:tc>
          <w:tcPr>
            <w:tcW w:w="118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</w:rPr>
            </w:pPr>
            <w:r w:rsidRPr="00E6129D">
              <w:rPr>
                <w:b/>
              </w:rPr>
              <w:t>88 00</w:t>
            </w:r>
            <w:r w:rsidR="00B70659" w:rsidRPr="00E6129D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</w:rPr>
            </w:pPr>
            <w:r w:rsidRPr="00E6129D">
              <w:rPr>
                <w:b/>
              </w:rPr>
              <w:t>4 296 00</w:t>
            </w:r>
            <w:r w:rsidR="00B70659" w:rsidRPr="00E6129D">
              <w:rPr>
                <w:b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ŠR: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1 806 20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88 00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4 296 00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z toho: Ministerstvo vnútra SR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1 806 20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88 00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937675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4 296 00</w:t>
            </w:r>
            <w:r w:rsidR="00552D19"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  <w:i/>
                <w:iCs/>
              </w:rPr>
            </w:pPr>
            <w:r w:rsidRPr="00E6129D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  <w:iCs/>
              </w:rPr>
            </w:pPr>
            <w:r w:rsidRPr="00E6129D">
              <w:rPr>
                <w:b/>
                <w:bCs/>
                <w:i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Financovanie zabezpečené v rozpočte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15 256 268</w:t>
            </w:r>
          </w:p>
        </w:tc>
        <w:tc>
          <w:tcPr>
            <w:tcW w:w="1187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779 756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36 804 452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noWrap/>
            <w:vAlign w:val="center"/>
          </w:tcPr>
          <w:p w:rsidR="00552D19" w:rsidRPr="00E6129D" w:rsidRDefault="00552D19" w:rsidP="00552D19">
            <w:r w:rsidRPr="00E6129D">
              <w:t>v tom: Ministerstvo vnútra SR</w:t>
            </w:r>
          </w:p>
        </w:tc>
        <w:tc>
          <w:tcPr>
            <w:tcW w:w="1275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0</w:t>
            </w:r>
          </w:p>
        </w:tc>
        <w:tc>
          <w:tcPr>
            <w:tcW w:w="1276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15 256 268</w:t>
            </w:r>
          </w:p>
        </w:tc>
        <w:tc>
          <w:tcPr>
            <w:tcW w:w="118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779 756</w:t>
            </w:r>
          </w:p>
        </w:tc>
        <w:tc>
          <w:tcPr>
            <w:tcW w:w="1267" w:type="dxa"/>
            <w:noWrap/>
            <w:vAlign w:val="center"/>
          </w:tcPr>
          <w:p w:rsidR="00552D19" w:rsidRPr="00E6129D" w:rsidRDefault="00552D19" w:rsidP="00552D19">
            <w:pPr>
              <w:jc w:val="right"/>
            </w:pPr>
            <w:r w:rsidRPr="00E6129D">
              <w:t>36 804 452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rPr>
                <w:b/>
              </w:rPr>
            </w:pPr>
            <w:r w:rsidRPr="00E6129D">
              <w:rPr>
                <w:b/>
              </w:rPr>
              <w:t>Iné ako rozpočtové zdroje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18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</w:tr>
      <w:tr w:rsidR="00E6129D" w:rsidRPr="00E6129D" w:rsidTr="00D00C88">
        <w:trPr>
          <w:trHeight w:val="70"/>
          <w:jc w:val="center"/>
        </w:trPr>
        <w:tc>
          <w:tcPr>
            <w:tcW w:w="4724" w:type="dxa"/>
            <w:shd w:val="clear" w:color="auto" w:fill="A6A6A6" w:themeFill="background1" w:themeFillShade="A6"/>
            <w:noWrap/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Rozpočtovo nekrytý vplyv / úspora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187" w:type="dxa"/>
            <w:shd w:val="clear" w:color="auto" w:fill="A6A6A6" w:themeFill="background1" w:themeFillShade="A6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52D19" w:rsidRPr="00E6129D" w:rsidRDefault="00552D19" w:rsidP="00552D19">
            <w:pPr>
              <w:jc w:val="right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</w:tr>
      <w:bookmarkEnd w:id="1"/>
    </w:tbl>
    <w:p w:rsidR="00552D19" w:rsidRPr="00E6129D" w:rsidRDefault="00552D19" w:rsidP="00552D19">
      <w:pPr>
        <w:rPr>
          <w:b/>
          <w:bCs/>
        </w:rPr>
      </w:pPr>
    </w:p>
    <w:p w:rsidR="00552D19" w:rsidRPr="00E6129D" w:rsidRDefault="00552D19" w:rsidP="00552D19">
      <w:pPr>
        <w:spacing w:after="200" w:line="276" w:lineRule="auto"/>
        <w:rPr>
          <w:b/>
          <w:bCs/>
        </w:rPr>
      </w:pPr>
      <w:r w:rsidRPr="00E6129D">
        <w:rPr>
          <w:b/>
          <w:bCs/>
        </w:rPr>
        <w:br w:type="page"/>
      </w:r>
    </w:p>
    <w:p w:rsidR="00552D19" w:rsidRPr="00E6129D" w:rsidRDefault="00552D19" w:rsidP="00552D19">
      <w:pPr>
        <w:spacing w:after="120"/>
        <w:jc w:val="both"/>
        <w:rPr>
          <w:b/>
          <w:bCs/>
        </w:rPr>
      </w:pPr>
      <w:r w:rsidRPr="00E6129D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552D19" w:rsidRPr="00E6129D" w:rsidRDefault="00552D19" w:rsidP="00552D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/>
        <w:jc w:val="both"/>
        <w:rPr>
          <w:bCs/>
          <w:lang w:eastAsia="en-US"/>
        </w:rPr>
      </w:pPr>
      <w:r w:rsidRPr="00E6129D">
        <w:rPr>
          <w:bCs/>
          <w:lang w:eastAsia="en-US"/>
        </w:rPr>
        <w:t>Podľa § 37 volebného zákona sa výdavky spojené s voľbami  uhrádzajú zo štátneho rozpočtu. Finančné prostriedky na  zabezpečenie prípravy a vykonanie volieb sú rozpočtované v kapitole ministerstva vnútra vo výdavkovej časti štátneho rozpočtu Slovenskej republiky na roky 2022 až 2024.</w:t>
      </w:r>
      <w:r w:rsidR="007E1AF2" w:rsidRPr="00E6129D">
        <w:rPr>
          <w:bCs/>
          <w:lang w:eastAsia="en-US"/>
        </w:rPr>
        <w:t xml:space="preserve"> </w:t>
      </w:r>
      <w:r w:rsidR="007E1AF2" w:rsidRPr="00E6129D">
        <w:t>Podľa § 218 ods. 2 volebného zákona obce a samosprávne kraje plnia úlohy na úseku volieb ako prenesený výkon štátnej správy. Na úhradu nákladov preneseného výkonu štátnej správy na úseku volieb sa poskytuje obciam a samosprávnym krajom dotácia z kapitoly ministerstva vnútra v rámci záväzných ukazovateľov štátneho rozpočtu na príslušný rozpočtový rok.</w:t>
      </w:r>
    </w:p>
    <w:p w:rsidR="007E1AF2" w:rsidRPr="00E6129D" w:rsidRDefault="00552D19" w:rsidP="00552D19">
      <w:pPr>
        <w:spacing w:before="120" w:after="240"/>
        <w:ind w:firstLine="708"/>
        <w:jc w:val="both"/>
      </w:pPr>
      <w:r w:rsidRPr="00E6129D">
        <w:rPr>
          <w:lang w:eastAsia="en-US"/>
        </w:rPr>
        <w:t xml:space="preserve">Keďže účinnosť novely zákona sa predpokladá začiatkom roka 2022, prvýkrát sa zmeny prejavia pri financovaní volieb konaných v roku 2022. </w:t>
      </w:r>
      <w:r w:rsidRPr="00E6129D">
        <w:t xml:space="preserve">Dopad na štátny rozpočet z titulu priznania nároku na odmenu členovi obvodnej volebnej komisie, členovi volebnej komisie samosprávneho kraja a členovi okresnej volebnej komisie, ak v deň konania volieb nemá nárok na náhradu, nie je možné v súčasnosti presne kvantifikovať. Navrhovaná úprava sa dotýka </w:t>
      </w:r>
      <w:r w:rsidR="009451E7" w:rsidRPr="00E6129D">
        <w:t xml:space="preserve">           </w:t>
      </w:r>
      <w:r w:rsidRPr="00E6129D">
        <w:t>8 volebných komisií samosprávneho kraja, približne 96 obvodných volebných komisií a 49 okresných volebných komisií, čo pri približne 6 000 okrskoch možno považovať za zanedbateľné.</w:t>
      </w:r>
    </w:p>
    <w:p w:rsidR="007E1AF2" w:rsidRPr="00E6129D" w:rsidRDefault="007E1AF2" w:rsidP="006F4AB8">
      <w:pPr>
        <w:spacing w:before="120" w:after="240"/>
        <w:ind w:firstLine="708"/>
        <w:jc w:val="both"/>
      </w:pPr>
      <w:r w:rsidRPr="00E6129D">
        <w:t xml:space="preserve">Výdavky spojené s povinnosťou </w:t>
      </w:r>
      <w:r w:rsidR="0000763D" w:rsidRPr="00E6129D">
        <w:t xml:space="preserve">starostu obce zabezpečiť v súvislosti s prípravou a vykonaním volieb prístup </w:t>
      </w:r>
      <w:r w:rsidR="00494CF8" w:rsidRPr="00E6129D">
        <w:t>k internetu</w:t>
      </w:r>
      <w:r w:rsidR="0000763D" w:rsidRPr="00E6129D">
        <w:t xml:space="preserve"> pre </w:t>
      </w:r>
      <w:r w:rsidR="00F55AED" w:rsidRPr="00E6129D">
        <w:t xml:space="preserve">miestne a </w:t>
      </w:r>
      <w:r w:rsidR="0000763D" w:rsidRPr="00E6129D">
        <w:t xml:space="preserve">okrskové volebné komisie nebudú znášať obce, ale budú hradené z prostriedkov štátneho rozpočtu. Novelou vyhlášky Ministerstva </w:t>
      </w:r>
      <w:r w:rsidR="009451E7" w:rsidRPr="00E6129D">
        <w:t xml:space="preserve">vnútra Slovenskej republiky č. </w:t>
      </w:r>
      <w:r w:rsidR="0000763D" w:rsidRPr="00E6129D">
        <w:t xml:space="preserve">308/2015 Z. z. o výdavkoch spojených s voľbami v znení </w:t>
      </w:r>
      <w:r w:rsidR="004651F3" w:rsidRPr="00E6129D">
        <w:t>vyhlášky</w:t>
      </w:r>
      <w:r w:rsidR="00467530" w:rsidRPr="00E6129D">
        <w:t xml:space="preserve">    </w:t>
      </w:r>
      <w:r w:rsidR="009451E7" w:rsidRPr="00E6129D">
        <w:t xml:space="preserve">   </w:t>
      </w:r>
      <w:r w:rsidR="00467530" w:rsidRPr="00E6129D">
        <w:t xml:space="preserve"> </w:t>
      </w:r>
      <w:r w:rsidR="004651F3" w:rsidRPr="00E6129D">
        <w:t>č. 323/2019 Z. z</w:t>
      </w:r>
      <w:r w:rsidR="0000763D" w:rsidRPr="00E6129D">
        <w:t>.</w:t>
      </w:r>
      <w:r w:rsidR="009451E7" w:rsidRPr="00E6129D">
        <w:t>, ktorou sa</w:t>
      </w:r>
      <w:r w:rsidR="004651F3" w:rsidRPr="00E6129D">
        <w:t xml:space="preserve"> špecifikuj</w:t>
      </w:r>
      <w:r w:rsidR="009451E7" w:rsidRPr="00E6129D">
        <w:t>ú</w:t>
      </w:r>
      <w:r w:rsidR="004651F3" w:rsidRPr="00E6129D">
        <w:t xml:space="preserve"> jednotlivé druhy výdavkov hradené z prostriedkov štátneho rozpočtu budú </w:t>
      </w:r>
      <w:r w:rsidR="00421936" w:rsidRPr="00E6129D">
        <w:t xml:space="preserve">nevyhnutné </w:t>
      </w:r>
      <w:r w:rsidR="004651F3" w:rsidRPr="00E6129D">
        <w:t>výdavky spojené s elektronickým odosielaním zápisníc o výsledku volieb zaradené medzi oprávnené výdavky. Pri voľbách do Národnej rady Slovenskej republiky v roku 2020 až 80 % okrskových volebných komisií využilo dobrovoľnú možnosť odosielania zápisníc o výsledku volieb prostredníc</w:t>
      </w:r>
      <w:r w:rsidR="001906B4" w:rsidRPr="00E6129D">
        <w:t xml:space="preserve">tvom informačného systému IVIS. </w:t>
      </w:r>
      <w:r w:rsidR="0011089D" w:rsidRPr="00E6129D">
        <w:t>Výdavky spojené s</w:t>
      </w:r>
      <w:r w:rsidR="001906B4" w:rsidRPr="00E6129D">
        <w:t>o</w:t>
      </w:r>
      <w:r w:rsidR="0011089D" w:rsidRPr="00E6129D">
        <w:t xml:space="preserve"> </w:t>
      </w:r>
      <w:r w:rsidR="001906B4" w:rsidRPr="00E6129D">
        <w:t xml:space="preserve">zavedením povinnosti starostu obce zabezpečiť v súvislosti s prípravou a vykonaním volieb prístup do </w:t>
      </w:r>
      <w:r w:rsidR="009451E7" w:rsidRPr="00E6129D">
        <w:t>internetu</w:t>
      </w:r>
      <w:r w:rsidR="001906B4" w:rsidRPr="00E6129D">
        <w:t xml:space="preserve"> pre </w:t>
      </w:r>
      <w:r w:rsidR="00F55AED" w:rsidRPr="00E6129D">
        <w:t xml:space="preserve">miestne a </w:t>
      </w:r>
      <w:r w:rsidR="001906B4" w:rsidRPr="00E6129D">
        <w:t xml:space="preserve">okrskové volebné komisie nie je možné v súčasnosti presne kvantifikovať, keďže uvedené výdavky sa prvýkrát prejavia pri financovaní volieb v roku 2022. </w:t>
      </w:r>
      <w:r w:rsidR="0011089D" w:rsidRPr="00E6129D">
        <w:t xml:space="preserve">Navrhovateľ má </w:t>
      </w:r>
      <w:r w:rsidR="001906B4" w:rsidRPr="00E6129D">
        <w:t xml:space="preserve">však </w:t>
      </w:r>
      <w:r w:rsidR="0011089D" w:rsidRPr="00E6129D">
        <w:t>za to, že dopad na štátny rozpočet bude vzhľadom na skutočnosť, že pri posledných voľbách túto možnosť využilo 80 % okrskov</w:t>
      </w:r>
      <w:r w:rsidR="006B3D8F" w:rsidRPr="00E6129D">
        <w:t xml:space="preserve">, a to </w:t>
      </w:r>
      <w:r w:rsidR="0011089D" w:rsidRPr="00E6129D">
        <w:t xml:space="preserve"> </w:t>
      </w:r>
      <w:r w:rsidR="006B3D8F" w:rsidRPr="00E6129D">
        <w:t xml:space="preserve">bez dopadu na štátny rozpočet, </w:t>
      </w:r>
      <w:r w:rsidR="0011089D" w:rsidRPr="00E6129D">
        <w:t>zanedbateľný a dokáže ho</w:t>
      </w:r>
      <w:r w:rsidR="006B3D8F" w:rsidRPr="00E6129D">
        <w:t xml:space="preserve"> v prípade potreby </w:t>
      </w:r>
      <w:r w:rsidR="0011089D" w:rsidRPr="00E6129D">
        <w:t xml:space="preserve"> uhradiť v rámci navrhnutých limitov na zabezpečenie volieb na roky 2022 až 2024. </w:t>
      </w:r>
    </w:p>
    <w:p w:rsidR="00DF0FB0" w:rsidRPr="00E6129D" w:rsidRDefault="003E6B92" w:rsidP="006F4AB8">
      <w:pPr>
        <w:ind w:left="150"/>
        <w:jc w:val="both"/>
      </w:pPr>
      <w:r w:rsidRPr="00E6129D">
        <w:tab/>
        <w:t xml:space="preserve">Na základe vyhodnotenia medzirezortného pripomienkového konania sa </w:t>
      </w:r>
      <w:r w:rsidR="00935CC1" w:rsidRPr="00E6129D">
        <w:t>vo voľbách do</w:t>
      </w:r>
      <w:r w:rsidR="00B14100" w:rsidRPr="00E6129D">
        <w:t xml:space="preserve"> orgánov</w:t>
      </w:r>
      <w:r w:rsidR="00935CC1" w:rsidRPr="00E6129D">
        <w:t xml:space="preserve"> územnej samosprávy, ktoré sa konajú v rovnaký deň a v rovnakom čase</w:t>
      </w:r>
      <w:r w:rsidR="00D97C3B" w:rsidRPr="00E6129D">
        <w:t>,</w:t>
      </w:r>
      <w:r w:rsidR="00935CC1" w:rsidRPr="00E6129D">
        <w:t xml:space="preserve"> </w:t>
      </w:r>
      <w:r w:rsidRPr="00E6129D">
        <w:t>určuje výška odmeny za výkon funkcie člena a zapisovateľa okrskovej volebnej komisie v sume dvojnásobku, ktorá pripadá členovi a zapisovateľovi</w:t>
      </w:r>
      <w:r w:rsidR="00A7231A" w:rsidRPr="00E6129D">
        <w:t xml:space="preserve"> </w:t>
      </w:r>
      <w:r w:rsidRPr="00E6129D">
        <w:t xml:space="preserve">okrskovej volebnej komisie podľa </w:t>
      </w:r>
      <w:r w:rsidR="00A7231A" w:rsidRPr="00E6129D">
        <w:br/>
      </w:r>
      <w:r w:rsidRPr="00E6129D">
        <w:t xml:space="preserve">§ 5 vyhlášky Ministerstva vnútra Slovenskej republiky č. 308/2015 Z. z. o výdavkoch spojených s voľbami v znení </w:t>
      </w:r>
      <w:r w:rsidR="00DF0FB0" w:rsidRPr="00E6129D">
        <w:t xml:space="preserve">vyhlášky č. 323/2019 Z. z. a stanovuje </w:t>
      </w:r>
      <w:r w:rsidRPr="00E6129D">
        <w:t>minimál</w:t>
      </w:r>
      <w:r w:rsidR="00DF0FB0" w:rsidRPr="00E6129D">
        <w:t>ny</w:t>
      </w:r>
      <w:r w:rsidRPr="00E6129D">
        <w:t xml:space="preserve"> </w:t>
      </w:r>
      <w:r w:rsidR="00DF0FB0" w:rsidRPr="00E6129D">
        <w:t>počet</w:t>
      </w:r>
      <w:r w:rsidRPr="00E6129D">
        <w:t xml:space="preserve"> členov okrskovej volebnej komisie v hlavnom meste Slovenskej republiky Bratislav</w:t>
      </w:r>
      <w:r w:rsidR="006107FE" w:rsidRPr="00E6129D">
        <w:t>e</w:t>
      </w:r>
      <w:r w:rsidRPr="00E6129D">
        <w:t xml:space="preserve"> a v meste Košice na sedem. </w:t>
      </w:r>
      <w:r w:rsidR="00DF0FB0" w:rsidRPr="00E6129D">
        <w:t>Pri kvantifikácii výdavkov potrebných na zabezpečenie volieb do orgánov samosprávy obcí a volieb do orgánov samosprávnych krajov, ktoré sa v roku 2022 vykonajú v rovnaký deň a v rovnakom čase</w:t>
      </w:r>
      <w:r w:rsidR="00D97C3B" w:rsidRPr="00E6129D">
        <w:t>,</w:t>
      </w:r>
      <w:r w:rsidR="00DF0FB0" w:rsidRPr="00E6129D">
        <w:t xml:space="preserve"> sa vychádzalo z výšky skutočne vynaložených výdavkov na zabezpečenie obidvoch druhov volieb,</w:t>
      </w:r>
      <w:r w:rsidR="00720657" w:rsidRPr="00E6129D">
        <w:t xml:space="preserve"> pričom</w:t>
      </w:r>
      <w:r w:rsidR="00DF0FB0" w:rsidRPr="00E6129D">
        <w:t xml:space="preserve"> ich súčasťou boli aj výdavky vynaložené na vyplatenie odmien členom a zapisovateľom okrskových volebných komisií za voľby do</w:t>
      </w:r>
      <w:r w:rsidR="001B3BFD" w:rsidRPr="00E6129D">
        <w:t xml:space="preserve"> orgánov</w:t>
      </w:r>
      <w:r w:rsidR="00DF0FB0" w:rsidRPr="00E6129D">
        <w:t xml:space="preserve"> územnej samosprávy. Na základe uvedeného navrhovateľ deklaruje, že dopad na štátny rozpočet z titulu navýšenia výdavkov na vyplatenie odmien členom a zapisovateľom </w:t>
      </w:r>
      <w:r w:rsidR="00DF0FB0" w:rsidRPr="00E6129D">
        <w:lastRenderedPageBreak/>
        <w:t xml:space="preserve">okrskových volebných komisií </w:t>
      </w:r>
      <w:r w:rsidR="006A0B94" w:rsidRPr="00E6129D">
        <w:t>a navýšenia minimálneho počtu členov okrskovej volebnej komisie v hlavnom meste Slovenskej republiky Bratislave a v meste Košice</w:t>
      </w:r>
      <w:r w:rsidR="009B4034" w:rsidRPr="00E6129D">
        <w:t xml:space="preserve"> (odmeny, stravovanie, občerstvenie)</w:t>
      </w:r>
      <w:r w:rsidR="00D97C3B" w:rsidRPr="00E6129D">
        <w:t>,</w:t>
      </w:r>
      <w:r w:rsidR="006A0B94" w:rsidRPr="00E6129D">
        <w:t xml:space="preserve"> </w:t>
      </w:r>
      <w:r w:rsidR="00DF0FB0" w:rsidRPr="00E6129D">
        <w:t>bude hradený v rámci navrhnutých limitov na zabezpečenie volieb v roku 2022.</w:t>
      </w:r>
    </w:p>
    <w:p w:rsidR="00552D19" w:rsidRPr="00E6129D" w:rsidRDefault="00552D19" w:rsidP="006F4AB8">
      <w:pPr>
        <w:spacing w:before="120" w:after="240"/>
        <w:ind w:firstLine="708"/>
        <w:jc w:val="both"/>
        <w:rPr>
          <w:lang w:eastAsia="en-US"/>
        </w:rPr>
      </w:pPr>
      <w:r w:rsidRPr="00E6129D">
        <w:t>Z uvedeného dôvodu kvantifikácia výdavkov na roky 2022 až 2024 nevykazuje negatívny dopad na štátny rozpočet.</w:t>
      </w:r>
    </w:p>
    <w:p w:rsidR="00552D19" w:rsidRPr="00E6129D" w:rsidRDefault="00552D19" w:rsidP="00552D19">
      <w:pPr>
        <w:tabs>
          <w:tab w:val="left" w:pos="709"/>
        </w:tabs>
        <w:rPr>
          <w:b/>
          <w:bCs/>
        </w:rPr>
      </w:pPr>
      <w:r w:rsidRPr="00E6129D">
        <w:rPr>
          <w:b/>
          <w:bCs/>
        </w:rPr>
        <w:t>2.2.</w:t>
      </w:r>
      <w:r w:rsidRPr="00E6129D">
        <w:rPr>
          <w:b/>
          <w:bCs/>
        </w:rPr>
        <w:tab/>
        <w:t>Popis a charakteristika návrhu</w:t>
      </w:r>
    </w:p>
    <w:p w:rsidR="00552D19" w:rsidRPr="00E6129D" w:rsidRDefault="00552D19" w:rsidP="00552D19">
      <w:pPr>
        <w:spacing w:before="200"/>
        <w:jc w:val="both"/>
        <w:rPr>
          <w:b/>
          <w:bCs/>
        </w:rPr>
      </w:pPr>
      <w:r w:rsidRPr="00E6129D">
        <w:rPr>
          <w:b/>
          <w:bCs/>
        </w:rPr>
        <w:t>2.2.1.</w:t>
      </w:r>
      <w:r w:rsidRPr="00E6129D">
        <w:rPr>
          <w:b/>
          <w:bCs/>
        </w:rPr>
        <w:tab/>
        <w:t>Popis návrhu:</w:t>
      </w:r>
    </w:p>
    <w:p w:rsidR="00552D19" w:rsidRPr="00E6129D" w:rsidRDefault="00552D19" w:rsidP="00552D19">
      <w:pPr>
        <w:spacing w:before="120" w:after="240"/>
        <w:ind w:firstLine="708"/>
        <w:jc w:val="both"/>
        <w:rPr>
          <w:lang w:eastAsia="en-US"/>
        </w:rPr>
      </w:pPr>
      <w:r w:rsidRPr="00E6129D">
        <w:rPr>
          <w:lang w:eastAsia="en-US"/>
        </w:rPr>
        <w:t>Novela zákona priznáva členovi obvodnej volebnej komisie, členovi volebnej komisie samosprávneho kraja a členovi okresnej volebnej komisie nárok na odmenu, ak nemajú v deň konania volieb nárok na náhradu podľa § 36 ods. 1 volebného zákona, zjednocuje nárok na odmenu členov volebných komisií všetkých stupňov, zvyšuje záujem o výkon funkcie člena volebnej komisie vo volebných komisiách vyššieho stupňa a eliminuje potrebu vymenovania chýbajúcich členov volebných komisií v prípadoch, ak dôjde k zníženiu počtu členov pod zákonom ustanovenú hranicu.</w:t>
      </w:r>
    </w:p>
    <w:p w:rsidR="00673A48" w:rsidRPr="00E6129D" w:rsidRDefault="00673A48" w:rsidP="00552D19">
      <w:pPr>
        <w:spacing w:before="120" w:after="240"/>
        <w:ind w:firstLine="708"/>
        <w:jc w:val="both"/>
        <w:rPr>
          <w:lang w:eastAsia="en-US"/>
        </w:rPr>
      </w:pPr>
      <w:r w:rsidRPr="00E6129D">
        <w:rPr>
          <w:lang w:eastAsia="en-US"/>
        </w:rPr>
        <w:t xml:space="preserve">Zavedenie povinnosti zabezpečiť prístup </w:t>
      </w:r>
      <w:r w:rsidR="009451E7" w:rsidRPr="00E6129D">
        <w:rPr>
          <w:lang w:eastAsia="en-US"/>
        </w:rPr>
        <w:t xml:space="preserve">k internetu pre </w:t>
      </w:r>
      <w:r w:rsidR="00630C50" w:rsidRPr="00E6129D">
        <w:rPr>
          <w:lang w:eastAsia="en-US"/>
        </w:rPr>
        <w:t xml:space="preserve">miestne a </w:t>
      </w:r>
      <w:r w:rsidR="009451E7" w:rsidRPr="00E6129D">
        <w:rPr>
          <w:lang w:eastAsia="en-US"/>
        </w:rPr>
        <w:t>okrskové volebné komisie</w:t>
      </w:r>
      <w:r w:rsidRPr="00E6129D">
        <w:rPr>
          <w:lang w:eastAsia="en-US"/>
        </w:rPr>
        <w:t xml:space="preserve"> odbremení predsedov </w:t>
      </w:r>
      <w:r w:rsidR="00FE5375" w:rsidRPr="00E6129D">
        <w:rPr>
          <w:lang w:eastAsia="en-US"/>
        </w:rPr>
        <w:t xml:space="preserve">miestnych a </w:t>
      </w:r>
      <w:r w:rsidRPr="00E6129D">
        <w:rPr>
          <w:lang w:eastAsia="en-US"/>
        </w:rPr>
        <w:t xml:space="preserve">okrskových volebných komisií od osobného doručovania zápisníc volebnej komisii vyššieho stupňa, od čakania na spracovanie zápisnice odborným sumarizačným útvarom, napomôže k odstraňovaniu chybovosti a uľahčí spracovanie výsledkov hlasovania pre </w:t>
      </w:r>
      <w:r w:rsidR="00630C50" w:rsidRPr="00E6129D">
        <w:rPr>
          <w:lang w:eastAsia="en-US"/>
        </w:rPr>
        <w:t xml:space="preserve">miestne a </w:t>
      </w:r>
      <w:r w:rsidRPr="00E6129D">
        <w:rPr>
          <w:lang w:eastAsia="en-US"/>
        </w:rPr>
        <w:t xml:space="preserve">okrskové volebné komisie a pre odborné sumarizačné útvary. </w:t>
      </w:r>
    </w:p>
    <w:p w:rsidR="000C2A15" w:rsidRPr="00E6129D" w:rsidRDefault="00D26B47" w:rsidP="0075615C">
      <w:pPr>
        <w:autoSpaceDE w:val="0"/>
        <w:autoSpaceDN w:val="0"/>
        <w:ind w:firstLine="708"/>
        <w:jc w:val="both"/>
      </w:pPr>
      <w:r w:rsidRPr="00E6129D">
        <w:t xml:space="preserve">V čl. II. </w:t>
      </w:r>
      <w:r w:rsidR="0075615C" w:rsidRPr="00E6129D">
        <w:t xml:space="preserve">návrhu zákona sa navrhujú zmeny zákona o volebnej kampani. Navrhovanými zmenami sa upresňujú limity </w:t>
      </w:r>
      <w:r w:rsidR="00CB2BAE" w:rsidRPr="00E6129D">
        <w:t>nákladov na volebnú kampaň vo voľbách do orgánov územnej samosprávy a prenáša sa kontrola nad dodržiavaním transparentnosti volebnej kampane a ukladanie sankcií pre porušenie ustanovení § 15 zákona o volebnej kampani na okresné úrady.</w:t>
      </w:r>
      <w:r w:rsidRPr="00E6129D">
        <w:t xml:space="preserve"> </w:t>
      </w:r>
      <w:r w:rsidR="00CB2BAE" w:rsidRPr="00E6129D">
        <w:t>Ďalej</w:t>
      </w:r>
      <w:r w:rsidR="000C2A15" w:rsidRPr="00E6129D">
        <w:t xml:space="preserve"> </w:t>
      </w:r>
      <w:r w:rsidR="00CB2BAE" w:rsidRPr="00E6129D">
        <w:t xml:space="preserve">sa </w:t>
      </w:r>
      <w:r w:rsidR="000C2A15" w:rsidRPr="00E6129D">
        <w:t>vzhľadom na zavedenie objektívnej zodpovednosti politickej strany za vedenie volebnej kampane kandidátom uvedeným na jej kandidátnej listine vo voľbách do Národnej rady Slovenskej republiky a vo voľbách do Európskeho parlamentu po čase ustanovenom na volebnú kampaň ustanovuje prís</w:t>
      </w:r>
      <w:r w:rsidR="0075615C" w:rsidRPr="00E6129D">
        <w:t xml:space="preserve">lušná sankcia za jej porušenie. </w:t>
      </w:r>
      <w:r w:rsidR="000C2A15" w:rsidRPr="00E6129D">
        <w:t>Rovnako sa zavádza sankcia za porušenie novozavedenej spoločnej zodpovednosti všetkých politických strán a politických hnutí tvoriacich koalíciu za vedenie volebnej kampane po čase ustanovenom v § 2 ods. 2 kandidátom uvedeným na kandidátnej listine tejto koalície pre voľby do Národnej rady Slovenskej republiky a pre voľby do Európskeho parlamentu. Pokuta bude uložená v rovnakej výške každej politickej strane tvoriacej koalíciu ako vyjadrenie spoločnej zodpovednosti za konanie kandidáta uvedeného na kandidátnej listine tejto koalície.</w:t>
      </w:r>
      <w:r w:rsidR="0075615C" w:rsidRPr="00E6129D">
        <w:t xml:space="preserve"> </w:t>
      </w:r>
      <w:r w:rsidR="000C2A15" w:rsidRPr="00E6129D">
        <w:t>Za neposkytnutie súčinnosti fyzických a právnických osôb ministerstvu vnútr</w:t>
      </w:r>
      <w:r w:rsidR="00737E6A" w:rsidRPr="00E6129D">
        <w:t>a</w:t>
      </w:r>
      <w:r w:rsidR="000C2A15" w:rsidRPr="00E6129D">
        <w:t>, ktoré je spôsobilé znemožniť efektívne prešetrovanie možných porušení pravidiel vedenia volebnej kampane sa v zákone ustanovuje sankcia za účelom vynútiteľnosti tejto súčinnosti, a to aj s možnosťou jej opakovaného uloženia.</w:t>
      </w:r>
    </w:p>
    <w:p w:rsidR="00604147" w:rsidRPr="00E6129D" w:rsidRDefault="00604147" w:rsidP="0075615C">
      <w:pPr>
        <w:autoSpaceDE w:val="0"/>
        <w:autoSpaceDN w:val="0"/>
        <w:ind w:firstLine="708"/>
        <w:jc w:val="both"/>
      </w:pPr>
    </w:p>
    <w:p w:rsidR="00721D38" w:rsidRPr="00E6129D" w:rsidRDefault="003F48DA" w:rsidP="00721D38">
      <w:pPr>
        <w:ind w:firstLine="708"/>
        <w:jc w:val="both"/>
      </w:pPr>
      <w:r w:rsidRPr="00E6129D">
        <w:t xml:space="preserve">Vyhodnotením záverov medzirezortného pripomienkového konania sa pre voľby do </w:t>
      </w:r>
      <w:r w:rsidR="00230CCE" w:rsidRPr="00E6129D">
        <w:t xml:space="preserve">orgánov </w:t>
      </w:r>
      <w:r w:rsidRPr="00E6129D">
        <w:t>územnej samosprávy, ktoré sa konajú v rovnaký deň a v rovnakom čase</w:t>
      </w:r>
      <w:r w:rsidR="00D97C3B" w:rsidRPr="00E6129D">
        <w:t>,</w:t>
      </w:r>
      <w:r w:rsidRPr="00E6129D">
        <w:t xml:space="preserve"> stanovila výška odmeny za výkon funkcie člena a zapisovateľa okrskovej volebnej komisie v sume dvojnásobku, ktorá pripadá členovi a zapisovateľovi okrskovej volebnej komisie podľa </w:t>
      </w:r>
      <w:r w:rsidR="00A7231A" w:rsidRPr="00E6129D">
        <w:br/>
      </w:r>
      <w:r w:rsidRPr="00E6129D">
        <w:t>§ 5 vyhlášky Ministerstva vnútra Slovenskej republiky č. 308/2015 Z. z. o výdavkoch spojených s voľbami v znení vyhlášky č. 323/2019 Z. z. a</w:t>
      </w:r>
      <w:r w:rsidR="00FB770D" w:rsidRPr="00E6129D">
        <w:t xml:space="preserve"> z dôvodu väčšieho počtu hlasovacích lístkov a s tým spojenej vyššej náročnosti procesu sčítavania hlasov </w:t>
      </w:r>
      <w:r w:rsidRPr="00E6129D">
        <w:t xml:space="preserve">určil minimálny počet </w:t>
      </w:r>
      <w:r w:rsidRPr="00E6129D">
        <w:lastRenderedPageBreak/>
        <w:t xml:space="preserve">členov okrskovej volebnej komisie v hlavnom meste Slovenskej republiky Bratislave </w:t>
      </w:r>
      <w:r w:rsidR="00FB770D" w:rsidRPr="00E6129D">
        <w:t xml:space="preserve">a v meste Košice na sedem. </w:t>
      </w:r>
    </w:p>
    <w:p w:rsidR="00552D19" w:rsidRPr="00E6129D" w:rsidRDefault="00552D19" w:rsidP="00721D38">
      <w:pPr>
        <w:ind w:firstLine="708"/>
        <w:jc w:val="both"/>
      </w:pPr>
      <w:r w:rsidRPr="00E6129D">
        <w:t>.......................................................................................................................................................</w:t>
      </w:r>
    </w:p>
    <w:p w:rsidR="00552D19" w:rsidRPr="00E6129D" w:rsidRDefault="00552D19" w:rsidP="00552D19">
      <w:pPr>
        <w:spacing w:before="200" w:after="120"/>
        <w:jc w:val="both"/>
        <w:rPr>
          <w:b/>
          <w:bCs/>
        </w:rPr>
      </w:pPr>
      <w:r w:rsidRPr="00E6129D">
        <w:rPr>
          <w:b/>
          <w:bCs/>
        </w:rPr>
        <w:t>2.2.2.</w:t>
      </w:r>
      <w:r w:rsidRPr="00E6129D">
        <w:rPr>
          <w:b/>
          <w:bCs/>
        </w:rPr>
        <w:tab/>
        <w:t>Charakteristika návrhu:</w:t>
      </w:r>
    </w:p>
    <w:p w:rsidR="00552D19" w:rsidRPr="00E6129D" w:rsidRDefault="00552D19" w:rsidP="00552D19">
      <w:r w:rsidRPr="00E6129D">
        <w:rPr>
          <w:b/>
          <w:bdr w:val="single" w:sz="4" w:space="0" w:color="auto"/>
        </w:rPr>
        <w:t xml:space="preserve">     </w:t>
      </w:r>
      <w:r w:rsidRPr="00E6129D">
        <w:rPr>
          <w:b/>
        </w:rPr>
        <w:t xml:space="preserve">  </w:t>
      </w:r>
      <w:r w:rsidRPr="00E6129D">
        <w:t>zmena sadzby</w:t>
      </w:r>
    </w:p>
    <w:p w:rsidR="00552D19" w:rsidRPr="00E6129D" w:rsidRDefault="00552D19" w:rsidP="00552D19">
      <w:r w:rsidRPr="00E6129D">
        <w:rPr>
          <w:bdr w:val="single" w:sz="4" w:space="0" w:color="auto"/>
        </w:rPr>
        <w:t xml:space="preserve">x   </w:t>
      </w:r>
      <w:r w:rsidRPr="00E6129D">
        <w:t xml:space="preserve">  zmena v nároku</w:t>
      </w:r>
    </w:p>
    <w:p w:rsidR="00552D19" w:rsidRPr="00E6129D" w:rsidRDefault="00F03D05" w:rsidP="00552D19">
      <w:r w:rsidRPr="00E6129D">
        <w:rPr>
          <w:bdr w:val="single" w:sz="4" w:space="0" w:color="auto"/>
        </w:rPr>
        <w:t xml:space="preserve">  </w:t>
      </w:r>
      <w:r w:rsidR="00844D86" w:rsidRPr="00E6129D">
        <w:rPr>
          <w:bdr w:val="single" w:sz="4" w:space="0" w:color="auto"/>
        </w:rPr>
        <w:t xml:space="preserve">  </w:t>
      </w:r>
      <w:r w:rsidR="00552D19" w:rsidRPr="00E6129D">
        <w:rPr>
          <w:bdr w:val="single" w:sz="4" w:space="0" w:color="auto"/>
        </w:rPr>
        <w:t xml:space="preserve"> </w:t>
      </w:r>
      <w:r w:rsidR="00552D19" w:rsidRPr="00E6129D">
        <w:t xml:space="preserve">  nová služba alebo nariadenie (alebo ich zrušenie)</w:t>
      </w:r>
    </w:p>
    <w:p w:rsidR="00552D19" w:rsidRPr="00E6129D" w:rsidRDefault="00552D19" w:rsidP="00552D19">
      <w:r w:rsidRPr="00E6129D">
        <w:rPr>
          <w:bdr w:val="single" w:sz="4" w:space="0" w:color="auto"/>
        </w:rPr>
        <w:t xml:space="preserve">     </w:t>
      </w:r>
      <w:r w:rsidRPr="00E6129D">
        <w:t xml:space="preserve">  kombinovaný návrh</w:t>
      </w:r>
    </w:p>
    <w:p w:rsidR="00552D19" w:rsidRPr="00E6129D" w:rsidRDefault="00552D19" w:rsidP="00552D19">
      <w:r w:rsidRPr="00E6129D">
        <w:rPr>
          <w:bdr w:val="single" w:sz="4" w:space="0" w:color="auto"/>
        </w:rPr>
        <w:t xml:space="preserve">     </w:t>
      </w:r>
      <w:r w:rsidRPr="00E6129D">
        <w:t xml:space="preserve">  iné</w:t>
      </w:r>
    </w:p>
    <w:p w:rsidR="00552D19" w:rsidRPr="00E6129D" w:rsidRDefault="00552D19" w:rsidP="00552D19">
      <w:pPr>
        <w:spacing w:before="200"/>
        <w:jc w:val="both"/>
        <w:rPr>
          <w:b/>
          <w:bCs/>
        </w:rPr>
      </w:pPr>
      <w:r w:rsidRPr="00E6129D">
        <w:rPr>
          <w:b/>
          <w:bCs/>
        </w:rPr>
        <w:t>2.2.3.</w:t>
      </w:r>
      <w:r w:rsidRPr="00E6129D">
        <w:rPr>
          <w:b/>
          <w:bCs/>
        </w:rPr>
        <w:tab/>
        <w:t>Predpoklady vývoja objemu aktivít:</w:t>
      </w:r>
    </w:p>
    <w:p w:rsidR="00552D19" w:rsidRPr="00E6129D" w:rsidRDefault="00552D19" w:rsidP="00552D19">
      <w:pPr>
        <w:spacing w:before="120"/>
        <w:ind w:firstLine="709"/>
        <w:jc w:val="both"/>
      </w:pPr>
      <w:r w:rsidRPr="00E6129D">
        <w:t>Jasne popíšte, v prípade potreby použite nižšie uvedenú tabuľku. Uveďte aj odhady základov daní a/alebo poplatkov, ak sa ich táto zmena týka.</w:t>
      </w:r>
    </w:p>
    <w:p w:rsidR="00552D19" w:rsidRPr="00E6129D" w:rsidRDefault="00552D19" w:rsidP="00552D19">
      <w:pPr>
        <w:jc w:val="right"/>
      </w:pPr>
      <w:r w:rsidRPr="00E6129D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E6129D" w:rsidRPr="00E6129D" w:rsidTr="00D00C8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Odhadované objemy</w:t>
            </w:r>
          </w:p>
        </w:tc>
      </w:tr>
      <w:tr w:rsidR="00E6129D" w:rsidRPr="00E6129D" w:rsidTr="00D00C8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2024</w:t>
            </w:r>
          </w:p>
        </w:tc>
      </w:tr>
      <w:tr w:rsidR="00E6129D" w:rsidRPr="00E6129D" w:rsidTr="00D00C88">
        <w:trPr>
          <w:trHeight w:val="70"/>
        </w:trPr>
        <w:tc>
          <w:tcPr>
            <w:tcW w:w="4530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</w:pPr>
            <w:r w:rsidRPr="00E6129D">
              <w:t>Indikátor ABC</w:t>
            </w: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</w:tr>
      <w:tr w:rsidR="00E6129D" w:rsidRPr="00E6129D" w:rsidTr="00D00C88">
        <w:trPr>
          <w:trHeight w:val="70"/>
        </w:trPr>
        <w:tc>
          <w:tcPr>
            <w:tcW w:w="4530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</w:pPr>
            <w:r w:rsidRPr="00E6129D">
              <w:t>Indikátor KLM</w:t>
            </w: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</w:tr>
      <w:tr w:rsidR="00552D19" w:rsidRPr="00E6129D" w:rsidTr="00D00C88">
        <w:trPr>
          <w:trHeight w:val="70"/>
        </w:trPr>
        <w:tc>
          <w:tcPr>
            <w:tcW w:w="4530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</w:pPr>
            <w:r w:rsidRPr="00E6129D">
              <w:t>Indikátor XYZ</w:t>
            </w: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552D19" w:rsidRPr="00E6129D" w:rsidRDefault="00552D19" w:rsidP="00552D1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37E6A" w:rsidRPr="00E6129D" w:rsidRDefault="00737E6A" w:rsidP="00552D19">
      <w:pPr>
        <w:spacing w:before="200"/>
        <w:jc w:val="both"/>
        <w:rPr>
          <w:b/>
          <w:bCs/>
        </w:rPr>
      </w:pPr>
    </w:p>
    <w:p w:rsidR="00552D19" w:rsidRPr="00E6129D" w:rsidRDefault="00552D19" w:rsidP="00552D19">
      <w:pPr>
        <w:spacing w:before="200"/>
        <w:jc w:val="both"/>
        <w:rPr>
          <w:b/>
          <w:bCs/>
        </w:rPr>
      </w:pPr>
      <w:r w:rsidRPr="00E6129D">
        <w:rPr>
          <w:b/>
          <w:bCs/>
        </w:rPr>
        <w:t>2.2.4.</w:t>
      </w:r>
      <w:r w:rsidRPr="00E6129D">
        <w:rPr>
          <w:b/>
          <w:bCs/>
        </w:rPr>
        <w:tab/>
        <w:t>Výpočty vplyvov na verejné financie</w:t>
      </w:r>
    </w:p>
    <w:p w:rsidR="00552D19" w:rsidRPr="00E6129D" w:rsidRDefault="00552D19" w:rsidP="00552D19">
      <w:pPr>
        <w:spacing w:before="120"/>
        <w:ind w:firstLine="709"/>
        <w:jc w:val="both"/>
        <w:rPr>
          <w:bCs/>
        </w:rPr>
      </w:pPr>
      <w:r w:rsidRPr="00E6129D">
        <w:rPr>
          <w:lang w:eastAsia="en-US"/>
        </w:rPr>
        <w:t>Výšku dopadu na štátny rozpočet z titulu priznania nároku na odmenu, ak v deň konania volieb nemá člen obvodnej volebnej komisie, člen volebnej komisie samosprávneho kraja a člen okresnej volebnej komisie nárok na náhradu podľa § 36 ods. 1 volebného zákona nie je možné v súčasnosti presne kvantifikovať, nakoľko výška vynaložených výdavkov závisí od počtu a druhu vyhlásených volieb predsedom Národnej rady Slovenskej republiky, od počtu členov volebných komisií</w:t>
      </w:r>
      <w:r w:rsidRPr="00E6129D">
        <w:rPr>
          <w:bCs/>
        </w:rPr>
        <w:t>, ktorý nie je zákonom limitovaný, ako aj od dosiahnutej výšky priemernej mesačnej mzdy zamestnanca v národnom hospodárstve za predposledný kalendárny štvrťrok pred kalendárnym štvrťrokom, v ktorom sa konajú voľby.</w:t>
      </w:r>
    </w:p>
    <w:p w:rsidR="00552D19" w:rsidRPr="00E6129D" w:rsidRDefault="00552D19" w:rsidP="00552D19">
      <w:pPr>
        <w:spacing w:before="120"/>
        <w:ind w:firstLine="709"/>
        <w:jc w:val="both"/>
      </w:pPr>
      <w:r w:rsidRPr="00E6129D">
        <w:t xml:space="preserve">Pri vynakladaní výdavkov na voľby najvyšší objem finančných prostriedkov tvoria výdavky na zabezpečenie činnosti okrskových volebných komisií. </w:t>
      </w:r>
    </w:p>
    <w:p w:rsidR="00552D19" w:rsidRPr="00E6129D" w:rsidRDefault="00552D19" w:rsidP="00552D19">
      <w:pPr>
        <w:spacing w:before="120"/>
        <w:ind w:firstLine="709"/>
        <w:jc w:val="both"/>
      </w:pPr>
      <w:r w:rsidRPr="00E6129D">
        <w:t xml:space="preserve">Navrhovaná úprava sa dotýka 8 volebných komisií samosprávneho kraja, približne </w:t>
      </w:r>
      <w:r w:rsidRPr="00E6129D">
        <w:br/>
        <w:t xml:space="preserve">96 obvodných volebných komisií a 49 okresných volebných komisií, čo pri 6 000 okrskoch možno považovať za zanedbateľné. Vychádzajúc zo spôsobu výpočtu výšky odmeny podľa vyhlášky Ministerstva vnútra Slovenskej republiky č. 308/2015 Z. z. o výdavkoch spojených s voľbami v znení vyhlášky č. 323/2019 Z. z. predkladateľ deklaruje, že zjednotenie nároku na odmenu členov volebných komisií všetkých stupňov neprinesie výrazný nárast výdavkov. Pri financovaní volieb do orgánov samosprávy obcí a volieb do orgánov samosprávnych krajov v roku 2022 sa z titulu zjednotenia nároku na odmenu členov volebných komisií všetkých stupňov predpokladá suma 66 000 eur, v roku 2024 kedy sa úprava dotýka členov 49 okresných volebných komisií sa pri voľbách do Národnej rady Slovenskej republiky a voľbách do Európskeho parlamentu predpokladá rovnaká suma 21 000 eur, pri dvojkolových voľbách prezidenta Slovenskej republiky suma 42 000 eur a pri doplnkových voľbách do územnej samosprávy, ktoré sú vyhlasované predsedom Národnej rady Slovenskej republiky každý rok a môžu sa konať aj viackrát do roka z dôvodov ustanovených volebným zákonom suma </w:t>
      </w:r>
      <w:r w:rsidRPr="00E6129D">
        <w:br/>
      </w:r>
      <w:r w:rsidR="00A853C1" w:rsidRPr="00E6129D">
        <w:lastRenderedPageBreak/>
        <w:t xml:space="preserve">do </w:t>
      </w:r>
      <w:r w:rsidRPr="00E6129D">
        <w:t xml:space="preserve">17 000 eur. Navýšenie finančných prostriedkov z tohto premetu dokáže predkladateľ pokryť v rámci </w:t>
      </w:r>
      <w:r w:rsidR="00166C2D" w:rsidRPr="00E6129D">
        <w:t>navr</w:t>
      </w:r>
      <w:r w:rsidRPr="00E6129D">
        <w:t>h</w:t>
      </w:r>
      <w:r w:rsidR="00166C2D" w:rsidRPr="00E6129D">
        <w:t>nutých</w:t>
      </w:r>
      <w:r w:rsidRPr="00E6129D">
        <w:t xml:space="preserve"> limitov na roky 2022 až 2024.</w:t>
      </w:r>
    </w:p>
    <w:p w:rsidR="00D26B47" w:rsidRPr="00E6129D" w:rsidRDefault="00313DBC" w:rsidP="00D26B47">
      <w:pPr>
        <w:spacing w:before="120" w:after="240"/>
        <w:ind w:firstLine="708"/>
        <w:jc w:val="both"/>
      </w:pPr>
      <w:r w:rsidRPr="00E6129D">
        <w:rPr>
          <w:bCs/>
        </w:rPr>
        <w:t xml:space="preserve">Výška dopadu na štátny rozpočet z titulu zavedenia povinnosti starostovi obce zabezpečiť v súvislosti s prípravou a vykonaním volieb prístup </w:t>
      </w:r>
      <w:r w:rsidR="00A853C1" w:rsidRPr="00E6129D">
        <w:rPr>
          <w:bCs/>
        </w:rPr>
        <w:t>k internetu</w:t>
      </w:r>
      <w:r w:rsidRPr="00E6129D">
        <w:rPr>
          <w:bCs/>
        </w:rPr>
        <w:t xml:space="preserve"> pre</w:t>
      </w:r>
      <w:r w:rsidR="00630C50" w:rsidRPr="00E6129D">
        <w:rPr>
          <w:bCs/>
        </w:rPr>
        <w:t xml:space="preserve"> miestne a</w:t>
      </w:r>
      <w:r w:rsidRPr="00E6129D">
        <w:rPr>
          <w:bCs/>
        </w:rPr>
        <w:t xml:space="preserve"> okrskové volebné komisie nie je možné v súčasnosti presne kvantifikovať, keďže nie </w:t>
      </w:r>
      <w:r w:rsidR="00A853C1" w:rsidRPr="00E6129D">
        <w:rPr>
          <w:bCs/>
        </w:rPr>
        <w:t xml:space="preserve">je </w:t>
      </w:r>
      <w:r w:rsidRPr="00E6129D">
        <w:rPr>
          <w:bCs/>
        </w:rPr>
        <w:t xml:space="preserve">možné určiť koľko obcí bude potrebovať </w:t>
      </w:r>
      <w:r w:rsidR="006B3D8F" w:rsidRPr="00E6129D">
        <w:rPr>
          <w:bCs/>
        </w:rPr>
        <w:t>pomoc pri zriadení</w:t>
      </w:r>
      <w:r w:rsidRPr="00E6129D">
        <w:rPr>
          <w:bCs/>
        </w:rPr>
        <w:t xml:space="preserve"> pripojenia </w:t>
      </w:r>
      <w:r w:rsidR="00A853C1" w:rsidRPr="00E6129D">
        <w:rPr>
          <w:bCs/>
        </w:rPr>
        <w:t>k internetu</w:t>
      </w:r>
      <w:r w:rsidRPr="00E6129D">
        <w:rPr>
          <w:bCs/>
        </w:rPr>
        <w:t>. Ministerstvo vnútra v spolupráci s </w:t>
      </w:r>
      <w:r w:rsidRPr="00E6129D">
        <w:t xml:space="preserve">Úradom pre reguláciu elektronických komunikácií a poštových služieb v súčasnosti uskutočňuje prieskum pripojenia volebných miestností </w:t>
      </w:r>
      <w:r w:rsidR="00A853C1" w:rsidRPr="00E6129D">
        <w:t>k internetu</w:t>
      </w:r>
      <w:r w:rsidRPr="00E6129D">
        <w:t xml:space="preserve">. Na základe uvedeného nie je možné kvantifikovať </w:t>
      </w:r>
      <w:r w:rsidR="00B9202B" w:rsidRPr="00E6129D">
        <w:t xml:space="preserve">sumu výdavkov potrebných na zabezpečenie pripojenia volebných miestností. Výdavky s tým spojené budú </w:t>
      </w:r>
      <w:r w:rsidR="006B3D8F" w:rsidRPr="00E6129D">
        <w:t xml:space="preserve">v prípade potreby </w:t>
      </w:r>
      <w:r w:rsidR="00B9202B" w:rsidRPr="00E6129D">
        <w:t xml:space="preserve">hradené z prostriedkov štátneho rozpočtu a budú špecifikované vyhláškou Ministerstva </w:t>
      </w:r>
      <w:r w:rsidR="00A853C1" w:rsidRPr="00E6129D">
        <w:t xml:space="preserve">vnútra Slovenskej republiky </w:t>
      </w:r>
      <w:r w:rsidR="00604147" w:rsidRPr="00E6129D">
        <w:br/>
      </w:r>
      <w:r w:rsidR="00A853C1" w:rsidRPr="00E6129D">
        <w:t xml:space="preserve">č. </w:t>
      </w:r>
      <w:r w:rsidR="00B9202B" w:rsidRPr="00E6129D">
        <w:t xml:space="preserve">308/2015 Z. z. o výdavkoch spojených s voľbami v znení vyhlášky č. 323/2019 Z. z., ktorú bude predkladateľ novelizovať. Vychádzajúc zo skutočnosti, </w:t>
      </w:r>
      <w:r w:rsidR="00166C2D" w:rsidRPr="00E6129D">
        <w:t xml:space="preserve">že pri voľbách do Národnej rady Slovenskej republiky v roku 2020 až 80 % okrskových volebných komisií využilo dobrovoľnú možnosť odosielania zápisníc o výsledku volieb prostredníctvom informačného systému IVIS, navrhovateľ má za to, že dopad na štátny rozpočet bude z titulu zavedenia povinnosti prístupu </w:t>
      </w:r>
      <w:r w:rsidR="00D77ABA" w:rsidRPr="00E6129D">
        <w:t>k internetu</w:t>
      </w:r>
      <w:r w:rsidR="00166C2D" w:rsidRPr="00E6129D">
        <w:t xml:space="preserve"> pre </w:t>
      </w:r>
      <w:r w:rsidR="00630C50" w:rsidRPr="00E6129D">
        <w:t xml:space="preserve">miestne a </w:t>
      </w:r>
      <w:r w:rsidR="00166C2D" w:rsidRPr="00E6129D">
        <w:t xml:space="preserve">okrskové volebné komisie </w:t>
      </w:r>
      <w:r w:rsidR="00421936" w:rsidRPr="00E6129D">
        <w:t xml:space="preserve">zanedbateľný </w:t>
      </w:r>
      <w:r w:rsidR="00166C2D" w:rsidRPr="00E6129D">
        <w:t xml:space="preserve">a dokáže ho uhradiť v rámci navrhnutých limitov na zabezpečenie volieb na roky 2022 až 2024. </w:t>
      </w:r>
    </w:p>
    <w:p w:rsidR="005648D7" w:rsidRPr="00E6129D" w:rsidRDefault="005648D7" w:rsidP="00462C07">
      <w:pPr>
        <w:spacing w:before="120" w:after="240"/>
        <w:ind w:firstLine="708"/>
        <w:jc w:val="both"/>
      </w:pPr>
      <w:r w:rsidRPr="00E6129D">
        <w:rPr>
          <w:lang w:eastAsia="en-US"/>
        </w:rPr>
        <w:t xml:space="preserve">Vplyv na rozpočet </w:t>
      </w:r>
      <w:r w:rsidR="00230CCE" w:rsidRPr="00E6129D">
        <w:rPr>
          <w:lang w:eastAsia="en-US"/>
        </w:rPr>
        <w:t xml:space="preserve">pre spojené voľby </w:t>
      </w:r>
      <w:r w:rsidRPr="00E6129D">
        <w:rPr>
          <w:lang w:eastAsia="en-US"/>
        </w:rPr>
        <w:t xml:space="preserve">z titulu zdvojnásobenia výšky odmeny </w:t>
      </w:r>
      <w:r w:rsidR="004670AB" w:rsidRPr="00E6129D">
        <w:rPr>
          <w:lang w:eastAsia="en-US"/>
        </w:rPr>
        <w:t>člena a zapisovateľa okrskovej </w:t>
      </w:r>
      <w:r w:rsidRPr="00E6129D">
        <w:rPr>
          <w:lang w:eastAsia="en-US"/>
        </w:rPr>
        <w:t xml:space="preserve">volebnej komisie a navýšenia </w:t>
      </w:r>
      <w:r w:rsidR="00DF0234" w:rsidRPr="00E6129D">
        <w:rPr>
          <w:lang w:eastAsia="en-US"/>
        </w:rPr>
        <w:t xml:space="preserve">minimálneho </w:t>
      </w:r>
      <w:r w:rsidRPr="00E6129D">
        <w:rPr>
          <w:lang w:eastAsia="en-US"/>
        </w:rPr>
        <w:t xml:space="preserve">počtu členov okrskovej volebnej komisie </w:t>
      </w:r>
      <w:r w:rsidRPr="00E6129D">
        <w:t>v hla</w:t>
      </w:r>
      <w:r w:rsidR="001D3C79" w:rsidRPr="00E6129D">
        <w:t xml:space="preserve">vnom meste Slovenskej republiky </w:t>
      </w:r>
      <w:r w:rsidRPr="00E6129D">
        <w:t>Bratislav</w:t>
      </w:r>
      <w:r w:rsidR="001D3C79" w:rsidRPr="00E6129D">
        <w:t>e</w:t>
      </w:r>
      <w:r w:rsidRPr="00E6129D">
        <w:t xml:space="preserve"> a v meste Košice na sedem</w:t>
      </w:r>
      <w:r w:rsidRPr="00E6129D">
        <w:rPr>
          <w:lang w:eastAsia="en-US"/>
        </w:rPr>
        <w:t xml:space="preserve"> bol kvantifikovaný nadväzne na predpokladaný počet členov </w:t>
      </w:r>
      <w:r w:rsidR="00A7231A" w:rsidRPr="00E6129D">
        <w:rPr>
          <w:lang w:eastAsia="en-US"/>
        </w:rPr>
        <w:t xml:space="preserve">a zapisovateľov </w:t>
      </w:r>
      <w:r w:rsidRPr="00E6129D">
        <w:rPr>
          <w:lang w:eastAsia="en-US"/>
        </w:rPr>
        <w:t xml:space="preserve">okrskových volebných komisií (počet členov okrskových volebných </w:t>
      </w:r>
      <w:r w:rsidR="005C79BF" w:rsidRPr="00E6129D">
        <w:rPr>
          <w:lang w:eastAsia="en-US"/>
        </w:rPr>
        <w:t xml:space="preserve">komisií </w:t>
      </w:r>
      <w:r w:rsidR="00783C67" w:rsidRPr="00E6129D">
        <w:rPr>
          <w:lang w:eastAsia="en-US"/>
        </w:rPr>
        <w:t>nie je zákonom regulovaný a tvoria ho nominanti jednotlivých kandidujúcich politických subjektov</w:t>
      </w:r>
      <w:r w:rsidRPr="00E6129D">
        <w:rPr>
          <w:lang w:eastAsia="en-US"/>
        </w:rPr>
        <w:t>)</w:t>
      </w:r>
      <w:r w:rsidR="006031A8" w:rsidRPr="00E6129D">
        <w:rPr>
          <w:lang w:eastAsia="en-US"/>
        </w:rPr>
        <w:t>, predpokladanú výšku</w:t>
      </w:r>
      <w:r w:rsidRPr="00E6129D">
        <w:rPr>
          <w:lang w:eastAsia="en-US"/>
        </w:rPr>
        <w:t xml:space="preserve"> odmeny člena, predsedu a zapisovateľa okrskovej volebnej komisie </w:t>
      </w:r>
      <w:r w:rsidR="00783C67" w:rsidRPr="00E6129D">
        <w:rPr>
          <w:lang w:eastAsia="en-US"/>
        </w:rPr>
        <w:t>závislej od</w:t>
      </w:r>
      <w:r w:rsidRPr="00E6129D">
        <w:rPr>
          <w:lang w:eastAsia="en-US"/>
        </w:rPr>
        <w:t xml:space="preserve"> výšky priemernej </w:t>
      </w:r>
      <w:r w:rsidR="00D83C41" w:rsidRPr="00E6129D">
        <w:rPr>
          <w:lang w:eastAsia="en-US"/>
        </w:rPr>
        <w:t xml:space="preserve">mesačnej </w:t>
      </w:r>
      <w:r w:rsidRPr="00E6129D">
        <w:rPr>
          <w:lang w:eastAsia="en-US"/>
        </w:rPr>
        <w:t xml:space="preserve">mzdy </w:t>
      </w:r>
      <w:r w:rsidR="00D83C41" w:rsidRPr="00E6129D">
        <w:rPr>
          <w:lang w:eastAsia="en-US"/>
        </w:rPr>
        <w:t xml:space="preserve">zamestnanca </w:t>
      </w:r>
      <w:r w:rsidRPr="00E6129D">
        <w:rPr>
          <w:lang w:eastAsia="en-US"/>
        </w:rPr>
        <w:t xml:space="preserve">v národnom hospodárstve </w:t>
      </w:r>
      <w:r w:rsidR="00783C67" w:rsidRPr="00E6129D">
        <w:t>za predposledný kalendárny štvrťrok pred kalendárnym štvrťrokom, v ktorom sa konanú voľby</w:t>
      </w:r>
      <w:r w:rsidR="00783C67" w:rsidRPr="00E6129D">
        <w:rPr>
          <w:lang w:eastAsia="en-US"/>
        </w:rPr>
        <w:t xml:space="preserve"> </w:t>
      </w:r>
      <w:r w:rsidR="004670AB" w:rsidRPr="00E6129D">
        <w:rPr>
          <w:lang w:eastAsia="en-US"/>
        </w:rPr>
        <w:t>a</w:t>
      </w:r>
      <w:r w:rsidR="006031A8" w:rsidRPr="00E6129D">
        <w:rPr>
          <w:lang w:eastAsia="en-US"/>
        </w:rPr>
        <w:t xml:space="preserve"> odhadovanú </w:t>
      </w:r>
      <w:r w:rsidR="0025650D" w:rsidRPr="00E6129D">
        <w:rPr>
          <w:lang w:eastAsia="en-US"/>
        </w:rPr>
        <w:t xml:space="preserve">výšku </w:t>
      </w:r>
      <w:r w:rsidR="004670AB" w:rsidRPr="00E6129D">
        <w:rPr>
          <w:lang w:eastAsia="en-US"/>
        </w:rPr>
        <w:t xml:space="preserve">výdavkov na stravovanie a občerstvenie </w:t>
      </w:r>
      <w:r w:rsidR="006031A8" w:rsidRPr="00E6129D">
        <w:rPr>
          <w:lang w:eastAsia="en-US"/>
        </w:rPr>
        <w:t>z </w:t>
      </w:r>
      <w:r w:rsidR="009B4034" w:rsidRPr="00E6129D">
        <w:rPr>
          <w:lang w:eastAsia="en-US"/>
        </w:rPr>
        <w:t>dôvodu</w:t>
      </w:r>
      <w:r w:rsidR="006031A8" w:rsidRPr="00E6129D">
        <w:rPr>
          <w:lang w:eastAsia="en-US"/>
        </w:rPr>
        <w:t xml:space="preserve"> navýšenia minimálneho počtu členov okrskovej volebnej komisie v hlavnom meste Slovenskej republiky Bratislava a v meste Košice</w:t>
      </w:r>
      <w:r w:rsidR="009B4034" w:rsidRPr="00E6129D">
        <w:rPr>
          <w:lang w:eastAsia="en-US"/>
        </w:rPr>
        <w:t>, a to</w:t>
      </w:r>
      <w:r w:rsidR="006031A8" w:rsidRPr="00E6129D">
        <w:rPr>
          <w:lang w:eastAsia="en-US"/>
        </w:rPr>
        <w:t xml:space="preserve"> </w:t>
      </w:r>
      <w:r w:rsidR="009B4034" w:rsidRPr="00E6129D">
        <w:t xml:space="preserve">v </w:t>
      </w:r>
      <w:r w:rsidRPr="00E6129D">
        <w:t>predpokladanej sume</w:t>
      </w:r>
      <w:r w:rsidR="00783C67" w:rsidRPr="00E6129D">
        <w:t xml:space="preserve"> </w:t>
      </w:r>
      <w:r w:rsidR="006A0B94" w:rsidRPr="00E6129D">
        <w:t>2 </w:t>
      </w:r>
      <w:r w:rsidR="0025650D" w:rsidRPr="00E6129D">
        <w:t>97</w:t>
      </w:r>
      <w:r w:rsidR="006A0B94" w:rsidRPr="00E6129D">
        <w:t>0 000</w:t>
      </w:r>
      <w:r w:rsidR="00783C67" w:rsidRPr="00E6129D">
        <w:t xml:space="preserve"> eur. </w:t>
      </w:r>
      <w:r w:rsidR="00772160" w:rsidRPr="00E6129D">
        <w:t>Pri kvantifikovaní pláno</w:t>
      </w:r>
      <w:r w:rsidR="00D83C41" w:rsidRPr="00E6129D">
        <w:t xml:space="preserve">vaných finančných prostriedkov </w:t>
      </w:r>
      <w:r w:rsidR="00772160" w:rsidRPr="00E6129D">
        <w:t xml:space="preserve">na zabezpečenie volieb do orgánov územnej samosprávy, ktoré sa konajú v rovnaký deň a v rovnakom čase sa vychádzalo z výšky skutočných výdavkov vynaložených na zabezpečenie volieb do orgánov </w:t>
      </w:r>
      <w:r w:rsidR="00D83C41" w:rsidRPr="00E6129D">
        <w:t xml:space="preserve">samosprávnych krajov v roku 2017 </w:t>
      </w:r>
      <w:r w:rsidR="00772160" w:rsidRPr="00E6129D">
        <w:t xml:space="preserve">a volieb </w:t>
      </w:r>
      <w:r w:rsidR="00F22784" w:rsidRPr="00E6129D">
        <w:t xml:space="preserve">do </w:t>
      </w:r>
      <w:r w:rsidR="00D83C41" w:rsidRPr="00E6129D">
        <w:t>orgánov samosprávy obcí v roku 2018</w:t>
      </w:r>
      <w:r w:rsidR="00772160" w:rsidRPr="00E6129D">
        <w:t xml:space="preserve"> vrátane výdavkov na vyplatenie odmien členom a zapisovateľom okrskových volebných komisií. </w:t>
      </w:r>
      <w:r w:rsidR="00462C07" w:rsidRPr="00E6129D">
        <w:t>Vychádzajúc z vykonaného prepočtu na</w:t>
      </w:r>
      <w:r w:rsidR="00720657" w:rsidRPr="00E6129D">
        <w:t>vrhovateľ má za to, že navýšenie</w:t>
      </w:r>
      <w:r w:rsidR="00462C07" w:rsidRPr="00E6129D">
        <w:t xml:space="preserve"> finančných prostriedkov z </w:t>
      </w:r>
      <w:r w:rsidR="00462C07" w:rsidRPr="00E6129D">
        <w:rPr>
          <w:lang w:eastAsia="en-US"/>
        </w:rPr>
        <w:t xml:space="preserve"> titulu zdvojnásobenia výšky odmeny člena a zapisovateľa okrskovej volebnej komisie a</w:t>
      </w:r>
      <w:r w:rsidR="00604147" w:rsidRPr="00E6129D">
        <w:rPr>
          <w:lang w:eastAsia="en-US"/>
        </w:rPr>
        <w:t> </w:t>
      </w:r>
      <w:r w:rsidR="00462C07" w:rsidRPr="00E6129D">
        <w:rPr>
          <w:lang w:eastAsia="en-US"/>
        </w:rPr>
        <w:t>navýšeni</w:t>
      </w:r>
      <w:r w:rsidR="006A0B94" w:rsidRPr="00E6129D">
        <w:rPr>
          <w:lang w:eastAsia="en-US"/>
        </w:rPr>
        <w:t>e</w:t>
      </w:r>
      <w:r w:rsidR="00604147" w:rsidRPr="00E6129D">
        <w:rPr>
          <w:lang w:eastAsia="en-US"/>
        </w:rPr>
        <w:t xml:space="preserve"> minimálneho</w:t>
      </w:r>
      <w:r w:rsidR="00462C07" w:rsidRPr="00E6129D">
        <w:rPr>
          <w:lang w:eastAsia="en-US"/>
        </w:rPr>
        <w:t xml:space="preserve"> počtu členov okrskovej volebnej komisie </w:t>
      </w:r>
      <w:r w:rsidR="00462C07" w:rsidRPr="00E6129D">
        <w:t>v hlavnom meste Slovenskej republiky Bratislav</w:t>
      </w:r>
      <w:r w:rsidR="00543968" w:rsidRPr="00E6129D">
        <w:t>e</w:t>
      </w:r>
      <w:r w:rsidR="00462C07" w:rsidRPr="00E6129D">
        <w:t xml:space="preserve"> a v meste Košice na sedem</w:t>
      </w:r>
      <w:r w:rsidR="00720657" w:rsidRPr="00E6129D">
        <w:t>,</w:t>
      </w:r>
      <w:r w:rsidR="00462C07" w:rsidRPr="00E6129D">
        <w:t xml:space="preserve"> dokáže pokryť v rámci schválených limitov na zabezpečenie volieb v roku 2022.</w:t>
      </w:r>
    </w:p>
    <w:p w:rsidR="00557773" w:rsidRPr="00E6129D" w:rsidRDefault="00D26B47" w:rsidP="00557773">
      <w:pPr>
        <w:autoSpaceDE w:val="0"/>
        <w:autoSpaceDN w:val="0"/>
        <w:ind w:firstLine="708"/>
        <w:jc w:val="both"/>
        <w:sectPr w:rsidR="00557773" w:rsidRPr="00E6129D" w:rsidSect="00D00C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 w:rsidRPr="00E6129D">
        <w:t xml:space="preserve">Ukladanie sankcií špecifikovaných v čl. II. navrhovaného materiálu síce predpokladá </w:t>
      </w:r>
      <w:r w:rsidR="00C902F2" w:rsidRPr="00E6129D">
        <w:t xml:space="preserve">možný </w:t>
      </w:r>
      <w:r w:rsidRPr="00E6129D">
        <w:t>pozitívny vplyv na štátny rozpočet</w:t>
      </w:r>
      <w:r w:rsidR="006B3D8F" w:rsidRPr="00E6129D">
        <w:t xml:space="preserve"> v zanedbateľnom rozsahu</w:t>
      </w:r>
      <w:r w:rsidRPr="00E6129D">
        <w:t>, avšak vzhľadom na ich preventívny charakter nie je v súčasnosti možné prejudikovať počet prípadných porušení príslušných ustanovení zákona a preto nemožno ani kvantifikovať výšku pokút z budúcich potenciálnych správnych konaní, ktoré sa následne stanú príjmom štátneho rozpočtu.  </w:t>
      </w:r>
    </w:p>
    <w:p w:rsidR="00552D19" w:rsidRPr="00E6129D" w:rsidRDefault="00552D19" w:rsidP="0023065A">
      <w:pPr>
        <w:tabs>
          <w:tab w:val="num" w:pos="1080"/>
        </w:tabs>
        <w:jc w:val="right"/>
        <w:rPr>
          <w:bCs/>
        </w:rPr>
      </w:pPr>
      <w:r w:rsidRPr="00E6129D">
        <w:rPr>
          <w:bCs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E6129D" w:rsidRPr="00E6129D" w:rsidTr="00D00C8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poznámka</w:t>
            </w:r>
          </w:p>
        </w:tc>
      </w:tr>
      <w:tr w:rsidR="00E6129D" w:rsidRPr="00E6129D" w:rsidTr="00D00C8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  <w:vertAlign w:val="superscript"/>
              </w:rPr>
            </w:pPr>
            <w:r w:rsidRPr="00E6129D">
              <w:rPr>
                <w:b/>
                <w:bCs/>
              </w:rPr>
              <w:t>Daňové príjmy (100)</w:t>
            </w:r>
            <w:r w:rsidRPr="00E6129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Nedaňové príjmy (200)</w:t>
            </w:r>
            <w:r w:rsidRPr="00E6129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Granty a transfery (300)</w:t>
            </w:r>
            <w:r w:rsidRPr="00E6129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2D19" w:rsidRPr="00E6129D" w:rsidRDefault="000A0B1B" w:rsidP="00C902F2">
            <w:r w:rsidRPr="00E6129D">
              <w:t xml:space="preserve">Vzhľadom na preventívny charakter ukladania sankcií </w:t>
            </w:r>
            <w:r w:rsidR="009715B3" w:rsidRPr="00E6129D">
              <w:t xml:space="preserve"> </w:t>
            </w:r>
            <w:r w:rsidR="00C902F2" w:rsidRPr="00E6129D">
              <w:t>možno predpokladať</w:t>
            </w:r>
            <w:r w:rsidR="009715B3" w:rsidRPr="00E6129D">
              <w:t xml:space="preserve"> pozitívny vplyv na </w:t>
            </w:r>
            <w:r w:rsidR="00C902F2" w:rsidRPr="00E6129D">
              <w:t>rozpočet verejnej správy</w:t>
            </w:r>
            <w:r w:rsidR="009715B3" w:rsidRPr="00E6129D">
              <w:t xml:space="preserve">, </w:t>
            </w:r>
            <w:r w:rsidRPr="00E6129D">
              <w:t>a</w:t>
            </w:r>
            <w:r w:rsidR="009715B3" w:rsidRPr="00E6129D">
              <w:t xml:space="preserve">le vychádzajúc zo </w:t>
            </w:r>
            <w:r w:rsidRPr="00E6129D">
              <w:t>skutočnosti, že nie je možné predpokladať počet</w:t>
            </w:r>
            <w:r w:rsidR="009715B3" w:rsidRPr="00E6129D">
              <w:t xml:space="preserve"> možných porušení</w:t>
            </w:r>
            <w:r w:rsidR="00C902F2" w:rsidRPr="00E6129D">
              <w:t xml:space="preserve"> zákona, </w:t>
            </w:r>
            <w:r w:rsidR="009715B3" w:rsidRPr="00E6129D">
              <w:t xml:space="preserve">nie je možné </w:t>
            </w:r>
            <w:r w:rsidR="00C902F2" w:rsidRPr="00E6129D">
              <w:t>ani</w:t>
            </w:r>
            <w:r w:rsidR="009715B3" w:rsidRPr="00E6129D">
              <w:t xml:space="preserve"> presne kvantifikovať </w:t>
            </w:r>
            <w:r w:rsidR="00C902F2" w:rsidRPr="00E6129D">
              <w:t xml:space="preserve">odhad zvýšenia príjmov z </w:t>
            </w:r>
            <w:r w:rsidR="009715B3" w:rsidRPr="00E6129D">
              <w:t xml:space="preserve">pokút budúcich potenciálnych správnych konaní </w:t>
            </w:r>
            <w:r w:rsidRPr="00E6129D">
              <w:t>za jednotlivé roky.</w:t>
            </w:r>
          </w:p>
        </w:tc>
      </w:tr>
    </w:tbl>
    <w:p w:rsidR="00552D19" w:rsidRPr="00E6129D" w:rsidRDefault="00552D19" w:rsidP="00552D19">
      <w:pPr>
        <w:tabs>
          <w:tab w:val="num" w:pos="1080"/>
        </w:tabs>
        <w:jc w:val="both"/>
        <w:rPr>
          <w:bCs/>
        </w:rPr>
      </w:pPr>
      <w:r w:rsidRPr="00E6129D">
        <w:rPr>
          <w:bCs/>
        </w:rPr>
        <w:t>1 –  príjmy rozpísať až do položiek platnej ekonomickej klasifikácie</w:t>
      </w:r>
    </w:p>
    <w:p w:rsidR="00552D19" w:rsidRPr="00E6129D" w:rsidRDefault="00552D19" w:rsidP="00552D19">
      <w:pPr>
        <w:tabs>
          <w:tab w:val="num" w:pos="1080"/>
        </w:tabs>
        <w:spacing w:before="240"/>
        <w:jc w:val="both"/>
        <w:rPr>
          <w:b/>
          <w:bCs/>
        </w:rPr>
      </w:pPr>
      <w:r w:rsidRPr="00E6129D">
        <w:rPr>
          <w:b/>
          <w:bCs/>
        </w:rPr>
        <w:t>Poznámka:</w:t>
      </w:r>
    </w:p>
    <w:p w:rsidR="00552D19" w:rsidRPr="00E6129D" w:rsidRDefault="00552D19" w:rsidP="00552D19">
      <w:pPr>
        <w:tabs>
          <w:tab w:val="num" w:pos="1080"/>
        </w:tabs>
        <w:jc w:val="both"/>
        <w:rPr>
          <w:bCs/>
        </w:rPr>
      </w:pPr>
      <w:r w:rsidRPr="00E6129D">
        <w:rPr>
          <w:bCs/>
        </w:rPr>
        <w:t>Ak sa vplyv týka viacerých subjektov verejnej správy, vypĺňa sa samostatná tabuľka za každý subjekt.</w:t>
      </w:r>
    </w:p>
    <w:p w:rsidR="00552D19" w:rsidRPr="00E6129D" w:rsidRDefault="00552D19" w:rsidP="00552D19">
      <w:pPr>
        <w:tabs>
          <w:tab w:val="num" w:pos="1080"/>
        </w:tabs>
        <w:ind w:right="-578"/>
        <w:jc w:val="right"/>
        <w:rPr>
          <w:bCs/>
        </w:rPr>
      </w:pPr>
      <w:r w:rsidRPr="00E6129D">
        <w:rPr>
          <w:bCs/>
        </w:rPr>
        <w:t xml:space="preserve"> </w:t>
      </w:r>
    </w:p>
    <w:p w:rsidR="00552D19" w:rsidRPr="00E6129D" w:rsidRDefault="00552D19" w:rsidP="002440FF">
      <w:pPr>
        <w:tabs>
          <w:tab w:val="num" w:pos="1080"/>
        </w:tabs>
        <w:ind w:right="-578"/>
        <w:rPr>
          <w:bCs/>
        </w:rPr>
        <w:sectPr w:rsidR="00552D19" w:rsidRPr="00E6129D" w:rsidSect="00D00C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52D19" w:rsidRPr="00E6129D" w:rsidRDefault="00552D19" w:rsidP="00552D19">
      <w:pPr>
        <w:tabs>
          <w:tab w:val="num" w:pos="1080"/>
        </w:tabs>
        <w:ind w:right="-34"/>
        <w:jc w:val="right"/>
        <w:rPr>
          <w:bCs/>
        </w:rPr>
      </w:pPr>
      <w:r w:rsidRPr="00E6129D">
        <w:rPr>
          <w:bCs/>
        </w:rPr>
        <w:lastRenderedPageBreak/>
        <w:t>Tabuľka č. 4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6129D" w:rsidRPr="00E6129D" w:rsidTr="00D00C8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poznámka</w:t>
            </w:r>
          </w:p>
        </w:tc>
      </w:tr>
      <w:tr w:rsidR="00E6129D" w:rsidRPr="00E6129D" w:rsidTr="00D00C8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9" w:rsidRPr="00E6129D" w:rsidRDefault="00552D19" w:rsidP="00552D19">
            <w:pPr>
              <w:rPr>
                <w:b/>
                <w:bCs/>
              </w:rPr>
            </w:pP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Bežné výdavky (600) Ministerstvo vnútra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15 256 268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779 756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36 804 452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r w:rsidRPr="00E6129D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1 806 200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88 000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4 296 000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vertAlign w:val="superscript"/>
              </w:rPr>
            </w:pPr>
            <w:r w:rsidRPr="00E6129D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631 268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30 756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1 501 452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vertAlign w:val="superscript"/>
              </w:rPr>
            </w:pPr>
            <w:r w:rsidRPr="00E6129D">
              <w:t xml:space="preserve">  Tovary a služby (630)</w:t>
            </w:r>
            <w:r w:rsidRPr="00E6129D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2 058 100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5 961 000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r w:rsidRPr="00E6129D">
              <w:t xml:space="preserve">  Bežné transfery (640)</w:t>
            </w:r>
            <w:r w:rsidRPr="00E6129D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10 760 700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311 000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25 046 000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19" w:rsidRPr="00E6129D" w:rsidRDefault="00552D19" w:rsidP="00552D19">
            <w:r w:rsidRPr="00E6129D">
              <w:t xml:space="preserve">  Splácanie úrokov a ostatné platby súvisiace s </w:t>
            </w:r>
            <w:r w:rsidRPr="00E6129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E6129D">
              <w:t>úverom, pôžičkou, návratnou finančnou výpomocou a finančným prenájmom (650)</w:t>
            </w:r>
            <w:r w:rsidRPr="00E6129D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/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r w:rsidRPr="00E6129D">
              <w:t xml:space="preserve">  Obstarávanie kapitálových aktív (710)</w:t>
            </w:r>
            <w:r w:rsidRPr="00E6129D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r w:rsidRPr="00E6129D">
              <w:t xml:space="preserve">  Kapitálové transfery (720)</w:t>
            </w:r>
            <w:r w:rsidRPr="00E6129D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jc w:val="center"/>
            </w:pPr>
            <w:r w:rsidRPr="00E6129D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15 256 268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779 756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552D19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36 804 452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2D19" w:rsidRPr="00E6129D" w:rsidRDefault="00552D19" w:rsidP="00552D19">
            <w:r w:rsidRPr="00E6129D">
              <w:t> </w:t>
            </w:r>
          </w:p>
        </w:tc>
      </w:tr>
    </w:tbl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  <w:r w:rsidRPr="00E6129D">
        <w:rPr>
          <w:bCs/>
        </w:rPr>
        <w:t>2 –  výdavky rozpísať až do položiek platnej ekonomickej klasifikácie</w:t>
      </w: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spacing w:before="120"/>
        <w:ind w:left="-902"/>
        <w:jc w:val="both"/>
        <w:rPr>
          <w:b/>
          <w:bCs/>
        </w:rPr>
      </w:pPr>
      <w:r w:rsidRPr="00E6129D">
        <w:rPr>
          <w:b/>
          <w:bCs/>
        </w:rPr>
        <w:t>Poznámka:</w:t>
      </w: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  <w:r w:rsidRPr="00E6129D">
        <w:rPr>
          <w:bCs/>
        </w:rPr>
        <w:t>Ak sa vplyv týka viacerých subjektov verejnej správy, vypĺňa sa samostatná tabuľka za každý subjekt.</w:t>
      </w: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552D19" w:rsidRPr="00E6129D" w:rsidRDefault="00552D19" w:rsidP="00552D19">
      <w:pPr>
        <w:tabs>
          <w:tab w:val="num" w:pos="1080"/>
        </w:tabs>
        <w:jc w:val="right"/>
        <w:rPr>
          <w:bCs/>
        </w:rPr>
      </w:pPr>
      <w:r w:rsidRPr="00E6129D">
        <w:rPr>
          <w:bCs/>
        </w:rPr>
        <w:lastRenderedPageBreak/>
        <w:t>Tabuľka č. 5</w:t>
      </w:r>
    </w:p>
    <w:p w:rsidR="00552D19" w:rsidRPr="00E6129D" w:rsidRDefault="00552D19" w:rsidP="00552D19">
      <w:pPr>
        <w:tabs>
          <w:tab w:val="num" w:pos="1080"/>
        </w:tabs>
        <w:jc w:val="both"/>
        <w:rPr>
          <w:bCs/>
        </w:rPr>
      </w:pPr>
    </w:p>
    <w:tbl>
      <w:tblPr>
        <w:tblW w:w="1528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698"/>
        <w:gridCol w:w="1788"/>
        <w:gridCol w:w="2418"/>
        <w:gridCol w:w="1722"/>
        <w:gridCol w:w="1620"/>
      </w:tblGrid>
      <w:tr w:rsidR="00E6129D" w:rsidRPr="00E6129D" w:rsidTr="00D00C88">
        <w:trPr>
          <w:cantSplit/>
          <w:trHeight w:val="255"/>
        </w:trPr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poznámka</w:t>
            </w:r>
          </w:p>
        </w:tc>
      </w:tr>
      <w:tr w:rsidR="00E6129D" w:rsidRPr="00E6129D" w:rsidTr="00D00C88">
        <w:trPr>
          <w:cantSplit/>
          <w:trHeight w:val="255"/>
        </w:trPr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2024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D19" w:rsidRPr="00E6129D" w:rsidRDefault="00552D19" w:rsidP="00D00C88">
            <w:pPr>
              <w:rPr>
                <w:b/>
                <w:bCs/>
              </w:rPr>
            </w:pP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/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r w:rsidRPr="00E6129D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  <w:r w:rsidRPr="00E6129D"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  <w:r w:rsidRPr="00E6129D"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  <w:r w:rsidRPr="00E6129D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  <w:r w:rsidRPr="00E6129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  <w:r w:rsidRPr="00E6129D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r w:rsidRPr="00E6129D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r w:rsidRPr="00E6129D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19" w:rsidRPr="00E6129D" w:rsidRDefault="00552D19" w:rsidP="00D00C8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D19" w:rsidRPr="00E6129D" w:rsidRDefault="00552D19" w:rsidP="00D00C88">
            <w:r w:rsidRPr="00E6129D">
              <w:t> </w:t>
            </w:r>
          </w:p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</w:tr>
      <w:tr w:rsidR="00E6129D" w:rsidRPr="00E6129D" w:rsidTr="00D00C88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552D19" w:rsidRPr="00E6129D" w:rsidRDefault="00552D19" w:rsidP="00D00C88">
            <w:pPr>
              <w:rPr>
                <w:b/>
                <w:bCs/>
              </w:rPr>
            </w:pPr>
            <w:r w:rsidRPr="00E6129D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D19" w:rsidRPr="00E6129D" w:rsidRDefault="00552D19" w:rsidP="00D00C88"/>
        </w:tc>
      </w:tr>
      <w:tr w:rsidR="00E6129D" w:rsidRPr="00E6129D" w:rsidTr="00D00C88">
        <w:trPr>
          <w:trHeight w:val="255"/>
        </w:trPr>
        <w:tc>
          <w:tcPr>
            <w:tcW w:w="152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52D19" w:rsidRPr="00E6129D" w:rsidRDefault="00552D19" w:rsidP="00D00C88">
            <w:pPr>
              <w:jc w:val="both"/>
            </w:pPr>
            <w:r w:rsidRPr="00E6129D">
              <w:rPr>
                <w:bCs/>
                <w:lang w:eastAsia="en-US"/>
              </w:rPr>
              <w:t xml:space="preserve">Z predloženého materiálu nevyplývajú zvýšené nároky na počty zamestnancov zainteresovaných subjektov verejnej správy podieľajúcich sa na realizácií volieb. Nadväzne na uvedené sa tabuľka č. 5 nevypĺňa. </w:t>
            </w:r>
          </w:p>
        </w:tc>
      </w:tr>
    </w:tbl>
    <w:p w:rsidR="00552D19" w:rsidRPr="00E6129D" w:rsidRDefault="00552D19" w:rsidP="00552D19">
      <w:pPr>
        <w:tabs>
          <w:tab w:val="num" w:pos="1080"/>
        </w:tabs>
        <w:ind w:left="-900"/>
        <w:jc w:val="both"/>
        <w:rPr>
          <w:bCs/>
        </w:rPr>
      </w:pPr>
    </w:p>
    <w:p w:rsidR="00EC173C" w:rsidRPr="00E6129D" w:rsidRDefault="00EC173C" w:rsidP="00552D19">
      <w:pPr>
        <w:tabs>
          <w:tab w:val="num" w:pos="1080"/>
        </w:tabs>
        <w:ind w:left="-900"/>
        <w:jc w:val="both"/>
        <w:rPr>
          <w:bCs/>
        </w:rPr>
      </w:pPr>
    </w:p>
    <w:p w:rsidR="00EC173C" w:rsidRPr="00E6129D" w:rsidRDefault="00EC173C" w:rsidP="00552D19">
      <w:pPr>
        <w:tabs>
          <w:tab w:val="num" w:pos="1080"/>
        </w:tabs>
        <w:ind w:left="-900"/>
        <w:jc w:val="both"/>
        <w:rPr>
          <w:bCs/>
        </w:rPr>
      </w:pPr>
    </w:p>
    <w:p w:rsidR="00A73BC1" w:rsidRPr="00E6129D" w:rsidRDefault="00A73BC1" w:rsidP="00124880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73BC1" w:rsidRPr="00E6129D" w:rsidSect="00230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BC" w:rsidRDefault="006E0CBC" w:rsidP="00552D19">
      <w:r>
        <w:separator/>
      </w:r>
    </w:p>
  </w:endnote>
  <w:endnote w:type="continuationSeparator" w:id="0">
    <w:p w:rsidR="006E0CBC" w:rsidRDefault="006E0CBC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Default="00D97C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97C3B" w:rsidRDefault="00D97C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Default="00D97C3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B3AC8">
      <w:rPr>
        <w:noProof/>
      </w:rPr>
      <w:t>3</w:t>
    </w:r>
    <w:r>
      <w:fldChar w:fldCharType="end"/>
    </w:r>
  </w:p>
  <w:p w:rsidR="00D97C3B" w:rsidRDefault="00D97C3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Default="00D97C3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97C3B" w:rsidRDefault="00D97C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BC" w:rsidRDefault="006E0CBC" w:rsidP="00552D19">
      <w:r>
        <w:separator/>
      </w:r>
    </w:p>
  </w:footnote>
  <w:footnote w:type="continuationSeparator" w:id="0">
    <w:p w:rsidR="006E0CBC" w:rsidRDefault="006E0CBC" w:rsidP="0055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Default="00D97C3B" w:rsidP="00D00C88">
    <w:pPr>
      <w:pStyle w:val="Hlavika"/>
      <w:jc w:val="right"/>
    </w:pPr>
    <w:r>
      <w:t>Príloha č. 2</w:t>
    </w:r>
  </w:p>
  <w:p w:rsidR="00D97C3B" w:rsidRPr="00EB59C8" w:rsidRDefault="00D97C3B" w:rsidP="00D00C88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Pr="0024067A" w:rsidRDefault="00D97C3B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3B" w:rsidRPr="000A15AE" w:rsidRDefault="00D97C3B" w:rsidP="00D00C88">
    <w:pPr>
      <w:pStyle w:val="Hlavika"/>
      <w:jc w:val="right"/>
    </w:pPr>
    <w: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00"/>
    <w:rsid w:val="0000763D"/>
    <w:rsid w:val="00077563"/>
    <w:rsid w:val="00086268"/>
    <w:rsid w:val="00094570"/>
    <w:rsid w:val="000A0B1B"/>
    <w:rsid w:val="000C2A15"/>
    <w:rsid w:val="000E0048"/>
    <w:rsid w:val="000E3675"/>
    <w:rsid w:val="000E5812"/>
    <w:rsid w:val="0011089D"/>
    <w:rsid w:val="0011215C"/>
    <w:rsid w:val="00124880"/>
    <w:rsid w:val="00140DD6"/>
    <w:rsid w:val="001417C7"/>
    <w:rsid w:val="00166C2D"/>
    <w:rsid w:val="001906B4"/>
    <w:rsid w:val="001B3013"/>
    <w:rsid w:val="001B3BFD"/>
    <w:rsid w:val="001C0983"/>
    <w:rsid w:val="001D3C79"/>
    <w:rsid w:val="00206F33"/>
    <w:rsid w:val="00215311"/>
    <w:rsid w:val="00225B85"/>
    <w:rsid w:val="0023065A"/>
    <w:rsid w:val="00230CCE"/>
    <w:rsid w:val="002440FF"/>
    <w:rsid w:val="0025650D"/>
    <w:rsid w:val="00264721"/>
    <w:rsid w:val="00265EA7"/>
    <w:rsid w:val="00266CE8"/>
    <w:rsid w:val="002865FF"/>
    <w:rsid w:val="0029027D"/>
    <w:rsid w:val="00297A96"/>
    <w:rsid w:val="002B18D7"/>
    <w:rsid w:val="002E1C24"/>
    <w:rsid w:val="002F7B23"/>
    <w:rsid w:val="00301AAF"/>
    <w:rsid w:val="00313DBC"/>
    <w:rsid w:val="0033177F"/>
    <w:rsid w:val="003B7F70"/>
    <w:rsid w:val="003E6B92"/>
    <w:rsid w:val="003E76A1"/>
    <w:rsid w:val="003F48DA"/>
    <w:rsid w:val="00421936"/>
    <w:rsid w:val="00457D31"/>
    <w:rsid w:val="00462C07"/>
    <w:rsid w:val="004651F3"/>
    <w:rsid w:val="004670AB"/>
    <w:rsid w:val="00467530"/>
    <w:rsid w:val="00472222"/>
    <w:rsid w:val="00494CF8"/>
    <w:rsid w:val="004B3AC8"/>
    <w:rsid w:val="004C0E72"/>
    <w:rsid w:val="004D320E"/>
    <w:rsid w:val="004D38A2"/>
    <w:rsid w:val="00510A03"/>
    <w:rsid w:val="00543968"/>
    <w:rsid w:val="00552D19"/>
    <w:rsid w:val="00557773"/>
    <w:rsid w:val="005648D7"/>
    <w:rsid w:val="00566656"/>
    <w:rsid w:val="005821F9"/>
    <w:rsid w:val="005921BE"/>
    <w:rsid w:val="005937DE"/>
    <w:rsid w:val="005C79BF"/>
    <w:rsid w:val="005F2536"/>
    <w:rsid w:val="005F32E4"/>
    <w:rsid w:val="005F7FBF"/>
    <w:rsid w:val="006031A8"/>
    <w:rsid w:val="00604147"/>
    <w:rsid w:val="006060BF"/>
    <w:rsid w:val="006107FE"/>
    <w:rsid w:val="006117FB"/>
    <w:rsid w:val="00620FC7"/>
    <w:rsid w:val="0062181E"/>
    <w:rsid w:val="00630C50"/>
    <w:rsid w:val="0065640C"/>
    <w:rsid w:val="00663CF8"/>
    <w:rsid w:val="00673A48"/>
    <w:rsid w:val="006835FA"/>
    <w:rsid w:val="00696790"/>
    <w:rsid w:val="006A0B94"/>
    <w:rsid w:val="006B05EA"/>
    <w:rsid w:val="006B3D8F"/>
    <w:rsid w:val="006E0CBC"/>
    <w:rsid w:val="006E509F"/>
    <w:rsid w:val="006F4AB8"/>
    <w:rsid w:val="00720657"/>
    <w:rsid w:val="00721D38"/>
    <w:rsid w:val="00737E6A"/>
    <w:rsid w:val="0075615C"/>
    <w:rsid w:val="00757A23"/>
    <w:rsid w:val="00772160"/>
    <w:rsid w:val="00783C67"/>
    <w:rsid w:val="007E1AF2"/>
    <w:rsid w:val="007E3BEB"/>
    <w:rsid w:val="007F1F09"/>
    <w:rsid w:val="00806E72"/>
    <w:rsid w:val="00844D86"/>
    <w:rsid w:val="00854781"/>
    <w:rsid w:val="00861F6F"/>
    <w:rsid w:val="00866569"/>
    <w:rsid w:val="00877254"/>
    <w:rsid w:val="008A7677"/>
    <w:rsid w:val="008E4183"/>
    <w:rsid w:val="00914CD8"/>
    <w:rsid w:val="00935CC1"/>
    <w:rsid w:val="00937675"/>
    <w:rsid w:val="00940970"/>
    <w:rsid w:val="009451E7"/>
    <w:rsid w:val="00950122"/>
    <w:rsid w:val="009715B3"/>
    <w:rsid w:val="00972FD9"/>
    <w:rsid w:val="00975D30"/>
    <w:rsid w:val="009B4034"/>
    <w:rsid w:val="00A17A44"/>
    <w:rsid w:val="00A406EC"/>
    <w:rsid w:val="00A45DEF"/>
    <w:rsid w:val="00A6622C"/>
    <w:rsid w:val="00A7231A"/>
    <w:rsid w:val="00A73BC1"/>
    <w:rsid w:val="00A8413A"/>
    <w:rsid w:val="00A853C1"/>
    <w:rsid w:val="00AA36A8"/>
    <w:rsid w:val="00AF6F65"/>
    <w:rsid w:val="00B04882"/>
    <w:rsid w:val="00B14100"/>
    <w:rsid w:val="00B65988"/>
    <w:rsid w:val="00B70659"/>
    <w:rsid w:val="00B9202B"/>
    <w:rsid w:val="00B92FAD"/>
    <w:rsid w:val="00C24606"/>
    <w:rsid w:val="00C260E1"/>
    <w:rsid w:val="00C364B9"/>
    <w:rsid w:val="00C4200F"/>
    <w:rsid w:val="00C569B3"/>
    <w:rsid w:val="00C733D4"/>
    <w:rsid w:val="00C77A00"/>
    <w:rsid w:val="00C902F2"/>
    <w:rsid w:val="00C96D37"/>
    <w:rsid w:val="00CB2BAE"/>
    <w:rsid w:val="00CF2141"/>
    <w:rsid w:val="00D00C88"/>
    <w:rsid w:val="00D05FF1"/>
    <w:rsid w:val="00D26B47"/>
    <w:rsid w:val="00D41209"/>
    <w:rsid w:val="00D77ABA"/>
    <w:rsid w:val="00D83C41"/>
    <w:rsid w:val="00D95BA4"/>
    <w:rsid w:val="00D97C3B"/>
    <w:rsid w:val="00DA4E6C"/>
    <w:rsid w:val="00DB2BB2"/>
    <w:rsid w:val="00DB682E"/>
    <w:rsid w:val="00DF0234"/>
    <w:rsid w:val="00DF0FB0"/>
    <w:rsid w:val="00E1565B"/>
    <w:rsid w:val="00E237D0"/>
    <w:rsid w:val="00E26763"/>
    <w:rsid w:val="00E56132"/>
    <w:rsid w:val="00E6129D"/>
    <w:rsid w:val="00E94928"/>
    <w:rsid w:val="00EB40A2"/>
    <w:rsid w:val="00EC173C"/>
    <w:rsid w:val="00F03D05"/>
    <w:rsid w:val="00F07825"/>
    <w:rsid w:val="00F22784"/>
    <w:rsid w:val="00F45514"/>
    <w:rsid w:val="00F52588"/>
    <w:rsid w:val="00F55AED"/>
    <w:rsid w:val="00F653DF"/>
    <w:rsid w:val="00FB0053"/>
    <w:rsid w:val="00FB5B1E"/>
    <w:rsid w:val="00FB770D"/>
    <w:rsid w:val="00FC7AB3"/>
    <w:rsid w:val="00FD294F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F1D"/>
  <w15:docId w15:val="{0EAB8E2E-806A-4F36-AC4F-89FA5E5D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73BC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73BC1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552D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2D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52D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52D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52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chmelova@min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plyvov"/>
    <f:field ref="objsubject" par="" edit="true" text=""/>
    <f:field ref="objcreatedby" par="" text="Harmatová, Lucia"/>
    <f:field ref="objcreatedat" par="" text="13.5.2021 11:25:18"/>
    <f:field ref="objchangedby" par="" text="Administrator, System"/>
    <f:field ref="objmodifiedat" par="" text="13.5.2021 11:2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1A831C-9B08-4383-80F0-5E1D2D4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Zuzana Tarabíková</cp:lastModifiedBy>
  <cp:revision>25</cp:revision>
  <dcterms:created xsi:type="dcterms:W3CDTF">2021-06-17T06:56:00Z</dcterms:created>
  <dcterms:modified xsi:type="dcterms:W3CDTF">2021-07-01T06:30:00Z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Občianske a politické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Návrh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SL-OLVS-2021/002861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zákona,&amp;nbsp;ktorým sa mení a dopĺňa zákon č. 180/2014 Z. z. o&amp;nbsp;podmienkach výkonu volebného práva a&amp;nbsp;o&amp;nbsp;zmene a&amp;nbsp;doplnení niektorých zákonov v&amp;nbsp;znení neskorších predpisov a&amp;nbsp;ktorým sa menia a&amp;nbsp;dopĺňajú niektoré zákony</vt:lpwstr>
  </property>
  <property fmtid="{D5CDD505-2E9C-101B-9397-08002B2CF9AE}" pid="150" name="FSC#SKEDITIONSLOVLEX@103.510:vytvorenedna">
    <vt:lpwstr>13. 5. 2021</vt:lpwstr>
  </property>
  <property fmtid="{D5CDD505-2E9C-101B-9397-08002B2CF9AE}" pid="151" name="FSC#COOSYSTEM@1.1:Container">
    <vt:lpwstr>COO.2145.1000.3.4360037</vt:lpwstr>
  </property>
  <property fmtid="{D5CDD505-2E9C-101B-9397-08002B2CF9AE}" pid="152" name="FSC#FSCFOLIO@1.1001:docpropproject">
    <vt:lpwstr/>
  </property>
</Properties>
</file>