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14:paraId="3C00EF32" w14:textId="77777777" w:rsidTr="007B71A4">
        <w:trPr>
          <w:trHeight w:val="567"/>
        </w:trPr>
        <w:tc>
          <w:tcPr>
            <w:tcW w:w="9212" w:type="dxa"/>
            <w:shd w:val="clear" w:color="auto" w:fill="D9D9D9" w:themeFill="background1" w:themeFillShade="D9"/>
          </w:tcPr>
          <w:p w14:paraId="0836B0BF" w14:textId="77777777" w:rsidR="009F2DFA" w:rsidRPr="00042C66" w:rsidRDefault="008A1252" w:rsidP="007B71A4">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352733F4"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133B57C0" w14:textId="77777777" w:rsidTr="007B71A4">
        <w:trPr>
          <w:trHeight w:val="567"/>
        </w:trPr>
        <w:tc>
          <w:tcPr>
            <w:tcW w:w="9212" w:type="dxa"/>
            <w:shd w:val="clear" w:color="auto" w:fill="D9D9D9" w:themeFill="background1" w:themeFillShade="D9"/>
          </w:tcPr>
          <w:p w14:paraId="0AE5214E"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11E2EB09" w14:textId="77777777"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1656B721" w14:textId="77777777" w:rsidTr="007B71A4">
              <w:sdt>
                <w:sdtPr>
                  <w:id w:val="43339831"/>
                  <w14:checkbox>
                    <w14:checked w14:val="0"/>
                    <w14:checkedState w14:val="2612" w14:font="MS Gothic"/>
                    <w14:uncheckedState w14:val="2610" w14:font="MS Gothic"/>
                  </w14:checkbox>
                </w:sdtPr>
                <w:sdtEndPr/>
                <w:sdtContent>
                  <w:tc>
                    <w:tcPr>
                      <w:tcW w:w="436" w:type="dxa"/>
                    </w:tcPr>
                    <w:p w14:paraId="66A20CE1" w14:textId="77777777" w:rsidR="009F2DFA" w:rsidRPr="00F04CCD" w:rsidRDefault="000F369F" w:rsidP="007B71A4">
                      <w:pPr>
                        <w:jc w:val="center"/>
                      </w:pPr>
                      <w:r>
                        <w:rPr>
                          <w:rFonts w:ascii="MS Gothic" w:eastAsia="MS Gothic" w:hAnsi="MS Gothic" w:hint="eastAsia"/>
                        </w:rPr>
                        <w:t>☐</w:t>
                      </w:r>
                    </w:p>
                  </w:tc>
                </w:sdtContent>
              </w:sdt>
              <w:tc>
                <w:tcPr>
                  <w:tcW w:w="8545" w:type="dxa"/>
                </w:tcPr>
                <w:p w14:paraId="71D5136A" w14:textId="77777777" w:rsidR="009F2DFA" w:rsidRPr="00F04CCD" w:rsidRDefault="009F2DFA" w:rsidP="007B71A4">
                  <w:pPr>
                    <w:rPr>
                      <w:b/>
                    </w:rPr>
                  </w:pPr>
                  <w:r w:rsidRPr="00F04CCD">
                    <w:rPr>
                      <w:b/>
                    </w:rPr>
                    <w:t xml:space="preserve">iba na MSP (0 - 249 zamestnancov) </w:t>
                  </w:r>
                </w:p>
              </w:tc>
            </w:tr>
            <w:tr w:rsidR="009F2DFA" w:rsidRPr="00F04CCD" w14:paraId="18D013C3" w14:textId="77777777" w:rsidTr="007B71A4">
              <w:sdt>
                <w:sdtPr>
                  <w:id w:val="-79453833"/>
                  <w14:checkbox>
                    <w14:checked w14:val="0"/>
                    <w14:checkedState w14:val="2612" w14:font="MS Gothic"/>
                    <w14:uncheckedState w14:val="2610" w14:font="MS Gothic"/>
                  </w14:checkbox>
                </w:sdtPr>
                <w:sdtEndPr/>
                <w:sdtContent>
                  <w:tc>
                    <w:tcPr>
                      <w:tcW w:w="436" w:type="dxa"/>
                    </w:tcPr>
                    <w:p w14:paraId="17BC3CF1" w14:textId="77777777" w:rsidR="009F2DFA" w:rsidRPr="00F04CCD" w:rsidRDefault="00307E45" w:rsidP="007B71A4">
                      <w:pPr>
                        <w:jc w:val="center"/>
                      </w:pPr>
                      <w:r>
                        <w:rPr>
                          <w:rFonts w:ascii="MS Gothic" w:eastAsia="MS Gothic" w:hAnsi="MS Gothic" w:hint="eastAsia"/>
                        </w:rPr>
                        <w:t>☐</w:t>
                      </w:r>
                    </w:p>
                  </w:tc>
                </w:sdtContent>
              </w:sdt>
              <w:tc>
                <w:tcPr>
                  <w:tcW w:w="8545" w:type="dxa"/>
                </w:tcPr>
                <w:p w14:paraId="2B7A95C3" w14:textId="77777777" w:rsidR="009F2DFA" w:rsidRPr="00F04CCD" w:rsidRDefault="009F2DFA" w:rsidP="007B71A4">
                  <w:pPr>
                    <w:rPr>
                      <w:b/>
                    </w:rPr>
                  </w:pPr>
                  <w:r w:rsidRPr="00F04CCD">
                    <w:rPr>
                      <w:b/>
                    </w:rPr>
                    <w:t>iba na veľké podniky (250 a viac zamestnancov)</w:t>
                  </w:r>
                </w:p>
              </w:tc>
            </w:tr>
            <w:tr w:rsidR="009F2DFA" w:rsidRPr="00F04CCD" w14:paraId="3E0AB79F" w14:textId="77777777" w:rsidTr="007B71A4">
              <w:sdt>
                <w:sdtPr>
                  <w:id w:val="1290634502"/>
                  <w14:checkbox>
                    <w14:checked w14:val="1"/>
                    <w14:checkedState w14:val="2612" w14:font="MS Gothic"/>
                    <w14:uncheckedState w14:val="2610" w14:font="MS Gothic"/>
                  </w14:checkbox>
                </w:sdtPr>
                <w:sdtEndPr/>
                <w:sdtContent>
                  <w:tc>
                    <w:tcPr>
                      <w:tcW w:w="436" w:type="dxa"/>
                    </w:tcPr>
                    <w:p w14:paraId="0192E2FB" w14:textId="77777777" w:rsidR="009F2DFA" w:rsidRPr="00F04CCD" w:rsidRDefault="000F369F" w:rsidP="007B71A4">
                      <w:pPr>
                        <w:jc w:val="center"/>
                      </w:pPr>
                      <w:r>
                        <w:rPr>
                          <w:rFonts w:ascii="MS Gothic" w:eastAsia="MS Gothic" w:hAnsi="MS Gothic" w:hint="eastAsia"/>
                        </w:rPr>
                        <w:t>☒</w:t>
                      </w:r>
                    </w:p>
                  </w:tc>
                </w:sdtContent>
              </w:sdt>
              <w:tc>
                <w:tcPr>
                  <w:tcW w:w="8545" w:type="dxa"/>
                </w:tcPr>
                <w:p w14:paraId="7B1A6111" w14:textId="77777777" w:rsidR="009F2DFA" w:rsidRPr="00F04CCD" w:rsidRDefault="009F2DFA" w:rsidP="007B71A4">
                  <w:r w:rsidRPr="00F04CCD">
                    <w:rPr>
                      <w:b/>
                    </w:rPr>
                    <w:t xml:space="preserve">na všetky </w:t>
                  </w:r>
                  <w:r>
                    <w:rPr>
                      <w:b/>
                    </w:rPr>
                    <w:t>kategórie</w:t>
                  </w:r>
                  <w:r w:rsidRPr="00F04CCD">
                    <w:rPr>
                      <w:b/>
                    </w:rPr>
                    <w:t xml:space="preserve"> podnikov</w:t>
                  </w:r>
                </w:p>
              </w:tc>
            </w:tr>
          </w:tbl>
          <w:p w14:paraId="3C332A1A" w14:textId="77777777" w:rsidR="009F2DFA" w:rsidRPr="00F04CCD" w:rsidRDefault="009F2DFA" w:rsidP="007B71A4">
            <w:pPr>
              <w:rPr>
                <w:b/>
              </w:rPr>
            </w:pPr>
          </w:p>
        </w:tc>
      </w:tr>
      <w:tr w:rsidR="009F2DFA" w:rsidRPr="00F04CCD" w14:paraId="303F3DCE" w14:textId="77777777" w:rsidTr="007B71A4">
        <w:tc>
          <w:tcPr>
            <w:tcW w:w="9212" w:type="dxa"/>
            <w:shd w:val="clear" w:color="auto" w:fill="D9D9D9" w:themeFill="background1" w:themeFillShade="D9"/>
          </w:tcPr>
          <w:p w14:paraId="495F659A" w14:textId="77777777" w:rsidR="009F2DFA" w:rsidRPr="00042C66" w:rsidRDefault="002B1108" w:rsidP="007B71A4">
            <w:pPr>
              <w:rPr>
                <w:b/>
                <w:sz w:val="24"/>
              </w:rPr>
            </w:pPr>
            <w:r>
              <w:rPr>
                <w:b/>
                <w:sz w:val="24"/>
              </w:rPr>
              <w:t>3</w:t>
            </w:r>
            <w:r w:rsidR="009F2DFA" w:rsidRPr="00042C66">
              <w:rPr>
                <w:b/>
                <w:sz w:val="24"/>
              </w:rPr>
              <w:t>.1 Dotknuté podnikateľské subjekty</w:t>
            </w:r>
          </w:p>
          <w:p w14:paraId="6BC99AA9"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5629F464" w14:textId="77777777" w:rsidTr="007B71A4">
        <w:tc>
          <w:tcPr>
            <w:tcW w:w="9212" w:type="dxa"/>
            <w:tcBorders>
              <w:bottom w:val="single" w:sz="4" w:space="0" w:color="auto"/>
            </w:tcBorders>
          </w:tcPr>
          <w:p w14:paraId="0532DDC8" w14:textId="77777777" w:rsidR="009F2DFA" w:rsidRPr="00F04CCD" w:rsidRDefault="009F2DFA" w:rsidP="007B71A4">
            <w:pPr>
              <w:rPr>
                <w:i/>
              </w:rPr>
            </w:pPr>
            <w:r w:rsidRPr="00F04CCD">
              <w:rPr>
                <w:i/>
              </w:rPr>
              <w:t>Uveďte, aké podnikateľské subjekty budú predkladaným návrhom ovplyvnené.</w:t>
            </w:r>
          </w:p>
          <w:p w14:paraId="0B73023F" w14:textId="77777777" w:rsidR="009F2DFA" w:rsidRPr="00F04CCD" w:rsidRDefault="009F2DFA" w:rsidP="007B71A4">
            <w:pPr>
              <w:rPr>
                <w:i/>
              </w:rPr>
            </w:pPr>
            <w:r w:rsidRPr="00F04CCD">
              <w:rPr>
                <w:i/>
              </w:rPr>
              <w:t>Aký je ich počet?</w:t>
            </w:r>
          </w:p>
        </w:tc>
      </w:tr>
      <w:tr w:rsidR="009F2DFA" w:rsidRPr="00F04CCD" w14:paraId="431F68C0" w14:textId="77777777" w:rsidTr="007B71A4">
        <w:trPr>
          <w:trHeight w:val="1440"/>
        </w:trPr>
        <w:tc>
          <w:tcPr>
            <w:tcW w:w="9212" w:type="dxa"/>
            <w:tcBorders>
              <w:bottom w:val="single" w:sz="4" w:space="0" w:color="auto"/>
            </w:tcBorders>
          </w:tcPr>
          <w:p w14:paraId="22918170" w14:textId="618357D7" w:rsidR="009F2DFA" w:rsidRPr="00F04CCD" w:rsidRDefault="009E0A45" w:rsidP="00321AE3">
            <w:pPr>
              <w:jc w:val="both"/>
              <w:rPr>
                <w:i/>
              </w:rPr>
            </w:pPr>
            <w:r>
              <w:rPr>
                <w:rFonts w:ascii="Times" w:hAnsi="Times" w:cs="Times"/>
              </w:rPr>
              <w:t xml:space="preserve">Návrhom sú dotknuté </w:t>
            </w:r>
            <w:r w:rsidR="000F369F">
              <w:rPr>
                <w:rFonts w:ascii="Times" w:hAnsi="Times" w:cs="Times"/>
              </w:rPr>
              <w:t xml:space="preserve">všetky </w:t>
            </w:r>
            <w:r>
              <w:rPr>
                <w:rFonts w:ascii="Times" w:hAnsi="Times" w:cs="Times"/>
              </w:rPr>
              <w:t>podnikateľské subjekty,</w:t>
            </w:r>
            <w:r w:rsidR="00FA037F">
              <w:rPr>
                <w:rFonts w:ascii="Times" w:hAnsi="Times" w:cs="Times"/>
              </w:rPr>
              <w:t xml:space="preserve"> nakoľko majú povinnosť viesť účtovníctvo a uchovávať účtovnú dokumentáciu.</w:t>
            </w:r>
            <w:r>
              <w:rPr>
                <w:rFonts w:ascii="Times" w:hAnsi="Times" w:cs="Times"/>
              </w:rPr>
              <w:t xml:space="preserve"> </w:t>
            </w:r>
            <w:r w:rsidR="00A809FA">
              <w:rPr>
                <w:rFonts w:ascii="Times" w:hAnsi="Times" w:cs="Times"/>
              </w:rPr>
              <w:t>Počet podnikateľských subjektov vychádza z údajov podľa Obchodného registra cca 315 000, ktorí majú povinnosť viesť podvojné účtovníctvo</w:t>
            </w:r>
            <w:r w:rsidR="007E6C48">
              <w:rPr>
                <w:rFonts w:ascii="Times" w:hAnsi="Times" w:cs="Times"/>
              </w:rPr>
              <w:t>,</w:t>
            </w:r>
            <w:r w:rsidR="00A809FA">
              <w:rPr>
                <w:rFonts w:ascii="Times" w:hAnsi="Times" w:cs="Times"/>
              </w:rPr>
              <w:t xml:space="preserve"> ale týka sa aj</w:t>
            </w:r>
            <w:r w:rsidR="007E6C48">
              <w:rPr>
                <w:rFonts w:ascii="Times" w:hAnsi="Times" w:cs="Times"/>
              </w:rPr>
              <w:t xml:space="preserve"> fyzických osôb podnikateľov, ktorých je cca 426 000, z ktorých určitý počet vedie len daňovú evidenciu, teda nie sú účtovnou jednotkou podľa zákona o účtovníctve.</w:t>
            </w:r>
            <w:r w:rsidR="00A809FA">
              <w:rPr>
                <w:rFonts w:ascii="Times" w:hAnsi="Times" w:cs="Times"/>
              </w:rPr>
              <w:t xml:space="preserve"> </w:t>
            </w:r>
            <w:r w:rsidR="00E24809" w:rsidRPr="005F2F9B">
              <w:rPr>
                <w:rFonts w:ascii="Times" w:hAnsi="Times" w:cs="Times"/>
              </w:rPr>
              <w:t>Z údajov, bolo identifikovaných 597 171 MSP a cca 900 veľkých spoločností.</w:t>
            </w:r>
            <w:r w:rsidR="00E24809">
              <w:rPr>
                <w:rFonts w:ascii="Times" w:hAnsi="Times" w:cs="Times"/>
              </w:rPr>
              <w:t xml:space="preserve"> </w:t>
            </w:r>
            <w:r w:rsidR="007E6C48">
              <w:rPr>
                <w:rFonts w:ascii="Times" w:hAnsi="Times" w:cs="Times"/>
              </w:rPr>
              <w:t>N</w:t>
            </w:r>
            <w:r w:rsidR="007F6462">
              <w:rPr>
                <w:rFonts w:ascii="Times" w:hAnsi="Times" w:cs="Times"/>
              </w:rPr>
              <w:t>ávrhom sa prispieva k vykonávaniu iniciatívy na znižovanie byrokracie podnikateľského prostredia</w:t>
            </w:r>
            <w:r w:rsidR="00CA2A11">
              <w:rPr>
                <w:rFonts w:ascii="Times" w:hAnsi="Times" w:cs="Times"/>
              </w:rPr>
              <w:t xml:space="preserve"> a uľahčuje sa vykonávanie povinnost</w:t>
            </w:r>
            <w:r w:rsidR="00321AE3">
              <w:rPr>
                <w:rFonts w:ascii="Times" w:hAnsi="Times" w:cs="Times"/>
              </w:rPr>
              <w:t>í</w:t>
            </w:r>
            <w:r w:rsidR="00CA2A11">
              <w:rPr>
                <w:rFonts w:ascii="Times" w:hAnsi="Times" w:cs="Times"/>
              </w:rPr>
              <w:t xml:space="preserve"> vyplýv</w:t>
            </w:r>
            <w:r w:rsidR="00F64126">
              <w:rPr>
                <w:rFonts w:ascii="Times" w:hAnsi="Times" w:cs="Times"/>
              </w:rPr>
              <w:t>ajúcich zo zákona o účtovníctve</w:t>
            </w:r>
            <w:r w:rsidR="007F6462">
              <w:rPr>
                <w:rFonts w:ascii="Times" w:hAnsi="Times" w:cs="Times"/>
              </w:rPr>
              <w:t xml:space="preserve"> tým, že sa umožňuje</w:t>
            </w:r>
            <w:r w:rsidR="00FA037F">
              <w:rPr>
                <w:rFonts w:ascii="Times" w:hAnsi="Times" w:cs="Times"/>
              </w:rPr>
              <w:t xml:space="preserve"> </w:t>
            </w:r>
            <w:r w:rsidR="007F6462">
              <w:rPr>
                <w:rFonts w:ascii="Times" w:hAnsi="Times" w:cs="Times"/>
              </w:rPr>
              <w:t xml:space="preserve">prevod z listinnej podoby účtovného dokumentu na elektronickú podobu so zabezpečením proti modifikácii a zneužitiu účtovných </w:t>
            </w:r>
            <w:r w:rsidR="00321AE3">
              <w:rPr>
                <w:rFonts w:ascii="Times" w:hAnsi="Times" w:cs="Times"/>
              </w:rPr>
              <w:t>záznamov</w:t>
            </w:r>
            <w:r w:rsidR="007F6462">
              <w:rPr>
                <w:rFonts w:ascii="Times" w:hAnsi="Times" w:cs="Times"/>
              </w:rPr>
              <w:t xml:space="preserve">. Zároveň sa umožňuje aj </w:t>
            </w:r>
            <w:r w:rsidR="00FA037F">
              <w:rPr>
                <w:rFonts w:ascii="Times" w:hAnsi="Times" w:cs="Times"/>
              </w:rPr>
              <w:t>elektronické uchovávani</w:t>
            </w:r>
            <w:r w:rsidR="007F6462">
              <w:rPr>
                <w:rFonts w:ascii="Times" w:hAnsi="Times" w:cs="Times"/>
              </w:rPr>
              <w:t>e</w:t>
            </w:r>
            <w:r w:rsidR="00FA037F">
              <w:rPr>
                <w:rFonts w:ascii="Times" w:hAnsi="Times" w:cs="Times"/>
              </w:rPr>
              <w:t xml:space="preserve"> účtovných </w:t>
            </w:r>
            <w:r w:rsidR="00321AE3">
              <w:rPr>
                <w:rFonts w:ascii="Times" w:hAnsi="Times" w:cs="Times"/>
              </w:rPr>
              <w:t>záznamov</w:t>
            </w:r>
            <w:r w:rsidR="00FA037F">
              <w:rPr>
                <w:rFonts w:ascii="Times" w:hAnsi="Times" w:cs="Times"/>
              </w:rPr>
              <w:t xml:space="preserve"> priamo v účtovnom systéme</w:t>
            </w:r>
            <w:r w:rsidR="00E24809">
              <w:rPr>
                <w:rFonts w:ascii="Times" w:hAnsi="Times" w:cs="Times"/>
              </w:rPr>
              <w:t>,</w:t>
            </w:r>
            <w:r w:rsidR="007F6462">
              <w:rPr>
                <w:rFonts w:ascii="Times" w:hAnsi="Times" w:cs="Times"/>
              </w:rPr>
              <w:t xml:space="preserve"> čím sa</w:t>
            </w:r>
            <w:r w:rsidR="00FA037F">
              <w:rPr>
                <w:rFonts w:ascii="Times" w:hAnsi="Times" w:cs="Times"/>
              </w:rPr>
              <w:t xml:space="preserve"> znížia náklady na archiváciu účtovných dokumentov prostredníctvom zaručenej konverzie.</w:t>
            </w:r>
            <w:r w:rsidR="00CA2A11">
              <w:rPr>
                <w:rFonts w:ascii="Times" w:hAnsi="Times" w:cs="Times"/>
              </w:rPr>
              <w:t xml:space="preserve"> Zároveň sa zníži</w:t>
            </w:r>
            <w:r w:rsidR="00F64126">
              <w:rPr>
                <w:rFonts w:ascii="Times" w:hAnsi="Times" w:cs="Times"/>
              </w:rPr>
              <w:t xml:space="preserve"> </w:t>
            </w:r>
            <w:r w:rsidR="00CA2A11">
              <w:rPr>
                <w:rFonts w:ascii="Times" w:hAnsi="Times" w:cs="Times"/>
              </w:rPr>
              <w:t>a</w:t>
            </w:r>
            <w:r w:rsidR="00F64126">
              <w:rPr>
                <w:rFonts w:ascii="Times" w:hAnsi="Times" w:cs="Times"/>
              </w:rPr>
              <w:t>j</w:t>
            </w:r>
            <w:r w:rsidR="00CA2A11">
              <w:rPr>
                <w:rFonts w:ascii="Times" w:hAnsi="Times" w:cs="Times"/>
              </w:rPr>
              <w:t xml:space="preserve"> administratívna záťaž v súvislosti s listinnou manipuláciou.</w:t>
            </w:r>
            <w:r w:rsidR="00A809FA">
              <w:rPr>
                <w:rFonts w:ascii="Times" w:hAnsi="Times" w:cs="Times"/>
              </w:rPr>
              <w:t xml:space="preserve"> Presn</w:t>
            </w:r>
            <w:r w:rsidR="00AF0971">
              <w:rPr>
                <w:rFonts w:ascii="Times" w:hAnsi="Times" w:cs="Times"/>
              </w:rPr>
              <w:t>ú</w:t>
            </w:r>
            <w:r w:rsidR="00A809FA">
              <w:rPr>
                <w:rFonts w:ascii="Times" w:hAnsi="Times" w:cs="Times"/>
              </w:rPr>
              <w:t xml:space="preserve"> kvantifikáci</w:t>
            </w:r>
            <w:r w:rsidR="00AF0971">
              <w:rPr>
                <w:rFonts w:ascii="Times" w:hAnsi="Times" w:cs="Times"/>
              </w:rPr>
              <w:t>u</w:t>
            </w:r>
            <w:r w:rsidR="00A809FA">
              <w:rPr>
                <w:rFonts w:ascii="Times" w:hAnsi="Times" w:cs="Times"/>
              </w:rPr>
              <w:t xml:space="preserve"> celkových  úspor nebol</w:t>
            </w:r>
            <w:r w:rsidR="00AF0971">
              <w:rPr>
                <w:rFonts w:ascii="Times" w:hAnsi="Times" w:cs="Times"/>
              </w:rPr>
              <w:t>o</w:t>
            </w:r>
            <w:r w:rsidR="00A809FA">
              <w:rPr>
                <w:rFonts w:ascii="Times" w:hAnsi="Times" w:cs="Times"/>
              </w:rPr>
              <w:t xml:space="preserve"> </w:t>
            </w:r>
            <w:r w:rsidR="00AF0971">
              <w:rPr>
                <w:rFonts w:ascii="Times" w:hAnsi="Times" w:cs="Times"/>
              </w:rPr>
              <w:t xml:space="preserve">možné </w:t>
            </w:r>
            <w:r w:rsidR="00A809FA">
              <w:rPr>
                <w:rFonts w:ascii="Times" w:hAnsi="Times" w:cs="Times"/>
              </w:rPr>
              <w:t>vykona</w:t>
            </w:r>
            <w:r w:rsidR="00AF0971">
              <w:rPr>
                <w:rFonts w:ascii="Times" w:hAnsi="Times" w:cs="Times"/>
              </w:rPr>
              <w:t>ť</w:t>
            </w:r>
            <w:r w:rsidR="00A809FA">
              <w:rPr>
                <w:rFonts w:ascii="Times" w:hAnsi="Times" w:cs="Times"/>
              </w:rPr>
              <w:t xml:space="preserve"> vzhľadom na to, že sa oblasť elektronickej archivácie týka všetkých účtovných jednotiek, pričom nie je možné identifikovať počet jednotiek, ktoré ukladajú len v listinnej podobe a ktoré ukladajú len v elektronickej podobe. Snahou návrhu zákona je uľahčenie administratívnych prác v oblasti účtovníctva a prenesenie týchto povinností do elektronického prostredia. Tým sa znížia náklady na papier a tlač, čo predstavuje zároveň aj zníženie environmentálnej záťaže podnikateľa, ale znížia sa aj náklady na prenájom priestorov na archiváciu.</w:t>
            </w:r>
            <w:r w:rsidR="00B1188F">
              <w:rPr>
                <w:rFonts w:ascii="Times" w:hAnsi="Times" w:cs="Times"/>
              </w:rPr>
              <w:t xml:space="preserve"> Rozširuje sa možnosť vykonať inventarizáciu zásob aj v nasledujúcom mesiaci po dni, ku ktorému sa zostavuje účtovná závierka, obdobne ako </w:t>
            </w:r>
            <w:r w:rsidR="00321AE3">
              <w:rPr>
                <w:rFonts w:ascii="Times" w:hAnsi="Times" w:cs="Times"/>
              </w:rPr>
              <w:t xml:space="preserve">je </w:t>
            </w:r>
            <w:r w:rsidR="00B1188F">
              <w:rPr>
                <w:rFonts w:ascii="Times" w:hAnsi="Times" w:cs="Times"/>
              </w:rPr>
              <w:t>to umožnené pri inom hmotnom majetku.</w:t>
            </w:r>
          </w:p>
        </w:tc>
      </w:tr>
      <w:tr w:rsidR="009F2DFA" w:rsidRPr="00F04CCD" w14:paraId="4711F399" w14:textId="77777777" w:rsidTr="007B71A4">
        <w:trPr>
          <w:trHeight w:val="339"/>
        </w:trPr>
        <w:tc>
          <w:tcPr>
            <w:tcW w:w="9212" w:type="dxa"/>
            <w:tcBorders>
              <w:bottom w:val="single" w:sz="4" w:space="0" w:color="auto"/>
            </w:tcBorders>
            <w:shd w:val="clear" w:color="auto" w:fill="D9D9D9" w:themeFill="background1" w:themeFillShade="D9"/>
          </w:tcPr>
          <w:p w14:paraId="27025708" w14:textId="77777777" w:rsidR="009F2DFA" w:rsidRPr="00042C66" w:rsidRDefault="002B1108" w:rsidP="007B71A4">
            <w:pPr>
              <w:rPr>
                <w:b/>
                <w:sz w:val="24"/>
              </w:rPr>
            </w:pPr>
            <w:r>
              <w:rPr>
                <w:b/>
                <w:sz w:val="24"/>
              </w:rPr>
              <w:t>3</w:t>
            </w:r>
            <w:r w:rsidR="009F2DFA" w:rsidRPr="00042C66">
              <w:rPr>
                <w:b/>
                <w:sz w:val="24"/>
              </w:rPr>
              <w:t>.2 Vyhodnotenie konzultácií</w:t>
            </w:r>
          </w:p>
          <w:p w14:paraId="1FD19A1C"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53C2F3DB" w14:textId="77777777" w:rsidTr="007B71A4">
        <w:trPr>
          <w:trHeight w:val="557"/>
        </w:trPr>
        <w:tc>
          <w:tcPr>
            <w:tcW w:w="9212" w:type="dxa"/>
            <w:tcBorders>
              <w:bottom w:val="single" w:sz="4" w:space="0" w:color="auto"/>
            </w:tcBorders>
          </w:tcPr>
          <w:p w14:paraId="16BAFCBE" w14:textId="77777777"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14:paraId="1E7EB56E" w14:textId="77777777" w:rsidR="009F2DFA" w:rsidRPr="00F04CCD" w:rsidRDefault="009F2DFA" w:rsidP="007B71A4">
            <w:pPr>
              <w:rPr>
                <w:i/>
              </w:rPr>
            </w:pPr>
            <w:r w:rsidRPr="00F04CCD">
              <w:rPr>
                <w:i/>
              </w:rPr>
              <w:t>Ako dlho trvali konzultácie?</w:t>
            </w:r>
          </w:p>
          <w:p w14:paraId="7E02FD79" w14:textId="77777777" w:rsidR="009F2DFA" w:rsidRPr="000D2622" w:rsidRDefault="009F2DFA" w:rsidP="007B71A4">
            <w:pPr>
              <w:rPr>
                <w:i/>
              </w:rPr>
            </w:pPr>
            <w:r w:rsidRPr="00F04CCD">
              <w:rPr>
                <w:i/>
              </w:rPr>
              <w:t xml:space="preserve">Uveďte hlavné body konzultácií a výsledky konzultácií. </w:t>
            </w:r>
          </w:p>
        </w:tc>
      </w:tr>
      <w:tr w:rsidR="009F2DFA" w:rsidRPr="00F04CCD" w14:paraId="404E0628" w14:textId="77777777" w:rsidTr="007B71A4">
        <w:trPr>
          <w:trHeight w:val="1440"/>
        </w:trPr>
        <w:tc>
          <w:tcPr>
            <w:tcW w:w="9212" w:type="dxa"/>
            <w:tcBorders>
              <w:bottom w:val="single" w:sz="4" w:space="0" w:color="auto"/>
            </w:tcBorders>
          </w:tcPr>
          <w:p w14:paraId="7911FDC9" w14:textId="33D8C880" w:rsidR="00B11972" w:rsidRDefault="00BF5DEF" w:rsidP="00B02E41">
            <w:pPr>
              <w:jc w:val="both"/>
            </w:pPr>
            <w:r>
              <w:t>MF SR viedlo konzultácie s</w:t>
            </w:r>
            <w:r w:rsidR="00B11972">
              <w:t xml:space="preserve">o spoločnosťami zaoberajúcimi sa </w:t>
            </w:r>
            <w:r>
              <w:t>účtovný</w:t>
            </w:r>
            <w:r w:rsidR="00B11972">
              <w:t xml:space="preserve">m softvérom, ktorý by zabezpečil požiadavky vyplývajúce z novelizácie zákona o účtovníctve. </w:t>
            </w:r>
            <w:r w:rsidR="000F369F">
              <w:t xml:space="preserve">Novelou zákona o účtovníctve sa umožňuje uchovávanie účtovnej dokumentácie aj priamo v účtovnom systéme účtovnej jednotky. Zároveň musí byť zaistený vysoký stupeň zabezpečenia účtovného </w:t>
            </w:r>
            <w:r w:rsidR="00321AE3">
              <w:t>záznamu</w:t>
            </w:r>
            <w:r w:rsidR="000F369F">
              <w:t xml:space="preserve"> proti </w:t>
            </w:r>
            <w:r w:rsidR="00321AE3">
              <w:t xml:space="preserve">jeho </w:t>
            </w:r>
            <w:r w:rsidR="000F369F">
              <w:t xml:space="preserve">modifikácii </w:t>
            </w:r>
            <w:r w:rsidR="00B11972">
              <w:t xml:space="preserve">pri prevode </w:t>
            </w:r>
            <w:r w:rsidR="00710F0B">
              <w:t xml:space="preserve">z </w:t>
            </w:r>
            <w:r w:rsidR="00B11972">
              <w:t>listinnej podoby do elektronickej podoby príslušnými elektronickými prostriedkami napr. elektronickou časovou pečiatkou.</w:t>
            </w:r>
          </w:p>
          <w:p w14:paraId="4241F112" w14:textId="77777777" w:rsidR="00B11972" w:rsidRDefault="00B11972" w:rsidP="00B11972">
            <w:r>
              <w:t xml:space="preserve">Výsledkom </w:t>
            </w:r>
            <w:r w:rsidR="00471464">
              <w:t xml:space="preserve">predbežných </w:t>
            </w:r>
            <w:r>
              <w:t>konzultácií bolo</w:t>
            </w:r>
            <w:r w:rsidR="00F03D2B" w:rsidRPr="00F04BA6">
              <w:t xml:space="preserve">, </w:t>
            </w:r>
            <w:r>
              <w:t>že spoločnosti zaoberajúce sa účtovný</w:t>
            </w:r>
            <w:r w:rsidR="00012880">
              <w:t>m</w:t>
            </w:r>
            <w:r>
              <w:t xml:space="preserve"> softvérom prispôsobia účtovný softvér doplňujúcim požiadavkám o moduly archivácie a zabezpečenia ochrany účtovných dokladov.</w:t>
            </w:r>
          </w:p>
          <w:p w14:paraId="76CA0C7D" w14:textId="77777777" w:rsidR="009F2DFA" w:rsidRPr="00F04BA6" w:rsidRDefault="009F2DFA" w:rsidP="00B11972"/>
        </w:tc>
      </w:tr>
      <w:tr w:rsidR="009F2DFA" w:rsidRPr="00F04CCD" w14:paraId="48A52E34" w14:textId="77777777" w:rsidTr="007B71A4">
        <w:tc>
          <w:tcPr>
            <w:tcW w:w="9212" w:type="dxa"/>
            <w:shd w:val="clear" w:color="auto" w:fill="D9D9D9" w:themeFill="background1" w:themeFillShade="D9"/>
          </w:tcPr>
          <w:p w14:paraId="0C4EF1FE" w14:textId="77777777" w:rsidR="009F2DFA" w:rsidRPr="00042C66" w:rsidRDefault="002B1108" w:rsidP="007B71A4">
            <w:pPr>
              <w:rPr>
                <w:b/>
                <w:sz w:val="24"/>
              </w:rPr>
            </w:pPr>
            <w:r>
              <w:rPr>
                <w:b/>
                <w:sz w:val="24"/>
              </w:rPr>
              <w:t>3</w:t>
            </w:r>
            <w:r w:rsidR="009F2DFA" w:rsidRPr="00042C66">
              <w:rPr>
                <w:b/>
                <w:sz w:val="24"/>
              </w:rPr>
              <w:t>.3 Náklady regulácie</w:t>
            </w:r>
          </w:p>
          <w:p w14:paraId="4BA65F5C"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521D8867" w14:textId="77777777" w:rsidTr="007B71A4">
        <w:tc>
          <w:tcPr>
            <w:tcW w:w="9212" w:type="dxa"/>
            <w:tcBorders>
              <w:bottom w:val="single" w:sz="4" w:space="0" w:color="auto"/>
            </w:tcBorders>
          </w:tcPr>
          <w:p w14:paraId="03EA5C4F" w14:textId="77777777" w:rsidR="009F2DFA" w:rsidRPr="00F04CCD" w:rsidRDefault="002B1108" w:rsidP="007B71A4">
            <w:pPr>
              <w:rPr>
                <w:b/>
                <w:i/>
              </w:rPr>
            </w:pPr>
            <w:r>
              <w:rPr>
                <w:b/>
                <w:i/>
              </w:rPr>
              <w:t>3</w:t>
            </w:r>
            <w:r w:rsidR="009F2DFA" w:rsidRPr="00F04CCD">
              <w:rPr>
                <w:b/>
                <w:i/>
              </w:rPr>
              <w:t>.3.1 Priame finančné náklady</w:t>
            </w:r>
          </w:p>
          <w:p w14:paraId="50E3E6E4" w14:textId="77777777"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653B491D" w14:textId="77777777" w:rsidTr="007B71A4">
        <w:tc>
          <w:tcPr>
            <w:tcW w:w="9212" w:type="dxa"/>
            <w:tcBorders>
              <w:bottom w:val="single" w:sz="4" w:space="0" w:color="auto"/>
            </w:tcBorders>
          </w:tcPr>
          <w:p w14:paraId="6BA0C986" w14:textId="7356A3FD" w:rsidR="00D97DC3" w:rsidRDefault="001E666D" w:rsidP="00321AE3">
            <w:pPr>
              <w:jc w:val="both"/>
            </w:pPr>
            <w:r>
              <w:t>Účtovná jednotka je povinná zabezpečiť archiváciu účtovnej dokumentácie. Podľa návrhu zákona sa</w:t>
            </w:r>
            <w:r w:rsidR="00A555C4">
              <w:t xml:space="preserve"> účtovná jednotka môže rozhodnúť</w:t>
            </w:r>
            <w:r>
              <w:t xml:space="preserve"> riešiť túto povinnosť priamo v účtovnom systéme napríklad modulom archivácie </w:t>
            </w:r>
            <w:r w:rsidR="00321AE3">
              <w:t>alebo</w:t>
            </w:r>
            <w:r>
              <w:t xml:space="preserve"> certifikáciou účtovnej dokumentácie </w:t>
            </w:r>
            <w:r w:rsidR="00A555C4">
              <w:t>časovou pečiatkou.</w:t>
            </w:r>
            <w:r>
              <w:t xml:space="preserve"> </w:t>
            </w:r>
            <w:r w:rsidR="00987DE1" w:rsidRPr="00F04BA6">
              <w:t xml:space="preserve">Podľa dostupných informácií </w:t>
            </w:r>
            <w:r w:rsidR="00A555C4">
              <w:t xml:space="preserve">by boli v tomto prípade </w:t>
            </w:r>
            <w:r w:rsidR="00987DE1" w:rsidRPr="00F04BA6">
              <w:t>vyčíslené priame finančné náklady na jedného podnikateľa</w:t>
            </w:r>
            <w:r w:rsidR="004A108F">
              <w:t xml:space="preserve"> na zavedenie modulu archivácie </w:t>
            </w:r>
            <w:r w:rsidR="00FA037F">
              <w:t>v</w:t>
            </w:r>
            <w:r w:rsidR="00987DE1" w:rsidRPr="00F04BA6">
              <w:t> </w:t>
            </w:r>
            <w:r w:rsidR="00FA037F">
              <w:t>rozmedzí</w:t>
            </w:r>
            <w:r w:rsidR="00987DE1" w:rsidRPr="00F04BA6">
              <w:t xml:space="preserve"> </w:t>
            </w:r>
            <w:r w:rsidR="00471464">
              <w:t xml:space="preserve">od </w:t>
            </w:r>
            <w:r w:rsidR="00FA037F">
              <w:t xml:space="preserve">240 až </w:t>
            </w:r>
            <w:r w:rsidR="00987DE1" w:rsidRPr="00F04BA6">
              <w:t>3</w:t>
            </w:r>
            <w:r w:rsidR="00FA037F">
              <w:t>6</w:t>
            </w:r>
            <w:r w:rsidR="00987DE1" w:rsidRPr="00F04BA6">
              <w:t>0 eur</w:t>
            </w:r>
            <w:r w:rsidR="00FA037F">
              <w:t xml:space="preserve"> ročne</w:t>
            </w:r>
            <w:r w:rsidR="007F6462">
              <w:t xml:space="preserve"> vrátane príslušnej certifikácie účtovného dokladu napr. časovou pečiatkou</w:t>
            </w:r>
            <w:r w:rsidR="00E65F33">
              <w:t>.</w:t>
            </w:r>
            <w:r w:rsidR="007A420A">
              <w:t xml:space="preserve"> </w:t>
            </w:r>
            <w:r w:rsidR="006104EB">
              <w:t xml:space="preserve">Tento spôsob archivácie zahŕňa v sebe negatívne priame náklady, </w:t>
            </w:r>
            <w:r w:rsidR="004A108F">
              <w:t xml:space="preserve">ktoré budú vyvážené pozitívnymi vplyvmi, pretože </w:t>
            </w:r>
            <w:r w:rsidR="006104EB">
              <w:t xml:space="preserve"> účtovná jednotka počas celej doby archivácie už nemusí vynakladať ďalšie dodatočné náklady. </w:t>
            </w:r>
            <w:r w:rsidR="003E6AF8">
              <w:t xml:space="preserve">Pri uchovávaní účtovnej dokumentácie pomocou zaručenej konverzie </w:t>
            </w:r>
            <w:r w:rsidR="007E6C48">
              <w:t>sú odhadované náklady výrazne vyššie.</w:t>
            </w:r>
            <w:r w:rsidR="00E65F33">
              <w:t xml:space="preserve"> Vyčíslenie nákladov pri zachovaní súčasného stavu je ťažko kvantifikovateľné, vzhľadom na rozsah účtovnej dokumentácie v závislosti od veľkosti účtovnej jednotky a zabezpečenia tejto povinnosti v rámci vlastných </w:t>
            </w:r>
            <w:r w:rsidR="00321AE3">
              <w:lastRenderedPageBreak/>
              <w:t>alebo</w:t>
            </w:r>
            <w:r w:rsidR="00E65F33">
              <w:t xml:space="preserve"> prenajatých priestorov.</w:t>
            </w:r>
            <w:r w:rsidR="00A555C4">
              <w:t xml:space="preserve"> </w:t>
            </w:r>
            <w:r w:rsidR="00C51DFA">
              <w:t>P</w:t>
            </w:r>
            <w:r w:rsidR="00F44B23">
              <w:t xml:space="preserve">ri prenájme priestorov cca </w:t>
            </w:r>
            <w:r w:rsidR="00C51DFA">
              <w:t>1 0</w:t>
            </w:r>
            <w:r w:rsidR="00F44B23">
              <w:t xml:space="preserve">00 eur ročne a 10 000 </w:t>
            </w:r>
            <w:r w:rsidR="00263CBD">
              <w:t>podnikateľoch</w:t>
            </w:r>
            <w:r w:rsidR="00F44B23">
              <w:t>, ktorých sa t</w:t>
            </w:r>
            <w:r w:rsidR="00263CBD">
              <w:t>oto uľahčenie môže dotknúť</w:t>
            </w:r>
            <w:r w:rsidR="00C51DFA">
              <w:t xml:space="preserve"> odhadujeme</w:t>
            </w:r>
            <w:r w:rsidR="00263CBD">
              <w:t xml:space="preserve"> úsporu asi 1</w:t>
            </w:r>
            <w:r w:rsidR="00C51DFA">
              <w:t>0</w:t>
            </w:r>
            <w:r w:rsidR="00263CBD">
              <w:t> 000</w:t>
            </w:r>
            <w:r w:rsidR="00C51DFA">
              <w:t> </w:t>
            </w:r>
            <w:r w:rsidR="00263CBD">
              <w:t>000</w:t>
            </w:r>
            <w:r w:rsidR="00C51DFA">
              <w:t xml:space="preserve"> eur</w:t>
            </w:r>
            <w:r w:rsidR="00263CBD" w:rsidRPr="006400B1">
              <w:t xml:space="preserve">. </w:t>
            </w:r>
            <w:r w:rsidR="00A24FFF" w:rsidRPr="006400B1">
              <w:t>Celkové ú</w:t>
            </w:r>
            <w:r w:rsidR="00D97DC3" w:rsidRPr="006400B1">
              <w:t>spor</w:t>
            </w:r>
            <w:r w:rsidR="00A24FFF" w:rsidRPr="006400B1">
              <w:t>y</w:t>
            </w:r>
            <w:r w:rsidR="00D97DC3" w:rsidRPr="006400B1">
              <w:t xml:space="preserve"> za prenájom priestorov na archiváciu sa predpokladá </w:t>
            </w:r>
            <w:r w:rsidR="00945E8D" w:rsidRPr="006400B1">
              <w:t>dosiahnuť</w:t>
            </w:r>
            <w:r w:rsidR="00D97DC3" w:rsidRPr="006400B1">
              <w:t xml:space="preserve"> v dlhodobom horizonte 10 rokov vzhľadom na postupný prechod na úplnú archiváciu účtovných záznamov v elektronickej podobe.</w:t>
            </w:r>
            <w:r w:rsidR="00D97DC3">
              <w:t xml:space="preserve"> </w:t>
            </w:r>
          </w:p>
          <w:p w14:paraId="5206AD83" w14:textId="07949EE7" w:rsidR="009F2DFA" w:rsidRPr="00F04CCD" w:rsidRDefault="00263CBD" w:rsidP="00321AE3">
            <w:pPr>
              <w:jc w:val="both"/>
              <w:rPr>
                <w:b/>
                <w:i/>
              </w:rPr>
            </w:pPr>
            <w:r>
              <w:t xml:space="preserve">Zároveň odhadujeme, že ak polovica podnikateľského prostredia </w:t>
            </w:r>
            <w:r w:rsidR="00592DAE">
              <w:t>(asi 300</w:t>
            </w:r>
            <w:r w:rsidR="00C51DFA">
              <w:t xml:space="preserve"> </w:t>
            </w:r>
            <w:r w:rsidR="00592DAE">
              <w:t>000) začne spracovávať účtovníctvo len elektronicky</w:t>
            </w:r>
            <w:r w:rsidR="00C51DFA">
              <w:t xml:space="preserve"> a asi 100 000 podnikateľov zníži počet listinných dokumentov, pri 5</w:t>
            </w:r>
            <w:r w:rsidR="00592DAE">
              <w:t>0 eurách mesačne vynakladaných na</w:t>
            </w:r>
            <w:r w:rsidR="00C51DFA">
              <w:t xml:space="preserve"> papier, toner a údržbu</w:t>
            </w:r>
            <w:r w:rsidR="00592DAE">
              <w:t xml:space="preserve"> tlač</w:t>
            </w:r>
            <w:r w:rsidR="00C51DFA">
              <w:t>iarne</w:t>
            </w:r>
            <w:r w:rsidR="00592DAE">
              <w:t xml:space="preserve">, sa vytvorí úspora asi </w:t>
            </w:r>
            <w:r w:rsidR="00C51DFA">
              <w:t>240</w:t>
            </w:r>
            <w:r w:rsidR="00592DAE">
              <w:t> 000</w:t>
            </w:r>
            <w:r w:rsidR="00C51DFA">
              <w:t> </w:t>
            </w:r>
            <w:r w:rsidR="00592DAE">
              <w:t>000</w:t>
            </w:r>
            <w:r w:rsidR="00C51DFA">
              <w:t xml:space="preserve"> eur</w:t>
            </w:r>
            <w:r w:rsidR="00592DAE">
              <w:t>.</w:t>
            </w:r>
          </w:p>
        </w:tc>
      </w:tr>
      <w:tr w:rsidR="009F2DFA" w:rsidRPr="00F04CCD" w14:paraId="76F28321" w14:textId="77777777" w:rsidTr="007B71A4">
        <w:tc>
          <w:tcPr>
            <w:tcW w:w="9212" w:type="dxa"/>
            <w:tcBorders>
              <w:bottom w:val="single" w:sz="4" w:space="0" w:color="auto"/>
            </w:tcBorders>
          </w:tcPr>
          <w:p w14:paraId="2E70C52A" w14:textId="77777777" w:rsidR="009F2DFA" w:rsidRPr="00F04CCD" w:rsidRDefault="002B1108" w:rsidP="007B71A4">
            <w:pPr>
              <w:rPr>
                <w:b/>
                <w:i/>
              </w:rPr>
            </w:pPr>
            <w:r>
              <w:rPr>
                <w:b/>
                <w:i/>
              </w:rPr>
              <w:lastRenderedPageBreak/>
              <w:t>3</w:t>
            </w:r>
            <w:r w:rsidR="009F2DFA" w:rsidRPr="00F04CCD">
              <w:rPr>
                <w:b/>
                <w:i/>
              </w:rPr>
              <w:t>.3.2 Nepriame finančné náklady</w:t>
            </w:r>
          </w:p>
          <w:p w14:paraId="374897C0" w14:textId="77777777"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14:paraId="750A2221" w14:textId="77777777" w:rsidTr="008D3C7D">
        <w:trPr>
          <w:trHeight w:val="535"/>
        </w:trPr>
        <w:tc>
          <w:tcPr>
            <w:tcW w:w="9212" w:type="dxa"/>
            <w:tcBorders>
              <w:bottom w:val="single" w:sz="4" w:space="0" w:color="auto"/>
            </w:tcBorders>
          </w:tcPr>
          <w:p w14:paraId="509D75C9" w14:textId="77777777" w:rsidR="009F2DFA" w:rsidRPr="00525A97" w:rsidRDefault="00525A97" w:rsidP="007B71A4">
            <w:pPr>
              <w:rPr>
                <w:i/>
              </w:rPr>
            </w:pPr>
            <w:r w:rsidRPr="00525A97">
              <w:rPr>
                <w:i/>
              </w:rPr>
              <w:t>Neboli identifikované a následne ani vyčíslené.</w:t>
            </w:r>
          </w:p>
          <w:p w14:paraId="43BC6FF8" w14:textId="77777777" w:rsidR="009F2DFA" w:rsidRPr="00F04CCD" w:rsidRDefault="009F2DFA" w:rsidP="007B71A4">
            <w:pPr>
              <w:rPr>
                <w:b/>
                <w:i/>
              </w:rPr>
            </w:pPr>
          </w:p>
          <w:p w14:paraId="2F204FAB" w14:textId="77777777" w:rsidR="009F2DFA" w:rsidRPr="00F04CCD" w:rsidRDefault="009F2DFA" w:rsidP="007B71A4">
            <w:pPr>
              <w:rPr>
                <w:b/>
                <w:i/>
              </w:rPr>
            </w:pPr>
          </w:p>
          <w:p w14:paraId="059D0D0B" w14:textId="77777777" w:rsidR="009F2DFA" w:rsidRPr="00F04CCD" w:rsidRDefault="009F2DFA" w:rsidP="007B71A4">
            <w:pPr>
              <w:rPr>
                <w:b/>
                <w:i/>
              </w:rPr>
            </w:pPr>
          </w:p>
        </w:tc>
      </w:tr>
      <w:tr w:rsidR="009F2DFA" w:rsidRPr="00F04CCD" w14:paraId="14D97A37" w14:textId="77777777" w:rsidTr="007B71A4">
        <w:tc>
          <w:tcPr>
            <w:tcW w:w="9212" w:type="dxa"/>
            <w:tcBorders>
              <w:bottom w:val="single" w:sz="4" w:space="0" w:color="auto"/>
            </w:tcBorders>
          </w:tcPr>
          <w:p w14:paraId="20CC429A" w14:textId="77777777" w:rsidR="009F2DFA" w:rsidRPr="00F04CCD" w:rsidRDefault="002B1108" w:rsidP="007B71A4">
            <w:pPr>
              <w:rPr>
                <w:b/>
                <w:i/>
              </w:rPr>
            </w:pPr>
            <w:r>
              <w:rPr>
                <w:b/>
                <w:i/>
              </w:rPr>
              <w:t>3</w:t>
            </w:r>
            <w:r w:rsidR="009F2DFA" w:rsidRPr="00F04CCD">
              <w:rPr>
                <w:b/>
                <w:i/>
              </w:rPr>
              <w:t>.3.3 Administratívne náklady</w:t>
            </w:r>
          </w:p>
          <w:p w14:paraId="5723D61A" w14:textId="77777777"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7AF3ED6C" w14:textId="77777777" w:rsidTr="00EF0863">
        <w:trPr>
          <w:trHeight w:val="4205"/>
        </w:trPr>
        <w:tc>
          <w:tcPr>
            <w:tcW w:w="9212" w:type="dxa"/>
            <w:tcBorders>
              <w:bottom w:val="single" w:sz="4" w:space="0" w:color="auto"/>
            </w:tcBorders>
          </w:tcPr>
          <w:p w14:paraId="23BEF5F0" w14:textId="77777777" w:rsidR="00EF0863" w:rsidRDefault="00BA5B17" w:rsidP="00321AE3">
            <w:pPr>
              <w:jc w:val="both"/>
            </w:pPr>
            <w:r>
              <w:t>Dochádza k</w:t>
            </w:r>
            <w:r w:rsidR="00F03D2B" w:rsidRPr="00F04BA6">
              <w:t xml:space="preserve"> zavedeniu nov</w:t>
            </w:r>
            <w:r>
              <w:t>ej</w:t>
            </w:r>
            <w:r w:rsidR="00F03D2B" w:rsidRPr="00F04BA6">
              <w:t xml:space="preserve"> informačn</w:t>
            </w:r>
            <w:r>
              <w:t>ej</w:t>
            </w:r>
            <w:r w:rsidR="00F03D2B" w:rsidRPr="00F04BA6">
              <w:t xml:space="preserve"> povinnost</w:t>
            </w:r>
            <w:r w:rsidR="003239E7">
              <w:t xml:space="preserve">i </w:t>
            </w:r>
            <w:r w:rsidR="00EF0863">
              <w:t xml:space="preserve">pre účtovnú jednotku, ktorá </w:t>
            </w:r>
            <w:r w:rsidR="003239E7">
              <w:t>pred zánikom bez právneho nástupcu alebo pred skončením podnikania</w:t>
            </w:r>
            <w:r w:rsidR="00EF0863">
              <w:t>, je povinná</w:t>
            </w:r>
            <w:r w:rsidR="003239E7">
              <w:t xml:space="preserve"> informovať daňový úrad o preukázateľnom zabezpečení uchovania </w:t>
            </w:r>
            <w:r w:rsidR="00EF0863">
              <w:t xml:space="preserve">svojej </w:t>
            </w:r>
            <w:r w:rsidR="003239E7">
              <w:t xml:space="preserve">účtovnej dokumentácie. Odhadujeme časovú náročnosť nahlasovania tejto povinnosti na </w:t>
            </w:r>
            <w:r w:rsidR="0091279D">
              <w:t>1</w:t>
            </w:r>
            <w:r w:rsidR="00F44B23">
              <w:t>0 minút</w:t>
            </w:r>
            <w:r w:rsidR="003239E7">
              <w:t xml:space="preserve"> na podnikateľa, čo predstavuje pre celé podnikateľské prostredie pri</w:t>
            </w:r>
            <w:r w:rsidR="00F44B23">
              <w:t xml:space="preserve"> asi</w:t>
            </w:r>
            <w:r w:rsidR="003239E7">
              <w:t xml:space="preserve"> </w:t>
            </w:r>
            <w:r w:rsidR="00E06C04">
              <w:t>4300</w:t>
            </w:r>
            <w:r w:rsidR="00F44B23">
              <w:t xml:space="preserve"> (podľa informácií z minulého roka)</w:t>
            </w:r>
            <w:r w:rsidR="00691EE4">
              <w:t xml:space="preserve"> zanikajúcich spoločností ročne hodnotu</w:t>
            </w:r>
            <w:r w:rsidR="00F44B23">
              <w:t xml:space="preserve"> 4 891 eur</w:t>
            </w:r>
            <w:r w:rsidR="00F03D2B" w:rsidRPr="00F04BA6">
              <w:t xml:space="preserve">. </w:t>
            </w:r>
          </w:p>
          <w:p w14:paraId="3D29782B" w14:textId="02BDAF70" w:rsidR="009F2DFA" w:rsidRPr="00525A97" w:rsidRDefault="00525A97" w:rsidP="008D3C7D">
            <w:pPr>
              <w:jc w:val="both"/>
              <w:rPr>
                <w:i/>
              </w:rPr>
            </w:pPr>
            <w:r w:rsidRPr="00F04BA6">
              <w:t xml:space="preserve">Administratívne náklady na splnenie povinnosti </w:t>
            </w:r>
            <w:r w:rsidR="00F44B23">
              <w:t xml:space="preserve">evidencie, vedenia dokumentácie a archivácie </w:t>
            </w:r>
            <w:r w:rsidRPr="00F04BA6">
              <w:t>podľa kalkula</w:t>
            </w:r>
            <w:r w:rsidR="005255CB">
              <w:t>čky pre podnikateľov predstavujú hodnotu</w:t>
            </w:r>
            <w:r w:rsidR="00F04BA6">
              <w:t xml:space="preserve"> </w:t>
            </w:r>
            <w:r w:rsidR="00E65F33">
              <w:t>24 4</w:t>
            </w:r>
            <w:r w:rsidR="008D3C7D">
              <w:t>9</w:t>
            </w:r>
            <w:r w:rsidR="00E65F33">
              <w:t>5 </w:t>
            </w:r>
            <w:r w:rsidR="008D3C7D">
              <w:t>899</w:t>
            </w:r>
            <w:r w:rsidR="00E65F33">
              <w:t xml:space="preserve"> </w:t>
            </w:r>
            <w:r w:rsidRPr="00F04BA6">
              <w:t>eur</w:t>
            </w:r>
            <w:r w:rsidR="00033FE1">
              <w:t xml:space="preserve"> pri počte 597</w:t>
            </w:r>
            <w:r w:rsidR="00F44B23">
              <w:t xml:space="preserve"> </w:t>
            </w:r>
            <w:r w:rsidR="00033FE1">
              <w:t xml:space="preserve">171 malých a stredných </w:t>
            </w:r>
            <w:r w:rsidR="00976C20">
              <w:t>podnikateľoch a hodnotu 36</w:t>
            </w:r>
            <w:r w:rsidR="00F44B23">
              <w:t xml:space="preserve"> </w:t>
            </w:r>
            <w:r w:rsidR="00976C20">
              <w:t>855 eur pri cca 900 veľkých podnikateľoch</w:t>
            </w:r>
            <w:r w:rsidRPr="00F04BA6">
              <w:t>.</w:t>
            </w:r>
            <w:r w:rsidR="00743C9A">
              <w:t xml:space="preserve"> Takéto náklady predpokladáme, majú podnikatelia podľa kalkulačky vplyvov spojené s časovou náročnosťou </w:t>
            </w:r>
            <w:r w:rsidR="00F44B23">
              <w:t xml:space="preserve">týchto </w:t>
            </w:r>
            <w:r w:rsidR="00743C9A">
              <w:t>povinností</w:t>
            </w:r>
            <w:r w:rsidR="005255CB">
              <w:t>. Navrhovaná úprava</w:t>
            </w:r>
            <w:r w:rsidR="001F76D9">
              <w:t xml:space="preserve"> bude jednoduchšia pri elektronickom spracovávaní a uchovávaní dokumentácie, nakoľko už pri prvotnom spracovaní sa ukladá príslušná dokumentácia aj podľa požiadaviek na archiváciu podľa systému uchovávania účtovnej dokumentácie</w:t>
            </w:r>
            <w:r w:rsidR="00B63436">
              <w:t>, ktorý je účtovná jednotka povinná si vypracovať</w:t>
            </w:r>
            <w:r w:rsidR="001F76D9">
              <w:t>.</w:t>
            </w:r>
            <w:r w:rsidR="005255CB">
              <w:t xml:space="preserve"> Z uvedeného dôvodu predpokladáme, že vznikne úspora nákladov asi </w:t>
            </w:r>
            <w:r w:rsidR="004B2E92">
              <w:t>o </w:t>
            </w:r>
            <w:r w:rsidR="00852DE3">
              <w:t>tretin</w:t>
            </w:r>
            <w:r w:rsidR="004B2E92">
              <w:t>u časovej náročnosti</w:t>
            </w:r>
            <w:r w:rsidR="00F44B23">
              <w:t>,</w:t>
            </w:r>
            <w:r w:rsidR="004B2E92">
              <w:t xml:space="preserve"> a</w:t>
            </w:r>
            <w:r w:rsidR="00852DE3">
              <w:t xml:space="preserve"> to v </w:t>
            </w:r>
            <w:r w:rsidR="004B2E92">
              <w:t>sume</w:t>
            </w:r>
            <w:r w:rsidR="005255CB">
              <w:t xml:space="preserve"> </w:t>
            </w:r>
            <w:r w:rsidR="008D3C7D">
              <w:t>10</w:t>
            </w:r>
            <w:r w:rsidR="00852DE3">
              <w:t xml:space="preserve"> </w:t>
            </w:r>
            <w:r w:rsidR="008D3C7D">
              <w:t>438</w:t>
            </w:r>
            <w:r w:rsidR="00852DE3">
              <w:t xml:space="preserve"> 669</w:t>
            </w:r>
            <w:r w:rsidR="005255CB">
              <w:t xml:space="preserve"> eur.</w:t>
            </w:r>
            <w:r w:rsidR="00B53342">
              <w:t xml:space="preserve"> </w:t>
            </w:r>
            <w:r w:rsidR="00233A79">
              <w:t>Odhadujeme</w:t>
            </w:r>
            <w:r w:rsidR="00B53342">
              <w:t xml:space="preserve"> hodnotu časovej náročnosti podnikateľa na predĺženie doby na vykonanie inventarizácie zásob aj na mesiac nasledujúci po dni, ku ktorému sa</w:t>
            </w:r>
            <w:r w:rsidR="00233A79">
              <w:t xml:space="preserve"> zostavuje účtovná závierka</w:t>
            </w:r>
            <w:r w:rsidR="00EF0863">
              <w:t>,</w:t>
            </w:r>
            <w:r w:rsidR="00B53342">
              <w:t xml:space="preserve"> </w:t>
            </w:r>
            <w:r w:rsidR="00233A79">
              <w:t>ako úsporu, nakoľko predpokladáme znížený počet zásob po tomto dátume, čím bude aj doba inventarizácie kratšia. Pri počte asi 200 000 podnikateľov zaoberajúcich sa najmä obchodnou činnosťou, predstavuje táto úspora 2 275 000 eur.</w:t>
            </w:r>
          </w:p>
        </w:tc>
      </w:tr>
      <w:tr w:rsidR="009F2DFA" w:rsidRPr="00F04CCD" w14:paraId="005F5253" w14:textId="77777777" w:rsidTr="00E10EE4">
        <w:trPr>
          <w:trHeight w:val="836"/>
        </w:trPr>
        <w:tc>
          <w:tcPr>
            <w:tcW w:w="9212" w:type="dxa"/>
            <w:tcBorders>
              <w:bottom w:val="single" w:sz="4" w:space="0" w:color="auto"/>
            </w:tcBorders>
          </w:tcPr>
          <w:p w14:paraId="7AE84656" w14:textId="77777777" w:rsidR="009F2DFA" w:rsidRPr="00F04CCD" w:rsidRDefault="002B1108" w:rsidP="007B71A4">
            <w:pPr>
              <w:rPr>
                <w:i/>
              </w:rPr>
            </w:pPr>
            <w:r>
              <w:rPr>
                <w:b/>
                <w:i/>
              </w:rPr>
              <w:t>3</w:t>
            </w:r>
            <w:r w:rsidR="009F2DFA" w:rsidRPr="00F04CCD">
              <w:rPr>
                <w:b/>
                <w:i/>
              </w:rPr>
              <w:t>.3.4 Súhrnná tabuľka nákladov regulácie</w:t>
            </w:r>
          </w:p>
          <w:p w14:paraId="3BDF460E" w14:textId="77777777" w:rsidR="009F2DFA" w:rsidRPr="00F04CCD" w:rsidRDefault="009F2DFA" w:rsidP="007B71A4">
            <w:pPr>
              <w:rPr>
                <w:i/>
              </w:rPr>
            </w:pPr>
          </w:p>
          <w:tbl>
            <w:tblPr>
              <w:tblStyle w:val="Mriekatabuky"/>
              <w:tblW w:w="8836" w:type="dxa"/>
              <w:tblLook w:val="04A0" w:firstRow="1" w:lastRow="0" w:firstColumn="1" w:lastColumn="0" w:noHBand="0" w:noVBand="1"/>
            </w:tblPr>
            <w:tblGrid>
              <w:gridCol w:w="2949"/>
              <w:gridCol w:w="2941"/>
              <w:gridCol w:w="2946"/>
            </w:tblGrid>
            <w:tr w:rsidR="00BD6ACF" w:rsidRPr="00F04CCD" w14:paraId="067CDAA1" w14:textId="77777777" w:rsidTr="00BD6ACF">
              <w:tc>
                <w:tcPr>
                  <w:tcW w:w="2949" w:type="dxa"/>
                </w:tcPr>
                <w:p w14:paraId="7F8F67D1" w14:textId="77777777" w:rsidR="00BD6ACF" w:rsidRPr="00F04CCD" w:rsidRDefault="00BD6ACF" w:rsidP="007B71A4">
                  <w:pPr>
                    <w:rPr>
                      <w:i/>
                    </w:rPr>
                  </w:pPr>
                </w:p>
              </w:tc>
              <w:tc>
                <w:tcPr>
                  <w:tcW w:w="2941" w:type="dxa"/>
                </w:tcPr>
                <w:p w14:paraId="3B8EA9DF" w14:textId="77777777" w:rsidR="00BD6ACF" w:rsidRPr="00F04CCD" w:rsidRDefault="00BD6ACF" w:rsidP="007B71A4">
                  <w:pPr>
                    <w:jc w:val="center"/>
                    <w:rPr>
                      <w:i/>
                    </w:rPr>
                  </w:pPr>
                  <w:r w:rsidRPr="00F04CCD">
                    <w:rPr>
                      <w:i/>
                    </w:rPr>
                    <w:t>Náklady na 1 podnikateľa</w:t>
                  </w:r>
                </w:p>
              </w:tc>
              <w:tc>
                <w:tcPr>
                  <w:tcW w:w="2946" w:type="dxa"/>
                </w:tcPr>
                <w:p w14:paraId="6B17AE0B" w14:textId="77777777" w:rsidR="00BD6ACF" w:rsidRPr="00F04CCD" w:rsidRDefault="00BD6ACF" w:rsidP="007B71A4">
                  <w:pPr>
                    <w:jc w:val="center"/>
                    <w:rPr>
                      <w:i/>
                    </w:rPr>
                  </w:pPr>
                  <w:r w:rsidRPr="00F04CCD">
                    <w:rPr>
                      <w:i/>
                    </w:rPr>
                    <w:t>Náklady na celé podnikateľské prostredie</w:t>
                  </w:r>
                </w:p>
              </w:tc>
            </w:tr>
            <w:tr w:rsidR="00BD6ACF" w:rsidRPr="00F04CCD" w14:paraId="55906025" w14:textId="77777777" w:rsidTr="00BD6ACF">
              <w:trPr>
                <w:trHeight w:val="170"/>
              </w:trPr>
              <w:tc>
                <w:tcPr>
                  <w:tcW w:w="2949" w:type="dxa"/>
                </w:tcPr>
                <w:p w14:paraId="2EB2E636" w14:textId="60688C20" w:rsidR="00BD6ACF" w:rsidRPr="00BD6ACF" w:rsidRDefault="00BD6ACF" w:rsidP="00BD6ACF">
                  <w:pPr>
                    <w:rPr>
                      <w:i/>
                    </w:rPr>
                  </w:pPr>
                  <w:r w:rsidRPr="00BD6ACF">
                    <w:rPr>
                      <w:i/>
                    </w:rPr>
                    <w:t>Priame finančné náklady</w:t>
                  </w:r>
                </w:p>
              </w:tc>
              <w:tc>
                <w:tcPr>
                  <w:tcW w:w="2941" w:type="dxa"/>
                </w:tcPr>
                <w:p w14:paraId="2036829B" w14:textId="7030F6B7" w:rsidR="00BD6ACF" w:rsidRPr="00BD6ACF" w:rsidRDefault="00BD6ACF" w:rsidP="00BD6ACF">
                  <w:pPr>
                    <w:pStyle w:val="Odsekzoznamu"/>
                    <w:spacing w:line="240" w:lineRule="auto"/>
                    <w:ind w:left="0"/>
                    <w:jc w:val="center"/>
                    <w:rPr>
                      <w:rFonts w:ascii="Times New Roman" w:hAnsi="Times New Roman" w:cs="Times New Roman"/>
                      <w:sz w:val="20"/>
                      <w:szCs w:val="20"/>
                    </w:rPr>
                  </w:pPr>
                  <w:r w:rsidRPr="00BD6ACF">
                    <w:rPr>
                      <w:rFonts w:ascii="Times New Roman" w:hAnsi="Times New Roman" w:cs="Times New Roman"/>
                      <w:sz w:val="20"/>
                      <w:szCs w:val="20"/>
                    </w:rPr>
                    <w:t>1 510</w:t>
                  </w:r>
                </w:p>
              </w:tc>
              <w:tc>
                <w:tcPr>
                  <w:tcW w:w="2946" w:type="dxa"/>
                </w:tcPr>
                <w:p w14:paraId="663D37BE" w14:textId="2175BF4C" w:rsidR="00BD6ACF" w:rsidRPr="00BD6ACF" w:rsidRDefault="00BD6ACF" w:rsidP="00BD6ACF">
                  <w:pPr>
                    <w:jc w:val="center"/>
                  </w:pPr>
                  <w:r w:rsidRPr="00BD6ACF">
                    <w:t>185 723 010</w:t>
                  </w:r>
                </w:p>
              </w:tc>
            </w:tr>
            <w:tr w:rsidR="00BD6ACF" w:rsidRPr="00F04CCD" w14:paraId="3C757A69" w14:textId="77777777" w:rsidTr="00BD6ACF">
              <w:trPr>
                <w:trHeight w:val="170"/>
              </w:trPr>
              <w:tc>
                <w:tcPr>
                  <w:tcW w:w="2949" w:type="dxa"/>
                </w:tcPr>
                <w:p w14:paraId="1F62C9DB" w14:textId="68AAF386" w:rsidR="00BD6ACF" w:rsidRPr="00BD6ACF" w:rsidRDefault="00BD6ACF" w:rsidP="00BD6ACF">
                  <w:pPr>
                    <w:rPr>
                      <w:i/>
                    </w:rPr>
                  </w:pPr>
                  <w:r w:rsidRPr="00BD6ACF">
                    <w:rPr>
                      <w:i/>
                    </w:rPr>
                    <w:t>Nepriame finančné náklady</w:t>
                  </w:r>
                </w:p>
              </w:tc>
              <w:tc>
                <w:tcPr>
                  <w:tcW w:w="2941" w:type="dxa"/>
                </w:tcPr>
                <w:p w14:paraId="2BE6A72F" w14:textId="3D3880FB" w:rsidR="00BD6ACF" w:rsidRPr="00BD6ACF" w:rsidRDefault="00BD6ACF" w:rsidP="00BD6ACF">
                  <w:pPr>
                    <w:pStyle w:val="Odsekzoznamu"/>
                    <w:spacing w:line="240" w:lineRule="auto"/>
                    <w:ind w:left="0"/>
                    <w:jc w:val="center"/>
                    <w:rPr>
                      <w:rFonts w:ascii="Times New Roman" w:hAnsi="Times New Roman" w:cs="Times New Roman"/>
                      <w:sz w:val="20"/>
                      <w:szCs w:val="20"/>
                    </w:rPr>
                  </w:pPr>
                  <w:r w:rsidRPr="00BD6ACF">
                    <w:rPr>
                      <w:rFonts w:ascii="Times New Roman" w:hAnsi="Times New Roman" w:cs="Times New Roman"/>
                      <w:sz w:val="20"/>
                      <w:szCs w:val="20"/>
                    </w:rPr>
                    <w:t xml:space="preserve">     0</w:t>
                  </w:r>
                </w:p>
              </w:tc>
              <w:tc>
                <w:tcPr>
                  <w:tcW w:w="2946" w:type="dxa"/>
                </w:tcPr>
                <w:p w14:paraId="4AA87AA2" w14:textId="2A7B530B" w:rsidR="00BD6ACF" w:rsidRPr="00BD6ACF" w:rsidRDefault="00BD6ACF" w:rsidP="00BD6ACF">
                  <w:pPr>
                    <w:jc w:val="center"/>
                  </w:pPr>
                  <w:r w:rsidRPr="00BD6ACF">
                    <w:t>0</w:t>
                  </w:r>
                </w:p>
              </w:tc>
            </w:tr>
            <w:tr w:rsidR="00BD6ACF" w:rsidRPr="00F04CCD" w14:paraId="0402FA2E" w14:textId="77777777" w:rsidTr="00BD6ACF">
              <w:trPr>
                <w:trHeight w:val="170"/>
              </w:trPr>
              <w:tc>
                <w:tcPr>
                  <w:tcW w:w="2949" w:type="dxa"/>
                </w:tcPr>
                <w:p w14:paraId="25DD7DCF" w14:textId="014D4B7A" w:rsidR="00BD6ACF" w:rsidRPr="00BD6ACF" w:rsidRDefault="00BD6ACF" w:rsidP="00BD6ACF">
                  <w:pPr>
                    <w:rPr>
                      <w:i/>
                    </w:rPr>
                  </w:pPr>
                  <w:r w:rsidRPr="00BD6ACF">
                    <w:rPr>
                      <w:i/>
                    </w:rPr>
                    <w:t>Administratívne náklady</w:t>
                  </w:r>
                </w:p>
              </w:tc>
              <w:tc>
                <w:tcPr>
                  <w:tcW w:w="2941" w:type="dxa"/>
                </w:tcPr>
                <w:p w14:paraId="3D302785" w14:textId="3F06B417" w:rsidR="00BD6ACF" w:rsidRPr="00BD6ACF" w:rsidRDefault="00BD6ACF" w:rsidP="00BD6ACF">
                  <w:pPr>
                    <w:pStyle w:val="Odsekzoznamu"/>
                    <w:spacing w:line="240" w:lineRule="auto"/>
                    <w:ind w:left="0"/>
                    <w:jc w:val="center"/>
                    <w:rPr>
                      <w:rFonts w:ascii="Times New Roman" w:hAnsi="Times New Roman" w:cs="Times New Roman"/>
                      <w:sz w:val="20"/>
                      <w:szCs w:val="20"/>
                    </w:rPr>
                  </w:pPr>
                  <w:r w:rsidRPr="00BD6ACF">
                    <w:rPr>
                      <w:rFonts w:ascii="Times New Roman" w:hAnsi="Times New Roman" w:cs="Times New Roman"/>
                      <w:sz w:val="20"/>
                      <w:szCs w:val="20"/>
                    </w:rPr>
                    <w:t xml:space="preserve"> 83</w:t>
                  </w:r>
                </w:p>
              </w:tc>
              <w:tc>
                <w:tcPr>
                  <w:tcW w:w="2946" w:type="dxa"/>
                </w:tcPr>
                <w:p w14:paraId="7B68F16E" w14:textId="7F37A0AE" w:rsidR="00BD6ACF" w:rsidRPr="00BD6ACF" w:rsidRDefault="00BD6ACF" w:rsidP="00BD6ACF">
                  <w:pPr>
                    <w:jc w:val="center"/>
                  </w:pPr>
                  <w:r w:rsidRPr="00BD6ACF">
                    <w:t>24 495 899</w:t>
                  </w:r>
                </w:p>
              </w:tc>
            </w:tr>
            <w:tr w:rsidR="00BD6ACF" w:rsidRPr="00F04CCD" w14:paraId="7F1C35E8" w14:textId="77777777" w:rsidTr="00BD6ACF">
              <w:trPr>
                <w:trHeight w:val="170"/>
              </w:trPr>
              <w:tc>
                <w:tcPr>
                  <w:tcW w:w="2949" w:type="dxa"/>
                </w:tcPr>
                <w:p w14:paraId="420E9775" w14:textId="0D553B19" w:rsidR="00BD6ACF" w:rsidRPr="00BD6ACF" w:rsidRDefault="00BD6ACF" w:rsidP="00BD6ACF">
                  <w:pPr>
                    <w:rPr>
                      <w:i/>
                    </w:rPr>
                  </w:pPr>
                  <w:r w:rsidRPr="00BD6ACF">
                    <w:rPr>
                      <w:b/>
                      <w:i/>
                    </w:rPr>
                    <w:t>Celkové náklady regulácie</w:t>
                  </w:r>
                </w:p>
              </w:tc>
              <w:tc>
                <w:tcPr>
                  <w:tcW w:w="2941" w:type="dxa"/>
                </w:tcPr>
                <w:p w14:paraId="44D54908" w14:textId="141C3A9C" w:rsidR="00BD6ACF" w:rsidRPr="00BD6ACF" w:rsidRDefault="00BD6ACF" w:rsidP="00BD6ACF">
                  <w:pPr>
                    <w:pStyle w:val="Odsekzoznamu"/>
                    <w:spacing w:line="240" w:lineRule="auto"/>
                    <w:ind w:left="0"/>
                    <w:jc w:val="center"/>
                    <w:rPr>
                      <w:rFonts w:ascii="Times New Roman" w:hAnsi="Times New Roman" w:cs="Times New Roman"/>
                      <w:sz w:val="20"/>
                      <w:szCs w:val="20"/>
                    </w:rPr>
                  </w:pPr>
                  <w:r w:rsidRPr="00BD6ACF">
                    <w:rPr>
                      <w:rFonts w:ascii="Times New Roman" w:hAnsi="Times New Roman" w:cs="Times New Roman"/>
                      <w:b/>
                      <w:sz w:val="20"/>
                      <w:szCs w:val="20"/>
                    </w:rPr>
                    <w:t>1 593</w:t>
                  </w:r>
                </w:p>
              </w:tc>
              <w:tc>
                <w:tcPr>
                  <w:tcW w:w="2946" w:type="dxa"/>
                </w:tcPr>
                <w:p w14:paraId="455F9677" w14:textId="1A012ED8" w:rsidR="00BD6ACF" w:rsidRPr="00BD6ACF" w:rsidRDefault="00BD6ACF" w:rsidP="00BD6ACF">
                  <w:pPr>
                    <w:jc w:val="center"/>
                  </w:pPr>
                  <w:r w:rsidRPr="00BD6ACF">
                    <w:rPr>
                      <w:b/>
                    </w:rPr>
                    <w:t>210 218 909</w:t>
                  </w:r>
                </w:p>
              </w:tc>
            </w:tr>
            <w:tr w:rsidR="00BD6ACF" w:rsidRPr="00F04CCD" w14:paraId="712ECD7E" w14:textId="36EB06F1" w:rsidTr="00BD6ACF">
              <w:trPr>
                <w:trHeight w:val="420"/>
              </w:trPr>
              <w:tc>
                <w:tcPr>
                  <w:tcW w:w="2949" w:type="dxa"/>
                </w:tcPr>
                <w:p w14:paraId="3A3F5487" w14:textId="77777777" w:rsidR="00BD6ACF" w:rsidRPr="00BD6ACF" w:rsidRDefault="00BD6ACF" w:rsidP="00BD6ACF">
                  <w:pPr>
                    <w:rPr>
                      <w:i/>
                    </w:rPr>
                  </w:pPr>
                </w:p>
              </w:tc>
              <w:tc>
                <w:tcPr>
                  <w:tcW w:w="2941" w:type="dxa"/>
                </w:tcPr>
                <w:p w14:paraId="546F8B37" w14:textId="77777777" w:rsidR="00BD6ACF" w:rsidRDefault="00BD6ACF" w:rsidP="00BD6ACF">
                  <w:pPr>
                    <w:jc w:val="center"/>
                    <w:rPr>
                      <w:i/>
                    </w:rPr>
                  </w:pPr>
                  <w:r w:rsidRPr="00F04CCD">
                    <w:rPr>
                      <w:i/>
                    </w:rPr>
                    <w:t>Náklady na 1 podnikateľa</w:t>
                  </w:r>
                </w:p>
                <w:p w14:paraId="2A9A7F68" w14:textId="563CA3B5" w:rsidR="00BD6ACF" w:rsidRPr="00BD6ACF" w:rsidRDefault="00BD6ACF" w:rsidP="00BD6ACF">
                  <w:pPr>
                    <w:pStyle w:val="Odsekzoznamu"/>
                    <w:ind w:left="0"/>
                    <w:jc w:val="center"/>
                    <w:rPr>
                      <w:rFonts w:ascii="Times New Roman" w:hAnsi="Times New Roman" w:cs="Times New Roman"/>
                      <w:sz w:val="20"/>
                      <w:szCs w:val="20"/>
                    </w:rPr>
                  </w:pPr>
                  <w:r w:rsidRPr="00E24809">
                    <w:rPr>
                      <w:rFonts w:ascii="Times New Roman" w:hAnsi="Times New Roman" w:cs="Times New Roman"/>
                      <w:i/>
                      <w:sz w:val="20"/>
                      <w:szCs w:val="20"/>
                    </w:rPr>
                    <w:t>úspora</w:t>
                  </w:r>
                </w:p>
              </w:tc>
              <w:tc>
                <w:tcPr>
                  <w:tcW w:w="2946" w:type="dxa"/>
                </w:tcPr>
                <w:p w14:paraId="041693C0" w14:textId="7EBD26F2" w:rsidR="00BD6ACF" w:rsidRPr="00BD6ACF" w:rsidRDefault="00BD6ACF" w:rsidP="00BD6ACF">
                  <w:pPr>
                    <w:jc w:val="center"/>
                  </w:pPr>
                  <w:r w:rsidRPr="00F04CCD">
                    <w:rPr>
                      <w:i/>
                    </w:rPr>
                    <w:t>Náklady na celé podnikateľské prostredie</w:t>
                  </w:r>
                  <w:r>
                    <w:rPr>
                      <w:i/>
                    </w:rPr>
                    <w:t xml:space="preserve"> - úspora</w:t>
                  </w:r>
                </w:p>
              </w:tc>
            </w:tr>
            <w:tr w:rsidR="00BD6ACF" w:rsidRPr="00F04CCD" w14:paraId="0C294EBC" w14:textId="77777777" w:rsidTr="00BD6ACF">
              <w:trPr>
                <w:trHeight w:val="274"/>
              </w:trPr>
              <w:tc>
                <w:tcPr>
                  <w:tcW w:w="2949" w:type="dxa"/>
                </w:tcPr>
                <w:p w14:paraId="7EDC0510" w14:textId="77777777" w:rsidR="00BD6ACF" w:rsidRPr="00BD6ACF" w:rsidRDefault="00BD6ACF" w:rsidP="00BD6ACF">
                  <w:pPr>
                    <w:rPr>
                      <w:i/>
                    </w:rPr>
                  </w:pPr>
                  <w:r w:rsidRPr="00BD6ACF">
                    <w:rPr>
                      <w:i/>
                    </w:rPr>
                    <w:t>Priame finančné náklady</w:t>
                  </w:r>
                </w:p>
              </w:tc>
              <w:tc>
                <w:tcPr>
                  <w:tcW w:w="2941" w:type="dxa"/>
                </w:tcPr>
                <w:p w14:paraId="59BB27F4" w14:textId="22E8B0FB" w:rsidR="00BD6ACF" w:rsidRPr="00BD6ACF" w:rsidRDefault="00BD6ACF" w:rsidP="00BD6ACF">
                  <w:pPr>
                    <w:pStyle w:val="Odsekzoznamu"/>
                    <w:ind w:left="0" w:right="-54"/>
                    <w:jc w:val="center"/>
                    <w:rPr>
                      <w:rFonts w:ascii="Times New Roman" w:hAnsi="Times New Roman" w:cs="Times New Roman"/>
                      <w:sz w:val="20"/>
                      <w:szCs w:val="20"/>
                    </w:rPr>
                  </w:pPr>
                  <w:r w:rsidRPr="00BD6ACF">
                    <w:rPr>
                      <w:rFonts w:ascii="Times New Roman" w:hAnsi="Times New Roman" w:cs="Times New Roman"/>
                      <w:sz w:val="20"/>
                      <w:szCs w:val="20"/>
                    </w:rPr>
                    <w:t>-1 600</w:t>
                  </w:r>
                </w:p>
              </w:tc>
              <w:tc>
                <w:tcPr>
                  <w:tcW w:w="2946" w:type="dxa"/>
                </w:tcPr>
                <w:p w14:paraId="7BF8A044" w14:textId="78EF0E0B" w:rsidR="00BD6ACF" w:rsidRPr="00BD6ACF" w:rsidRDefault="00BD6ACF" w:rsidP="00BD6ACF">
                  <w:pPr>
                    <w:jc w:val="center"/>
                  </w:pPr>
                  <w:r w:rsidRPr="00BD6ACF">
                    <w:t>-250 000 000</w:t>
                  </w:r>
                </w:p>
              </w:tc>
            </w:tr>
            <w:tr w:rsidR="00BD6ACF" w:rsidRPr="00F04CCD" w14:paraId="44FCEECF" w14:textId="77777777" w:rsidTr="00BD6ACF">
              <w:trPr>
                <w:trHeight w:val="170"/>
              </w:trPr>
              <w:tc>
                <w:tcPr>
                  <w:tcW w:w="2949" w:type="dxa"/>
                </w:tcPr>
                <w:p w14:paraId="27BE49DB" w14:textId="77777777" w:rsidR="00BD6ACF" w:rsidRPr="00BD6ACF" w:rsidRDefault="00BD6ACF" w:rsidP="00BD6ACF">
                  <w:pPr>
                    <w:rPr>
                      <w:i/>
                    </w:rPr>
                  </w:pPr>
                  <w:r w:rsidRPr="00BD6ACF">
                    <w:rPr>
                      <w:i/>
                    </w:rPr>
                    <w:t>Nepriame finančné náklady</w:t>
                  </w:r>
                </w:p>
              </w:tc>
              <w:tc>
                <w:tcPr>
                  <w:tcW w:w="2941" w:type="dxa"/>
                </w:tcPr>
                <w:p w14:paraId="4A241BF1" w14:textId="4F6E6E6D" w:rsidR="00BD6ACF" w:rsidRPr="00BD6ACF" w:rsidRDefault="00BD6ACF" w:rsidP="00BD6ACF">
                  <w:pPr>
                    <w:jc w:val="center"/>
                  </w:pPr>
                  <w:r w:rsidRPr="00BD6ACF">
                    <w:t xml:space="preserve">     0</w:t>
                  </w:r>
                </w:p>
              </w:tc>
              <w:tc>
                <w:tcPr>
                  <w:tcW w:w="2946" w:type="dxa"/>
                </w:tcPr>
                <w:p w14:paraId="6650CE08" w14:textId="3FF552DC" w:rsidR="00BD6ACF" w:rsidRPr="00BD6ACF" w:rsidRDefault="00BD6ACF" w:rsidP="00BD6ACF">
                  <w:pPr>
                    <w:jc w:val="center"/>
                  </w:pPr>
                  <w:r w:rsidRPr="00BD6ACF">
                    <w:t xml:space="preserve">             0</w:t>
                  </w:r>
                </w:p>
              </w:tc>
            </w:tr>
            <w:tr w:rsidR="00BD6ACF" w:rsidRPr="00F04CCD" w14:paraId="7C8BB81C" w14:textId="77777777" w:rsidTr="00BD6ACF">
              <w:trPr>
                <w:trHeight w:val="170"/>
              </w:trPr>
              <w:tc>
                <w:tcPr>
                  <w:tcW w:w="2949" w:type="dxa"/>
                </w:tcPr>
                <w:p w14:paraId="3662563D" w14:textId="77777777" w:rsidR="00BD6ACF" w:rsidRPr="00BD6ACF" w:rsidRDefault="00BD6ACF" w:rsidP="00BD6ACF">
                  <w:pPr>
                    <w:rPr>
                      <w:i/>
                    </w:rPr>
                  </w:pPr>
                  <w:r w:rsidRPr="00BD6ACF">
                    <w:rPr>
                      <w:i/>
                    </w:rPr>
                    <w:t>Administratívne náklady</w:t>
                  </w:r>
                </w:p>
              </w:tc>
              <w:tc>
                <w:tcPr>
                  <w:tcW w:w="2941" w:type="dxa"/>
                </w:tcPr>
                <w:p w14:paraId="7593303C" w14:textId="53DA4DFF" w:rsidR="00BD6ACF" w:rsidRPr="00BD6ACF" w:rsidRDefault="00BD6ACF" w:rsidP="00BD6ACF">
                  <w:pPr>
                    <w:jc w:val="center"/>
                  </w:pPr>
                  <w:r w:rsidRPr="00BD6ACF">
                    <w:t>- 39</w:t>
                  </w:r>
                </w:p>
              </w:tc>
              <w:tc>
                <w:tcPr>
                  <w:tcW w:w="2946" w:type="dxa"/>
                </w:tcPr>
                <w:p w14:paraId="2AAE51FA" w14:textId="05FAB71B" w:rsidR="00BD6ACF" w:rsidRPr="00BD6ACF" w:rsidRDefault="00BD6ACF" w:rsidP="00BD6ACF">
                  <w:pPr>
                    <w:jc w:val="center"/>
                  </w:pPr>
                  <w:r w:rsidRPr="00BD6ACF">
                    <w:t>-10 438 669</w:t>
                  </w:r>
                </w:p>
              </w:tc>
            </w:tr>
            <w:tr w:rsidR="00BD6ACF" w:rsidRPr="00F04CCD" w14:paraId="3A343781" w14:textId="77777777" w:rsidTr="00BD6ACF">
              <w:trPr>
                <w:trHeight w:val="170"/>
              </w:trPr>
              <w:tc>
                <w:tcPr>
                  <w:tcW w:w="2949" w:type="dxa"/>
                </w:tcPr>
                <w:p w14:paraId="6441C8CA" w14:textId="06ADFFE7" w:rsidR="00BD6ACF" w:rsidRPr="00BD6ACF" w:rsidRDefault="00BD6ACF" w:rsidP="00BD6ACF">
                  <w:pPr>
                    <w:rPr>
                      <w:i/>
                    </w:rPr>
                  </w:pPr>
                  <w:r w:rsidRPr="00BD6ACF">
                    <w:rPr>
                      <w:b/>
                      <w:i/>
                    </w:rPr>
                    <w:t>Celkové náklady regulácie</w:t>
                  </w:r>
                </w:p>
              </w:tc>
              <w:tc>
                <w:tcPr>
                  <w:tcW w:w="2941" w:type="dxa"/>
                </w:tcPr>
                <w:p w14:paraId="4AC0CB6B" w14:textId="0E5F89BC" w:rsidR="00BD6ACF" w:rsidRPr="00BD6ACF" w:rsidRDefault="00BD6ACF" w:rsidP="00BD6ACF">
                  <w:pPr>
                    <w:jc w:val="center"/>
                  </w:pPr>
                  <w:r w:rsidRPr="00BD6ACF">
                    <w:t>-1 639</w:t>
                  </w:r>
                </w:p>
              </w:tc>
              <w:tc>
                <w:tcPr>
                  <w:tcW w:w="2946" w:type="dxa"/>
                </w:tcPr>
                <w:p w14:paraId="6148A023" w14:textId="0C395431" w:rsidR="00BD6ACF" w:rsidRPr="00BD6ACF" w:rsidRDefault="00BD6ACF" w:rsidP="00BD6ACF">
                  <w:pPr>
                    <w:jc w:val="center"/>
                  </w:pPr>
                  <w:r w:rsidRPr="00BD6ACF">
                    <w:t>-260 438 669</w:t>
                  </w:r>
                </w:p>
              </w:tc>
            </w:tr>
            <w:tr w:rsidR="00BD6ACF" w:rsidRPr="00F04CCD" w14:paraId="497A092B" w14:textId="77777777" w:rsidTr="00BD6ACF">
              <w:trPr>
                <w:trHeight w:val="170"/>
              </w:trPr>
              <w:tc>
                <w:tcPr>
                  <w:tcW w:w="2949" w:type="dxa"/>
                </w:tcPr>
                <w:p w14:paraId="18DFAE5D" w14:textId="77777777" w:rsidR="00BD6ACF" w:rsidRPr="00BD6ACF" w:rsidRDefault="00BD6ACF" w:rsidP="00BD6ACF">
                  <w:pPr>
                    <w:rPr>
                      <w:b/>
                      <w:i/>
                    </w:rPr>
                  </w:pPr>
                </w:p>
              </w:tc>
              <w:tc>
                <w:tcPr>
                  <w:tcW w:w="2941" w:type="dxa"/>
                </w:tcPr>
                <w:p w14:paraId="5830DEF4" w14:textId="77777777" w:rsidR="00BD6ACF" w:rsidRPr="00BD6ACF" w:rsidRDefault="00BD6ACF" w:rsidP="00BD6ACF">
                  <w:pPr>
                    <w:jc w:val="center"/>
                  </w:pPr>
                </w:p>
              </w:tc>
              <w:tc>
                <w:tcPr>
                  <w:tcW w:w="2946" w:type="dxa"/>
                </w:tcPr>
                <w:p w14:paraId="65E6272E" w14:textId="77777777" w:rsidR="00BD6ACF" w:rsidRPr="00BD6ACF" w:rsidRDefault="00BD6ACF" w:rsidP="00BD6ACF">
                  <w:pPr>
                    <w:jc w:val="center"/>
                  </w:pPr>
                </w:p>
              </w:tc>
            </w:tr>
            <w:tr w:rsidR="00BD6ACF" w:rsidRPr="00F04CCD" w14:paraId="7EDAE35C" w14:textId="77777777" w:rsidTr="00BD6ACF">
              <w:trPr>
                <w:trHeight w:val="170"/>
              </w:trPr>
              <w:tc>
                <w:tcPr>
                  <w:tcW w:w="2949" w:type="dxa"/>
                </w:tcPr>
                <w:p w14:paraId="172317A4" w14:textId="69BEA151" w:rsidR="00BD6ACF" w:rsidRPr="006400B1" w:rsidRDefault="00BD6ACF" w:rsidP="00BD6ACF">
                  <w:pPr>
                    <w:rPr>
                      <w:b/>
                      <w:i/>
                    </w:rPr>
                  </w:pPr>
                  <w:r w:rsidRPr="006400B1">
                    <w:rPr>
                      <w:b/>
                      <w:i/>
                    </w:rPr>
                    <w:t>Celkové náklady regulácie rozdiel nákladov a úspor</w:t>
                  </w:r>
                </w:p>
              </w:tc>
              <w:tc>
                <w:tcPr>
                  <w:tcW w:w="2941" w:type="dxa"/>
                </w:tcPr>
                <w:p w14:paraId="384E9FA8" w14:textId="4F1F1E6D" w:rsidR="00BD6ACF" w:rsidRPr="006400B1" w:rsidRDefault="00BD6ACF" w:rsidP="00BD6ACF">
                  <w:pPr>
                    <w:jc w:val="center"/>
                    <w:rPr>
                      <w:b/>
                    </w:rPr>
                  </w:pPr>
                  <w:r w:rsidRPr="006400B1">
                    <w:rPr>
                      <w:b/>
                    </w:rPr>
                    <w:t>-46</w:t>
                  </w:r>
                </w:p>
              </w:tc>
              <w:tc>
                <w:tcPr>
                  <w:tcW w:w="2946" w:type="dxa"/>
                </w:tcPr>
                <w:p w14:paraId="3B4FC8E6" w14:textId="2BFEC04B" w:rsidR="00BD6ACF" w:rsidRPr="006400B1" w:rsidRDefault="00BD6ACF" w:rsidP="00BD6ACF">
                  <w:pPr>
                    <w:jc w:val="center"/>
                    <w:rPr>
                      <w:b/>
                    </w:rPr>
                  </w:pPr>
                  <w:r w:rsidRPr="006400B1">
                    <w:rPr>
                      <w:b/>
                    </w:rPr>
                    <w:t>-50 219 760</w:t>
                  </w:r>
                </w:p>
              </w:tc>
            </w:tr>
          </w:tbl>
          <w:p w14:paraId="49867A7B" w14:textId="77777777" w:rsidR="009F2DFA" w:rsidRDefault="009F2DFA" w:rsidP="007B71A4">
            <w:pPr>
              <w:rPr>
                <w:i/>
              </w:rPr>
            </w:pPr>
          </w:p>
          <w:p w14:paraId="2E514F63" w14:textId="77777777" w:rsidR="00BD6ACF" w:rsidRPr="00F04CCD" w:rsidRDefault="00BD6ACF" w:rsidP="007B71A4">
            <w:pPr>
              <w:rPr>
                <w:i/>
              </w:rPr>
            </w:pPr>
          </w:p>
        </w:tc>
      </w:tr>
      <w:tr w:rsidR="009F2DFA" w:rsidRPr="00F04CCD" w14:paraId="1F703B67" w14:textId="77777777" w:rsidTr="007B71A4">
        <w:tc>
          <w:tcPr>
            <w:tcW w:w="9212" w:type="dxa"/>
            <w:shd w:val="clear" w:color="auto" w:fill="D9D9D9" w:themeFill="background1" w:themeFillShade="D9"/>
          </w:tcPr>
          <w:p w14:paraId="63E5E6F5" w14:textId="77777777" w:rsidR="009F2DFA" w:rsidRPr="00042C66" w:rsidRDefault="002B1108" w:rsidP="007B71A4">
            <w:pPr>
              <w:rPr>
                <w:b/>
                <w:sz w:val="24"/>
              </w:rPr>
            </w:pPr>
            <w:r>
              <w:rPr>
                <w:b/>
                <w:sz w:val="24"/>
              </w:rPr>
              <w:lastRenderedPageBreak/>
              <w:t>3</w:t>
            </w:r>
            <w:r w:rsidR="009F2DFA" w:rsidRPr="00042C66">
              <w:rPr>
                <w:b/>
                <w:sz w:val="24"/>
              </w:rPr>
              <w:t>.4 Konkurencieschopnosť a správanie sa podnikov na trhu</w:t>
            </w:r>
          </w:p>
          <w:p w14:paraId="05DA36AD" w14:textId="77777777"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14:paraId="4DE06A7E" w14:textId="77777777" w:rsidTr="007B71A4">
        <w:tc>
          <w:tcPr>
            <w:tcW w:w="9212" w:type="dxa"/>
            <w:tcBorders>
              <w:bottom w:val="single" w:sz="4" w:space="0" w:color="auto"/>
            </w:tcBorders>
          </w:tcPr>
          <w:p w14:paraId="2FA3ACDF" w14:textId="77777777"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14:paraId="352BA14F" w14:textId="77777777"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65D81350" w14:textId="77777777" w:rsidR="009F2DFA" w:rsidRPr="00F04CCD" w:rsidRDefault="009F2DFA" w:rsidP="007B71A4">
            <w:pPr>
              <w:rPr>
                <w:i/>
              </w:rPr>
            </w:pPr>
            <w:r w:rsidRPr="00F04CCD">
              <w:rPr>
                <w:i/>
              </w:rPr>
              <w:t>Ako ovplyvní cenu alebo dostupnosť základných zdrojov (suroviny, mechanizmy, pracovná sila, energie atď.)?</w:t>
            </w:r>
          </w:p>
          <w:p w14:paraId="2D69C612" w14:textId="77777777" w:rsidR="009F2DFA" w:rsidRPr="00F04CCD" w:rsidRDefault="009F2DFA" w:rsidP="007B71A4">
            <w:pPr>
              <w:rPr>
                <w:i/>
              </w:rPr>
            </w:pPr>
            <w:r w:rsidRPr="00F04CCD">
              <w:rPr>
                <w:i/>
              </w:rPr>
              <w:t>Ovplyvňuje prístup k financiám? Ak áno, ako?</w:t>
            </w:r>
          </w:p>
        </w:tc>
      </w:tr>
      <w:tr w:rsidR="009F2DFA" w:rsidRPr="00F04CCD" w14:paraId="167D8F37" w14:textId="77777777" w:rsidTr="00EF0863">
        <w:trPr>
          <w:trHeight w:val="929"/>
        </w:trPr>
        <w:tc>
          <w:tcPr>
            <w:tcW w:w="9212" w:type="dxa"/>
            <w:tcBorders>
              <w:bottom w:val="single" w:sz="4" w:space="0" w:color="auto"/>
            </w:tcBorders>
          </w:tcPr>
          <w:p w14:paraId="35624854" w14:textId="77777777" w:rsidR="009F2DFA" w:rsidRPr="00307E45" w:rsidRDefault="00525A97" w:rsidP="00EF0863">
            <w:pPr>
              <w:jc w:val="both"/>
            </w:pPr>
            <w:r w:rsidRPr="00307E45">
              <w:t>Nie, nedochádza k vytvoreniu bariér pre vstup na trh pre nových dodávateľov alebo poskytovateľov služieb</w:t>
            </w:r>
            <w:r w:rsidR="009E0A45" w:rsidRPr="00307E45">
              <w:t>, ani nebude mať vplyv na vyvolanie cezhraničných investícií</w:t>
            </w:r>
            <w:r w:rsidRPr="00307E45">
              <w:t>.</w:t>
            </w:r>
            <w:r w:rsidR="009E0A45" w:rsidRPr="00307E45">
              <w:t xml:space="preserve"> </w:t>
            </w:r>
          </w:p>
        </w:tc>
      </w:tr>
      <w:tr w:rsidR="009F2DFA" w:rsidRPr="00F04CCD" w14:paraId="2A4B14A4" w14:textId="77777777" w:rsidTr="007B71A4">
        <w:tc>
          <w:tcPr>
            <w:tcW w:w="9212" w:type="dxa"/>
            <w:shd w:val="clear" w:color="auto" w:fill="D9D9D9" w:themeFill="background1" w:themeFillShade="D9"/>
          </w:tcPr>
          <w:p w14:paraId="69EBFC82" w14:textId="77777777" w:rsidR="009F2DFA" w:rsidRPr="00042C66" w:rsidRDefault="002B1108" w:rsidP="007B71A4">
            <w:pPr>
              <w:rPr>
                <w:b/>
                <w:sz w:val="24"/>
              </w:rPr>
            </w:pPr>
            <w:r>
              <w:rPr>
                <w:b/>
                <w:sz w:val="24"/>
              </w:rPr>
              <w:t>3</w:t>
            </w:r>
            <w:r w:rsidR="009F2DFA" w:rsidRPr="00042C66">
              <w:rPr>
                <w:b/>
                <w:sz w:val="24"/>
              </w:rPr>
              <w:t xml:space="preserve">.5 Inovácie </w:t>
            </w:r>
          </w:p>
          <w:p w14:paraId="1D42E4AA"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38570EED" w14:textId="77777777" w:rsidTr="007B71A4">
        <w:tc>
          <w:tcPr>
            <w:tcW w:w="9212" w:type="dxa"/>
          </w:tcPr>
          <w:p w14:paraId="1D63AAFA" w14:textId="77777777" w:rsidR="009F2DFA" w:rsidRPr="00F04CCD" w:rsidRDefault="009F2DFA" w:rsidP="007B71A4">
            <w:pPr>
              <w:rPr>
                <w:i/>
              </w:rPr>
            </w:pPr>
            <w:r w:rsidRPr="00F04CCD">
              <w:rPr>
                <w:i/>
              </w:rPr>
              <w:t>Uveďte, ako podporuje navrhovaná zmena inovácie.</w:t>
            </w:r>
          </w:p>
          <w:p w14:paraId="13A2F2AB" w14:textId="77777777" w:rsidR="009F2DFA" w:rsidRPr="00F04CCD" w:rsidRDefault="009F2DFA" w:rsidP="007B71A4">
            <w:pPr>
              <w:rPr>
                <w:i/>
              </w:rPr>
            </w:pPr>
            <w:r w:rsidRPr="00F04CCD">
              <w:rPr>
                <w:i/>
              </w:rPr>
              <w:t>Zjednodušuje uvedenie alebo rozšírenie nových výrobných metód, technológií a výrobkov na trh?</w:t>
            </w:r>
          </w:p>
          <w:p w14:paraId="6D444649" w14:textId="77777777"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14:paraId="6F495940" w14:textId="77777777" w:rsidR="009F2DFA" w:rsidRDefault="009F2DFA" w:rsidP="007B71A4">
            <w:pPr>
              <w:rPr>
                <w:i/>
              </w:rPr>
            </w:pPr>
            <w:r w:rsidRPr="00F04CCD">
              <w:rPr>
                <w:i/>
              </w:rPr>
              <w:t>Podporuje vyššiu efektivitu výroby/využívania zdrojov? Ak áno, ako?</w:t>
            </w:r>
          </w:p>
          <w:p w14:paraId="6BF1DA78" w14:textId="77777777"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14:paraId="1CFB92F7" w14:textId="77777777" w:rsidTr="00EF0863">
        <w:trPr>
          <w:trHeight w:val="751"/>
        </w:trPr>
        <w:tc>
          <w:tcPr>
            <w:tcW w:w="9212" w:type="dxa"/>
          </w:tcPr>
          <w:p w14:paraId="7EE47223" w14:textId="77777777" w:rsidR="009F2DFA" w:rsidRPr="00F04CCD" w:rsidRDefault="00D064B5" w:rsidP="00EF0863">
            <w:pPr>
              <w:jc w:val="both"/>
              <w:rPr>
                <w:i/>
              </w:rPr>
            </w:pPr>
            <w:r w:rsidRPr="00EF0863">
              <w:t>Návrh zákona sa netýka oblasti i</w:t>
            </w:r>
            <w:r w:rsidR="00525A97" w:rsidRPr="00EF0863">
              <w:t>nováci</w:t>
            </w:r>
            <w:r w:rsidRPr="00EF0863">
              <w:t>í, nových výrobných metód ani technológií</w:t>
            </w:r>
            <w:r w:rsidR="00525A97" w:rsidRPr="00EF0863">
              <w:t>.</w:t>
            </w:r>
          </w:p>
        </w:tc>
      </w:tr>
    </w:tbl>
    <w:p w14:paraId="7A41D715" w14:textId="77777777" w:rsidR="009F2DFA" w:rsidRPr="00F04CCD" w:rsidRDefault="009F2DFA" w:rsidP="009E0A45"/>
    <w:sectPr w:rsidR="009F2DFA" w:rsidRPr="00F04C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38AD4" w14:textId="77777777" w:rsidR="00740165" w:rsidRDefault="00740165" w:rsidP="009F2DFA">
      <w:r>
        <w:separator/>
      </w:r>
    </w:p>
  </w:endnote>
  <w:endnote w:type="continuationSeparator" w:id="0">
    <w:p w14:paraId="2163CBC9" w14:textId="77777777" w:rsidR="00740165" w:rsidRDefault="00740165"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14:paraId="4C0DE3D6" w14:textId="77777777" w:rsidR="009F2DFA" w:rsidRDefault="009F2DFA">
        <w:pPr>
          <w:pStyle w:val="Pta"/>
          <w:jc w:val="right"/>
        </w:pPr>
        <w:r>
          <w:fldChar w:fldCharType="begin"/>
        </w:r>
        <w:r>
          <w:instrText>PAGE   \* MERGEFORMAT</w:instrText>
        </w:r>
        <w:r>
          <w:fldChar w:fldCharType="separate"/>
        </w:r>
        <w:r w:rsidR="00FF788A">
          <w:rPr>
            <w:noProof/>
          </w:rPr>
          <w:t>1</w:t>
        </w:r>
        <w:r>
          <w:fldChar w:fldCharType="end"/>
        </w:r>
      </w:p>
    </w:sdtContent>
  </w:sdt>
  <w:p w14:paraId="4BEA5CD0" w14:textId="77777777"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84DD" w14:textId="77777777" w:rsidR="00740165" w:rsidRDefault="00740165" w:rsidP="009F2DFA">
      <w:r>
        <w:separator/>
      </w:r>
    </w:p>
  </w:footnote>
  <w:footnote w:type="continuationSeparator" w:id="0">
    <w:p w14:paraId="3C689ED0" w14:textId="77777777" w:rsidR="00740165" w:rsidRDefault="00740165"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CF4A" w14:textId="77777777" w:rsidR="009F2DFA" w:rsidRDefault="009F2DFA" w:rsidP="009F2DFA">
    <w:pPr>
      <w:pStyle w:val="Hlavika"/>
      <w:jc w:val="right"/>
      <w:rPr>
        <w:sz w:val="24"/>
        <w:szCs w:val="24"/>
      </w:rPr>
    </w:pPr>
    <w:r w:rsidRPr="000A15AE">
      <w:rPr>
        <w:sz w:val="24"/>
        <w:szCs w:val="24"/>
      </w:rPr>
      <w:t>Príloha č</w:t>
    </w:r>
    <w:r>
      <w:rPr>
        <w:sz w:val="24"/>
        <w:szCs w:val="24"/>
      </w:rPr>
      <w:t>. 3</w:t>
    </w:r>
  </w:p>
  <w:p w14:paraId="74421A6E" w14:textId="77777777"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954688"/>
    <w:multiLevelType w:val="hybridMultilevel"/>
    <w:tmpl w:val="F59CFFCC"/>
    <w:lvl w:ilvl="0" w:tplc="22428C6E">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836415"/>
    <w:multiLevelType w:val="hybridMultilevel"/>
    <w:tmpl w:val="F5CAD5D0"/>
    <w:lvl w:ilvl="0" w:tplc="9794ACBA">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70592"/>
    <w:multiLevelType w:val="hybridMultilevel"/>
    <w:tmpl w:val="787E07A2"/>
    <w:lvl w:ilvl="0" w:tplc="2FFEAF58">
      <w:start w:val="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11"/>
  </w:num>
  <w:num w:numId="4">
    <w:abstractNumId w:val="9"/>
  </w:num>
  <w:num w:numId="5">
    <w:abstractNumId w:val="1"/>
  </w:num>
  <w:num w:numId="6">
    <w:abstractNumId w:val="6"/>
  </w:num>
  <w:num w:numId="7">
    <w:abstractNumId w:val="13"/>
  </w:num>
  <w:num w:numId="8">
    <w:abstractNumId w:val="2"/>
  </w:num>
  <w:num w:numId="9">
    <w:abstractNumId w:val="0"/>
  </w:num>
  <w:num w:numId="10">
    <w:abstractNumId w:val="14"/>
  </w:num>
  <w:num w:numId="11">
    <w:abstractNumId w:val="7"/>
  </w:num>
  <w:num w:numId="12">
    <w:abstractNumId w:val="3"/>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12880"/>
    <w:rsid w:val="00033FE1"/>
    <w:rsid w:val="00092BFA"/>
    <w:rsid w:val="000A546A"/>
    <w:rsid w:val="000F369F"/>
    <w:rsid w:val="0010078B"/>
    <w:rsid w:val="00106257"/>
    <w:rsid w:val="00154881"/>
    <w:rsid w:val="001721E0"/>
    <w:rsid w:val="00181CBA"/>
    <w:rsid w:val="001C7E5B"/>
    <w:rsid w:val="001C7FA2"/>
    <w:rsid w:val="001E666D"/>
    <w:rsid w:val="001E7B7D"/>
    <w:rsid w:val="001F76D9"/>
    <w:rsid w:val="00233A79"/>
    <w:rsid w:val="00263CBD"/>
    <w:rsid w:val="002A7BDE"/>
    <w:rsid w:val="002B1108"/>
    <w:rsid w:val="002E1944"/>
    <w:rsid w:val="00307E45"/>
    <w:rsid w:val="00312097"/>
    <w:rsid w:val="00314A41"/>
    <w:rsid w:val="00315279"/>
    <w:rsid w:val="00321AE3"/>
    <w:rsid w:val="003239E7"/>
    <w:rsid w:val="00331B58"/>
    <w:rsid w:val="00393DE2"/>
    <w:rsid w:val="003E0A91"/>
    <w:rsid w:val="003E6AF8"/>
    <w:rsid w:val="00471464"/>
    <w:rsid w:val="004A108F"/>
    <w:rsid w:val="004B2E92"/>
    <w:rsid w:val="004F4A03"/>
    <w:rsid w:val="00503CDF"/>
    <w:rsid w:val="00520A78"/>
    <w:rsid w:val="0052297F"/>
    <w:rsid w:val="005255CB"/>
    <w:rsid w:val="00525A97"/>
    <w:rsid w:val="005554A6"/>
    <w:rsid w:val="00592DAE"/>
    <w:rsid w:val="005F2F9B"/>
    <w:rsid w:val="006104EB"/>
    <w:rsid w:val="006400B1"/>
    <w:rsid w:val="006515F6"/>
    <w:rsid w:val="00691EE4"/>
    <w:rsid w:val="006B0DB5"/>
    <w:rsid w:val="006D4142"/>
    <w:rsid w:val="006E4302"/>
    <w:rsid w:val="006E5DD8"/>
    <w:rsid w:val="006F5449"/>
    <w:rsid w:val="00710CAA"/>
    <w:rsid w:val="00710F0B"/>
    <w:rsid w:val="00740165"/>
    <w:rsid w:val="00743C9A"/>
    <w:rsid w:val="00753E44"/>
    <w:rsid w:val="00780BA6"/>
    <w:rsid w:val="007A420A"/>
    <w:rsid w:val="007B5F88"/>
    <w:rsid w:val="007C4949"/>
    <w:rsid w:val="007E6C48"/>
    <w:rsid w:val="007F6462"/>
    <w:rsid w:val="00812C86"/>
    <w:rsid w:val="00837639"/>
    <w:rsid w:val="00852DE3"/>
    <w:rsid w:val="008A1252"/>
    <w:rsid w:val="008B5CB1"/>
    <w:rsid w:val="008D3C7D"/>
    <w:rsid w:val="008F1D0C"/>
    <w:rsid w:val="00904C9B"/>
    <w:rsid w:val="0091279D"/>
    <w:rsid w:val="00945E8D"/>
    <w:rsid w:val="0094753C"/>
    <w:rsid w:val="00973A2B"/>
    <w:rsid w:val="00976C20"/>
    <w:rsid w:val="00987DE1"/>
    <w:rsid w:val="00996E83"/>
    <w:rsid w:val="009B5C37"/>
    <w:rsid w:val="009E0A45"/>
    <w:rsid w:val="009E41C9"/>
    <w:rsid w:val="009F2DFA"/>
    <w:rsid w:val="009F6876"/>
    <w:rsid w:val="00A239D3"/>
    <w:rsid w:val="00A24FFF"/>
    <w:rsid w:val="00A26F51"/>
    <w:rsid w:val="00A41978"/>
    <w:rsid w:val="00A555C4"/>
    <w:rsid w:val="00A63A71"/>
    <w:rsid w:val="00A809FA"/>
    <w:rsid w:val="00AC17B7"/>
    <w:rsid w:val="00AD6646"/>
    <w:rsid w:val="00AF0138"/>
    <w:rsid w:val="00AF0971"/>
    <w:rsid w:val="00B02E41"/>
    <w:rsid w:val="00B1188F"/>
    <w:rsid w:val="00B11972"/>
    <w:rsid w:val="00B12407"/>
    <w:rsid w:val="00B31A8E"/>
    <w:rsid w:val="00B53342"/>
    <w:rsid w:val="00B63436"/>
    <w:rsid w:val="00BA073A"/>
    <w:rsid w:val="00BA5B17"/>
    <w:rsid w:val="00BC4F5D"/>
    <w:rsid w:val="00BC5D21"/>
    <w:rsid w:val="00BD6ACF"/>
    <w:rsid w:val="00BF5DEF"/>
    <w:rsid w:val="00C42F97"/>
    <w:rsid w:val="00C46F3E"/>
    <w:rsid w:val="00C47622"/>
    <w:rsid w:val="00C51DFA"/>
    <w:rsid w:val="00CA2A11"/>
    <w:rsid w:val="00CB3623"/>
    <w:rsid w:val="00CF2DFA"/>
    <w:rsid w:val="00D019C5"/>
    <w:rsid w:val="00D064B5"/>
    <w:rsid w:val="00D97DC3"/>
    <w:rsid w:val="00E0652C"/>
    <w:rsid w:val="00E06C04"/>
    <w:rsid w:val="00E10EE4"/>
    <w:rsid w:val="00E16CB8"/>
    <w:rsid w:val="00E200D8"/>
    <w:rsid w:val="00E24809"/>
    <w:rsid w:val="00E40B2F"/>
    <w:rsid w:val="00E55B32"/>
    <w:rsid w:val="00E65F33"/>
    <w:rsid w:val="00E86AD1"/>
    <w:rsid w:val="00EE462C"/>
    <w:rsid w:val="00EF0863"/>
    <w:rsid w:val="00F03D2B"/>
    <w:rsid w:val="00F04BA6"/>
    <w:rsid w:val="00F41620"/>
    <w:rsid w:val="00F44B23"/>
    <w:rsid w:val="00F64126"/>
    <w:rsid w:val="00FA037F"/>
    <w:rsid w:val="00FB5C13"/>
    <w:rsid w:val="00FF3860"/>
    <w:rsid w:val="00FF78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F5ED"/>
  <w15:docId w15:val="{4B1780DD-AC55-4AFB-B858-B87C2CC6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E200D8"/>
    <w:rPr>
      <w:sz w:val="16"/>
      <w:szCs w:val="16"/>
    </w:rPr>
  </w:style>
  <w:style w:type="paragraph" w:styleId="Textkomentra">
    <w:name w:val="annotation text"/>
    <w:basedOn w:val="Normlny"/>
    <w:link w:val="TextkomentraChar"/>
    <w:uiPriority w:val="99"/>
    <w:semiHidden/>
    <w:unhideWhenUsed/>
    <w:rsid w:val="00E200D8"/>
  </w:style>
  <w:style w:type="character" w:customStyle="1" w:styleId="TextkomentraChar">
    <w:name w:val="Text komentára Char"/>
    <w:basedOn w:val="Predvolenpsmoodseku"/>
    <w:link w:val="Textkomentra"/>
    <w:uiPriority w:val="99"/>
    <w:semiHidden/>
    <w:rsid w:val="00E200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200D8"/>
    <w:rPr>
      <w:b/>
      <w:bCs/>
    </w:rPr>
  </w:style>
  <w:style w:type="character" w:customStyle="1" w:styleId="PredmetkomentraChar">
    <w:name w:val="Predmet komentára Char"/>
    <w:basedOn w:val="TextkomentraChar"/>
    <w:link w:val="Predmetkomentra"/>
    <w:uiPriority w:val="99"/>
    <w:semiHidden/>
    <w:rsid w:val="00E200D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ettings" Target="settings.xml"></Relationship><Relationship Id="rId7" Type="http://schemas.openxmlformats.org/officeDocument/2006/relationships/header" Target="head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10"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fontTable" Target="fontTable.xml"></Relationship><Relationship Id="rId11"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Analyza_podnikatelske_prostredie"/>
    <f:field ref="objsubject" par="" edit="true" text=""/>
    <f:field ref="objcreatedby" par="" text="Vršková, Jana, Ing."/>
    <f:field ref="objcreatedat" par="" text="27.7.2021 14:15:48"/>
    <f:field ref="objchangedby" par="" text="Administrator, System"/>
    <f:field ref="objmodifiedat" par="" text="27.7.2021 14:15: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8227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Vrskova Jana</cp:lastModifiedBy>
  <cp:revision>2</cp:revision>
  <dcterms:created xsi:type="dcterms:W3CDTF">2021-07-27T11:53:00Z</dcterms:created>
  <dcterms:modified xsi:type="dcterms:W3CDTF">2021-07-27T11:53:00Z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COO.2145.1000.3.4478165</vt:lpwstr>
  </property>
  <property name="FSC#FSCFOLIO@1.1001:docpropproject" pid="152" fmtid="{D5CDD505-2E9C-101B-9397-08002B2CF9AE}">
    <vt:lpwstr/>
  </property>
</Properties>
</file>