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C5" w:rsidRPr="008543EE" w:rsidRDefault="009D0DC5" w:rsidP="009D0DC5">
      <w:pPr>
        <w:spacing w:after="0" w:line="240" w:lineRule="auto"/>
        <w:jc w:val="center"/>
        <w:rPr>
          <w:rFonts w:eastAsia="Times New Roman" w:cs="Times New Roman"/>
          <w:b/>
          <w:bCs/>
          <w:lang w:eastAsia="sk-SK"/>
        </w:rPr>
      </w:pPr>
      <w:r w:rsidRPr="008543EE">
        <w:rPr>
          <w:rFonts w:eastAsia="Times New Roman" w:cs="Times New Roman"/>
          <w:b/>
          <w:bCs/>
          <w:lang w:eastAsia="sk-SK"/>
        </w:rPr>
        <w:t>Analýza vplyvov na rozpočet verejnej správy,</w:t>
      </w:r>
    </w:p>
    <w:p w:rsidR="009D0DC5" w:rsidRPr="008543EE" w:rsidRDefault="009D0DC5" w:rsidP="009D0DC5">
      <w:pPr>
        <w:spacing w:after="0" w:line="240" w:lineRule="auto"/>
        <w:jc w:val="center"/>
        <w:rPr>
          <w:rFonts w:eastAsia="Times New Roman" w:cs="Times New Roman"/>
          <w:b/>
          <w:bCs/>
          <w:lang w:eastAsia="sk-SK"/>
        </w:rPr>
      </w:pPr>
      <w:r w:rsidRPr="008543EE">
        <w:rPr>
          <w:rFonts w:eastAsia="Times New Roman" w:cs="Times New Roman"/>
          <w:b/>
          <w:bCs/>
          <w:lang w:eastAsia="sk-SK"/>
        </w:rPr>
        <w:t>na zamestnanosť vo verejnej správe a financovanie návrhu</w:t>
      </w:r>
    </w:p>
    <w:p w:rsidR="009D0DC5" w:rsidRPr="008543EE" w:rsidRDefault="009D0DC5" w:rsidP="009D0DC5">
      <w:pPr>
        <w:spacing w:after="0" w:line="240" w:lineRule="auto"/>
        <w:jc w:val="right"/>
        <w:rPr>
          <w:rFonts w:eastAsia="Times New Roman" w:cs="Times New Roman"/>
          <w:b/>
          <w:bCs/>
          <w:lang w:eastAsia="sk-SK"/>
        </w:rPr>
      </w:pP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b/>
          <w:bCs/>
          <w:lang w:eastAsia="sk-SK"/>
        </w:rPr>
      </w:pP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b/>
          <w:bCs/>
          <w:lang w:eastAsia="sk-SK"/>
        </w:rPr>
      </w:pPr>
      <w:r w:rsidRPr="008543EE">
        <w:rPr>
          <w:rFonts w:eastAsia="Times New Roman" w:cs="Times New Roman"/>
          <w:b/>
          <w:bCs/>
          <w:lang w:eastAsia="sk-SK"/>
        </w:rPr>
        <w:t>2.1 Zhrnutie vplyvov na rozpočet verejnej správy v návrhu</w:t>
      </w:r>
    </w:p>
    <w:p w:rsidR="009D0DC5" w:rsidRPr="008543EE" w:rsidRDefault="009D0DC5" w:rsidP="009D0DC5">
      <w:pPr>
        <w:spacing w:after="0" w:line="240" w:lineRule="auto"/>
        <w:jc w:val="right"/>
        <w:rPr>
          <w:rFonts w:eastAsia="Times New Roman" w:cs="Times New Roman"/>
          <w:lang w:eastAsia="sk-SK"/>
        </w:rPr>
      </w:pPr>
    </w:p>
    <w:p w:rsidR="009D0DC5" w:rsidRPr="008543EE" w:rsidRDefault="009D0DC5" w:rsidP="009D0DC5">
      <w:pPr>
        <w:spacing w:after="0" w:line="240" w:lineRule="auto"/>
        <w:jc w:val="right"/>
        <w:rPr>
          <w:rFonts w:eastAsia="Times New Roman" w:cs="Times New Roman"/>
          <w:lang w:eastAsia="sk-SK"/>
        </w:rPr>
      </w:pPr>
      <w:r w:rsidRPr="008543EE">
        <w:rPr>
          <w:rFonts w:eastAsia="Times New Roman" w:cs="Times New Roman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9D0DC5" w:rsidRPr="008543EE" w:rsidTr="00AD4AA3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bookmarkStart w:id="0" w:name="OLE_LINK1"/>
            <w:r w:rsidRPr="008543EE">
              <w:rPr>
                <w:rFonts w:eastAsia="Times New Roman" w:cs="Times New Roman"/>
                <w:b/>
                <w:bCs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Vplyv na rozpočet verejnej správy (v eurách)</w:t>
            </w:r>
          </w:p>
        </w:tc>
      </w:tr>
      <w:tr w:rsidR="009D0DC5" w:rsidRPr="008543EE" w:rsidTr="00AD4AA3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9D0DC5" w:rsidRPr="008543EE" w:rsidRDefault="009D0DC5" w:rsidP="00237E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202</w:t>
            </w:r>
            <w:r w:rsidR="00237E43">
              <w:rPr>
                <w:rFonts w:eastAsia="Times New Roman" w:cs="Times New Roman"/>
                <w:b/>
                <w:bCs/>
                <w:lang w:eastAsia="sk-SK"/>
              </w:rPr>
              <w:t>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9D0DC5" w:rsidRPr="008543EE" w:rsidRDefault="009D0DC5" w:rsidP="00237E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20</w:t>
            </w:r>
            <w:r>
              <w:rPr>
                <w:rFonts w:eastAsia="Times New Roman" w:cs="Times New Roman"/>
                <w:b/>
                <w:bCs/>
                <w:lang w:eastAsia="sk-SK"/>
              </w:rPr>
              <w:t>2</w:t>
            </w:r>
            <w:r w:rsidR="00237E43">
              <w:rPr>
                <w:rFonts w:eastAsia="Times New Roman" w:cs="Times New Roman"/>
                <w:b/>
                <w:bCs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9D0DC5" w:rsidRPr="008543EE" w:rsidRDefault="009D0DC5" w:rsidP="00237E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202</w:t>
            </w:r>
            <w:r w:rsidR="00237E43">
              <w:rPr>
                <w:rFonts w:eastAsia="Times New Roman" w:cs="Times New Roman"/>
                <w:b/>
                <w:bCs/>
                <w:lang w:eastAsia="sk-SK"/>
              </w:rPr>
              <w:t>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9D0DC5" w:rsidRPr="008543EE" w:rsidRDefault="009D0DC5" w:rsidP="00237E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202</w:t>
            </w:r>
            <w:r w:rsidR="00237E43">
              <w:rPr>
                <w:rFonts w:eastAsia="Times New Roman" w:cs="Times New Roman"/>
                <w:b/>
                <w:bCs/>
                <w:lang w:eastAsia="sk-SK"/>
              </w:rPr>
              <w:t>4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9D0DC5" w:rsidRPr="008543EE" w:rsidRDefault="00237E43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*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9D0DC5" w:rsidRPr="008543EE" w:rsidRDefault="00237E43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*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*</w:t>
            </w:r>
          </w:p>
        </w:tc>
      </w:tr>
      <w:tr w:rsidR="009D0DC5" w:rsidRPr="008543EE" w:rsidTr="00AD4AA3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237E43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*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*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*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</w:p>
        </w:tc>
      </w:tr>
      <w:tr w:rsidR="009D0DC5" w:rsidRPr="008543EE" w:rsidTr="00AD4AA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9D0DC5" w:rsidRPr="008543EE" w:rsidTr="00AD4AA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ind w:left="259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Cs/>
                <w:i/>
                <w:iCs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</w:tr>
      <w:tr w:rsidR="009D0DC5" w:rsidRPr="008543EE" w:rsidTr="00AD4AA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ind w:left="259"/>
              <w:rPr>
                <w:rFonts w:eastAsia="Times New Roman" w:cs="Times New Roman"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Cs/>
                <w:i/>
                <w:iCs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</w:tr>
      <w:tr w:rsidR="009D0DC5" w:rsidRPr="008543EE" w:rsidTr="00AD4AA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</w:tr>
      <w:tr w:rsidR="009D0DC5" w:rsidRPr="008543EE" w:rsidTr="00AD4AA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9D0DC5" w:rsidRPr="008543EE" w:rsidTr="00AD4AA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</w:tr>
      <w:tr w:rsidR="009D0DC5" w:rsidRPr="008543EE" w:rsidTr="00AD4AA3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D0DC5" w:rsidRPr="008543EE" w:rsidRDefault="008850FD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*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D0DC5" w:rsidRPr="008543EE" w:rsidRDefault="008850FD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*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D0DC5" w:rsidRPr="008543EE" w:rsidRDefault="008850FD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*</w:t>
            </w:r>
            <w:r w:rsidR="009D0DC5" w:rsidRPr="008543EE">
              <w:rPr>
                <w:rFonts w:eastAsia="Times New Roman" w:cs="Times New Roman"/>
                <w:b/>
                <w:bCs/>
                <w:lang w:eastAsia="sk-SK"/>
              </w:rPr>
              <w:t xml:space="preserve">  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</w:tr>
      <w:tr w:rsidR="009D0DC5" w:rsidRPr="008543EE" w:rsidTr="00AD4AA3">
        <w:trPr>
          <w:trHeight w:val="166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AD4AA3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AD4AA3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AD4AA3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ind w:left="259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Cs/>
                <w:i/>
                <w:iCs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AD4AA3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AD4AA3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AD4AA3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Cs/>
                <w:i/>
                <w:iCs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Cs/>
                <w:i/>
                <w:iCs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</w:tr>
      <w:tr w:rsidR="009D0DC5" w:rsidRPr="008543EE" w:rsidTr="00AD4AA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</w:tr>
      <w:tr w:rsidR="009D0DC5" w:rsidRPr="008543EE" w:rsidTr="00AD4AA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AD4AA3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237E43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237E43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Cs/>
                <w:lang w:eastAsia="sk-SK"/>
              </w:rPr>
              <w:t>*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lang w:eastAsia="sk-SK"/>
              </w:rPr>
            </w:pPr>
            <w:r w:rsidRPr="008543EE">
              <w:rPr>
                <w:rFonts w:eastAsia="Times New Roman" w:cs="Times New Roman"/>
                <w:b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sk-SK"/>
              </w:rPr>
            </w:pPr>
            <w:r w:rsidRPr="008543EE">
              <w:rPr>
                <w:rFonts w:eastAsia="Times New Roman" w:cs="Times New Roman"/>
                <w:b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sk-SK"/>
              </w:rPr>
            </w:pPr>
            <w:r w:rsidRPr="008543EE">
              <w:rPr>
                <w:rFonts w:eastAsia="Times New Roman" w:cs="Times New Roman"/>
                <w:b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sk-SK"/>
              </w:rPr>
            </w:pPr>
            <w:r w:rsidRPr="008543EE">
              <w:rPr>
                <w:rFonts w:eastAsia="Times New Roman" w:cs="Times New Roman"/>
                <w:b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sk-SK"/>
              </w:rPr>
            </w:pPr>
            <w:r w:rsidRPr="008543EE">
              <w:rPr>
                <w:rFonts w:eastAsia="Times New Roman" w:cs="Times New Roman"/>
                <w:b/>
                <w:lang w:eastAsia="sk-SK"/>
              </w:rPr>
              <w:t>0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iCs/>
                <w:lang w:eastAsia="sk-SK"/>
              </w:rPr>
              <w:t>0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0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lang w:eastAsia="sk-SK"/>
              </w:rPr>
            </w:pPr>
            <w:r w:rsidRPr="008543EE">
              <w:rPr>
                <w:rFonts w:eastAsia="Times New Roman" w:cs="Times New Roman"/>
                <w:b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D0DC5" w:rsidRPr="008543EE" w:rsidRDefault="006D1098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*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D0DC5" w:rsidRPr="008543EE" w:rsidRDefault="006D1098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*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D0DC5" w:rsidRPr="008543EE" w:rsidRDefault="006D1098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>
              <w:rPr>
                <w:rFonts w:eastAsia="Times New Roman" w:cs="Times New Roman"/>
                <w:b/>
                <w:bCs/>
                <w:lang w:eastAsia="sk-SK"/>
              </w:rPr>
              <w:t>*</w:t>
            </w:r>
          </w:p>
        </w:tc>
      </w:tr>
      <w:tr w:rsidR="009D0DC5" w:rsidRPr="008543EE" w:rsidTr="00AD4AA3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</w:tr>
      <w:bookmarkEnd w:id="0"/>
    </w:tbl>
    <w:p w:rsidR="009D0DC5" w:rsidRPr="008543EE" w:rsidRDefault="009D0DC5" w:rsidP="009D0DC5">
      <w:pPr>
        <w:spacing w:after="0" w:line="240" w:lineRule="auto"/>
        <w:rPr>
          <w:rFonts w:eastAsia="Times New Roman" w:cs="Times New Roman"/>
          <w:b/>
          <w:bCs/>
          <w:lang w:eastAsia="sk-SK"/>
        </w:rPr>
      </w:pPr>
    </w:p>
    <w:p w:rsidR="009D0DC5" w:rsidRPr="008543EE" w:rsidRDefault="009D0DC5" w:rsidP="009D0DC5">
      <w:pPr>
        <w:rPr>
          <w:rFonts w:eastAsia="Times New Roman" w:cs="Times New Roman"/>
          <w:b/>
          <w:bCs/>
          <w:lang w:eastAsia="sk-SK"/>
        </w:rPr>
      </w:pPr>
      <w:r w:rsidRPr="008543EE">
        <w:rPr>
          <w:rFonts w:eastAsia="Times New Roman" w:cs="Times New Roman"/>
          <w:b/>
          <w:bCs/>
          <w:lang w:eastAsia="sk-SK"/>
        </w:rPr>
        <w:br w:type="page"/>
      </w:r>
    </w:p>
    <w:p w:rsidR="009D0DC5" w:rsidRPr="008543EE" w:rsidRDefault="009D0DC5" w:rsidP="009D0DC5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8543EE">
        <w:rPr>
          <w:rFonts w:eastAsia="Times New Roman" w:cs="Times New Roman"/>
          <w:b/>
          <w:bCs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9D0DC5" w:rsidRPr="008543EE" w:rsidRDefault="009D0DC5" w:rsidP="009D0DC5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</w:p>
    <w:p w:rsidR="009D0DC5" w:rsidRPr="008543EE" w:rsidRDefault="009D0DC5" w:rsidP="009D0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8543EE">
        <w:rPr>
          <w:rFonts w:eastAsia="Times New Roman" w:cs="Times New Roman"/>
          <w:bCs/>
          <w:lang w:eastAsia="sk-SK"/>
        </w:rPr>
        <w:t>Pozitívny vplyv na rozpočet verejnej správy (v objeme * eur, ktorý sa nedá dopredu vyčísliť) bude spočívať vo väčšej efektivite kontrol a predpokladanom náraste právoplatne uložených pokút za správne delikty aj priestupky. Minimálna výška sankcie pre právnické osoby a fyzické osoby – podnikateľov sa zvýšila z 99 eur na 300 eur a u fyzických osôb sa zvýšila zo 16 eur na 50 eur.</w:t>
      </w:r>
    </w:p>
    <w:p w:rsidR="009D0DC5" w:rsidRPr="008543EE" w:rsidRDefault="009D0DC5" w:rsidP="009D0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8543EE">
        <w:rPr>
          <w:rFonts w:eastAsia="Times New Roman" w:cs="Times New Roman"/>
          <w:bCs/>
          <w:lang w:eastAsia="sk-SK"/>
        </w:rPr>
        <w:t>Príjmovú časť verejných financií bude mať výber pokút orgánmi štátnej správy vykonávajúcej dohľad na úseku verejných vodovodov a verejných kanalizácií, ktoré budú príjmom štátneho rozpočtu Slovenskej republiky, za ostatné správne delikty a priestupky pokuty sú príjmom Environmentálneho fondu a  pokuty uložené obcou budú príjmom obce.</w:t>
      </w:r>
    </w:p>
    <w:p w:rsidR="009D0DC5" w:rsidRPr="008543EE" w:rsidRDefault="009D0DC5" w:rsidP="009D0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8543EE">
        <w:rPr>
          <w:rFonts w:eastAsia="Times New Roman" w:cs="Times New Roman"/>
          <w:bCs/>
          <w:lang w:eastAsia="sk-SK"/>
        </w:rPr>
        <w:t>V súčasnosti však nie je možné kvantifikovať a vyčísliť výšku predpokladaných pokút – preto nie je uvedená v tabuľke suma za jednotlivé roky (ale len označené *) .</w:t>
      </w:r>
    </w:p>
    <w:p w:rsidR="009D0DC5" w:rsidRPr="008543EE" w:rsidRDefault="009D0DC5" w:rsidP="009D0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8543EE">
        <w:rPr>
          <w:rFonts w:eastAsia="Times New Roman" w:cs="Times New Roman"/>
          <w:bCs/>
          <w:lang w:eastAsia="sk-SK"/>
        </w:rPr>
        <w:t xml:space="preserve"> </w:t>
      </w:r>
    </w:p>
    <w:p w:rsidR="009D0DC5" w:rsidRPr="008543EE" w:rsidRDefault="009D0DC5" w:rsidP="009D0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8543EE">
        <w:rPr>
          <w:rFonts w:eastAsia="Times New Roman" w:cs="Times New Roman"/>
          <w:bCs/>
          <w:lang w:eastAsia="sk-SK"/>
        </w:rPr>
        <w:t>Podľa vzoru iných kontrolných procesov sa príjmy z pokút (ako procesne uložených) stávajú príjmom orgánu, ktorý priamo proces (kontrolu) vykonáva.</w:t>
      </w:r>
    </w:p>
    <w:p w:rsidR="009D0DC5" w:rsidRPr="008543EE" w:rsidRDefault="009D0DC5" w:rsidP="009D0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8543EE">
        <w:rPr>
          <w:rFonts w:eastAsia="Times New Roman" w:cs="Times New Roman"/>
          <w:bCs/>
          <w:lang w:eastAsia="sk-SK"/>
        </w:rPr>
        <w:t>Pokuty za správne delikty budú príjmom štátneho rozpočtu.</w:t>
      </w:r>
    </w:p>
    <w:p w:rsidR="009D0DC5" w:rsidRPr="008543EE" w:rsidRDefault="009D0DC5" w:rsidP="009D0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:rsidR="00B5283B" w:rsidRPr="00237E43" w:rsidRDefault="009D0DC5" w:rsidP="009D0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r w:rsidRPr="008543EE">
        <w:t xml:space="preserve">Negatívny vplyv na rozpočet verejnej správy (obce, ktoré sú vlastníkmi verejných kanalizácií) </w:t>
      </w:r>
      <w:r w:rsidRPr="002E3416">
        <w:t>nie je možné kvalifikovane ani odhadnúť pre absenciu relevantných údajov, nakoľko nie je možné odh</w:t>
      </w:r>
      <w:r w:rsidRPr="008543EE">
        <w:t xml:space="preserve">adnúť počet nových žiadateľov o pripojenie sa na verejnú kanalizáciu (noví budúci producenti odpadových vôd, ktorým sa budú realizovať zaústenia kanalizačnej prípojky do verejnej kanalizácie).  Náklady na zaústenie kanalizačnej prípojky na verejnú kanalizáciu kolíšu rôzne v závislosti od miesta realizácie (napr. pod cestou 2. triedy), geologických pomerov, uloženia iných inžinierskych sietí a ďalších faktorov od cca 1 300 € (v menšej obci) do cca 5 000 € (napr. v Bratislave).Vlastníkmi verejných kanalizácií je aj 444 obcí, ktoré majú v správe spravidla menšie verejné kanalizácie s počtom obyvateľov pripojených na verejnú kanalizáciu 396 535 (vlastníkmi verejných kanalizácií sú </w:t>
      </w:r>
      <w:r w:rsidR="004F5C14">
        <w:t>najmä</w:t>
      </w:r>
      <w:r w:rsidRPr="008543EE">
        <w:t xml:space="preserve"> regionálne vodárenské spoločnosti, akciové spoločnosti – 14 veľkých spoločností, ktoré spravujú verejné kanalizácie v 667 obciach s počtom obyvateľov pripojených na verejnú kanalizáciu 3 206 582).  Náklady na zaústenie  sa tiež výrazne líšia v závislosti od miesta realizácie zaústenia, či je to mesto alebo obec, od triedy komunikácie, zemných prác, súvisiacich prác s odvezením výkopu na skládku, projektu dopravného značenia, samotné dopravné značenie, spätnej úpravy povrchu vo</w:t>
      </w:r>
      <w:r>
        <w:t>zovky, od miestnych poplatkov a pod.</w:t>
      </w:r>
      <w:r w:rsidRPr="008543EE">
        <w:t xml:space="preserve"> Miera pripojenia producentov na verejné kanalizácie je rôzna v rámci jednotlivých verejných kanalizácií. Je predpoklad, že najmä v aglomeráciách pod 2 000 ekvivalentných obyvateľov sa prevažne budú realizovať zaústenia tam, kde to bude technicky možné a kapacita verejnej kanalizácie to umožní, t. j. menšie obce. V aglomeráciách nad 2 000 ekvivalentných obyvateľov boli zaústenia (odbočenia) budované v rámci projektov spolufinancovaných z EÚ prostriedkov z operačných programov: OP Životné prostredie v rokoch 2007 – 2013 a od roku 2014 v rámc</w:t>
      </w:r>
      <w:r w:rsidR="004F5C14">
        <w:t xml:space="preserve">i OP Kvalita životné prostredia; </w:t>
      </w:r>
      <w:r w:rsidR="004F5C14" w:rsidRPr="00237E43">
        <w:t xml:space="preserve">zároveň aj v menších obciach pod 2 000 obyvateľov boli financované zaústenia (odbočenia) v rámci IROP </w:t>
      </w:r>
      <w:r w:rsidR="0031383D" w:rsidRPr="00237E43">
        <w:t xml:space="preserve">2014 – 2020 </w:t>
      </w:r>
      <w:r w:rsidR="004F5C14" w:rsidRPr="00237E43">
        <w:t>a Program</w:t>
      </w:r>
      <w:r w:rsidR="0031383D" w:rsidRPr="00237E43">
        <w:t>u</w:t>
      </w:r>
      <w:r w:rsidR="004F5C14" w:rsidRPr="00237E43">
        <w:t xml:space="preserve"> rozvoja vidieka a tiež aj u stavieb financovaných z Environmentálneho fondu.</w:t>
      </w:r>
      <w:r w:rsidRPr="00237E43">
        <w:t xml:space="preserve"> </w:t>
      </w:r>
    </w:p>
    <w:p w:rsidR="00A6118A" w:rsidRDefault="0082387C" w:rsidP="009D0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r w:rsidRPr="00237E43">
        <w:t>Úrad pre reguláciu sieťových odvetví na základe tohto návrhu zákona (vo vzťahu na zaústenie, ktoré má povinnosť zabezpečiť jeho vybudovanie vlastník verejnej kanalizácie) ide zaviesť v rámci pripravovanej Regulačnej politiky (ktorá má byť schválená do marca 2022) pripojovací poplatok, ktorý bude úrad regulovať. Podrobnosti o výpočte pripojovacieho poplatku budú uvedené vo vyhláške ÚRSO</w:t>
      </w:r>
      <w:r w:rsidR="008850FD" w:rsidRPr="00237E43">
        <w:t xml:space="preserve"> (ktorá nadobudne účinnosť od 1.1.2023, zverejnená bude na jeseň 2022) -</w:t>
      </w:r>
      <w:r w:rsidRPr="00237E43">
        <w:t xml:space="preserve"> (upravené v článku III návrhu zákona). Z uvedeného dôvodu sa posúva aj účinnosť povinnosti vlastníka verejnej kanalizácie - budovanie „zaústení“ kanalizačnej prípojky na verejnú kanalizáciu (§ 4 ods. 2 a súvisiace ustanovenia)– od 1.1.2023. Predpokladáme, že touto úpravou sa rozdelia náklady na zaústenie na verejnú kanalizáciu </w:t>
      </w:r>
      <w:r w:rsidRPr="00237E43">
        <w:lastRenderedPageBreak/>
        <w:t>medzi producenta a vlastníka verejnej kanalizácie.</w:t>
      </w:r>
      <w:r w:rsidR="008850FD" w:rsidRPr="00237E43">
        <w:t xml:space="preserve"> Tým bude aj menší dopad na vlastníkov verejnej kanalizácie.</w:t>
      </w:r>
      <w:r w:rsidR="00314560">
        <w:t xml:space="preserve"> </w:t>
      </w:r>
    </w:p>
    <w:p w:rsidR="00B5283B" w:rsidRPr="00A6118A" w:rsidRDefault="00314560" w:rsidP="00A611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r>
        <w:t xml:space="preserve">V SR je 460 obcí, ktoré majú verejnú kanalizáciu </w:t>
      </w:r>
      <w:r w:rsidR="004D0DB1">
        <w:t xml:space="preserve">(„VK“) </w:t>
      </w:r>
      <w:r>
        <w:t>vybudovanú, alebo čiastočne vybudovanú vo svojej správe a tam sú potrebné v niektorých prípadoch dobudovať zaústenia. Počet zaústení v </w:t>
      </w:r>
      <w:r w:rsidR="00C935A3">
        <w:t>pred</w:t>
      </w:r>
      <w:r>
        <w:t xml:space="preserve">metných </w:t>
      </w:r>
      <w:r w:rsidR="00C935A3">
        <w:t>obciach nie je celkom známy, i keď obce realizujú verejné kanalizácie za podpory Environmentálneho fondu („EF“), kde zaústenia (odbočky, resp. verejná časť kanalizačnej prípojky) boli budované v rámci stavby verejnej kanalizácie, a ak nie, tak obce môžu požiadať o podporu na budovanie zaústení, ak VK bola vybudovaná z prostriedkov EF.</w:t>
      </w:r>
      <w:r w:rsidR="00A6118A">
        <w:t xml:space="preserve"> 460 obcí * 2000,0 € * potenciálny počet zaústení = 920 000 € * </w:t>
      </w:r>
      <w:r w:rsidR="00A6118A" w:rsidRPr="00A6118A">
        <w:t>potenciálny počet zaústení</w:t>
      </w:r>
      <w:r w:rsidR="004D0DB1">
        <w:t xml:space="preserve"> (z toho vyplynie celkový náklad na budovanie zaústení)</w:t>
      </w:r>
      <w:r w:rsidR="00A6118A">
        <w:t xml:space="preserve">. </w:t>
      </w:r>
      <w:r w:rsidR="004D0DB1">
        <w:t>Potenciálny počet zaústení uvádzam</w:t>
      </w:r>
      <w:r w:rsidR="00326AF9">
        <w:t>e preto, že aj návrh zákona v § 42bc upravuje, že vlastník verejnej kanalizácie bude budovať len tie zaústenia, kde</w:t>
      </w:r>
      <w:r w:rsidR="00326AF9" w:rsidRPr="00326AF9">
        <w:t xml:space="preserve"> vlastník stavby alebo vlastník pozemku preukáže zriadenie kanalizačnej prípojky</w:t>
      </w:r>
      <w:r w:rsidR="00326AF9">
        <w:t xml:space="preserve"> (na svojom pozemku až po kanalizačnú revíznu šachtu – podľa podmienok prevádzkovateľa VK)</w:t>
      </w:r>
      <w:r w:rsidR="00326AF9" w:rsidRPr="00326AF9">
        <w:t>, ktorá spĺňa technické podmienky určené vlastníkom verejnej kanalizácie a je spôsobilá na pripojenie na zaústenie, a ak vlastník stavby alebo vlastník pozemku prejaví záujem dohodnúť sa na uzatvorení zmluvy o pripojení s vlastníkom verejnej kanalizácie k dátumu zriadenia zaústenia.</w:t>
      </w:r>
      <w:r w:rsidR="00331BCE">
        <w:t xml:space="preserve"> </w:t>
      </w:r>
      <w:r w:rsidR="00A6118A">
        <w:t>Je predpoklad, že v týchto obciach je väčšina zaústení vybudovaná, len nie sú reálne napojení producenti, ktorí si nevybudovali svoju časť kanalizačnej prípojky.</w:t>
      </w:r>
      <w:r w:rsidR="004D0DB1">
        <w:t xml:space="preserve"> To vidíme zo štatistického zisťovania, keď </w:t>
      </w:r>
      <w:r w:rsidR="004E1FAF">
        <w:t xml:space="preserve">napr. </w:t>
      </w:r>
      <w:r w:rsidR="004D0DB1">
        <w:t>VK je vybudovaná na 80 % celej obce, ale pripojených je len 45 % producentov</w:t>
      </w:r>
      <w:r w:rsidR="00761561">
        <w:t xml:space="preserve"> (avšak sú aj dobré príklady, keď VK je vybudovaná na 80% a pripojených je 78 % producentov)</w:t>
      </w:r>
      <w:r w:rsidR="004D0DB1">
        <w:t>.</w:t>
      </w:r>
    </w:p>
    <w:p w:rsidR="00314560" w:rsidRDefault="00314560" w:rsidP="009D0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</w:p>
    <w:p w:rsidR="009D0DC5" w:rsidRPr="00237E43" w:rsidRDefault="009D0DC5" w:rsidP="009D0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r w:rsidRPr="00237E43">
        <w:t xml:space="preserve">Pripojením nových producentov odpadových vôd na verejnú kanalizáciu sa dosiahne jej efektívne využitie </w:t>
      </w:r>
      <w:r w:rsidR="00B5283B" w:rsidRPr="00237E43">
        <w:t xml:space="preserve">(jednak stokovej siete aj ČOV) </w:t>
      </w:r>
      <w:r w:rsidRPr="00237E43">
        <w:t xml:space="preserve">a zvyčajne aj zlepšenie prevádzky na čistiarni odpadových vôd. Má to významný pozitívny vplyv na kvalitu podzemných a povrchových vôd v danej obci, oblasti, ak budú odpadové vody odvádzané stokovou sieťou a následne čistené v čistiarni odpadových vôd. V opačnom prípade, ak sa budú i naďalej </w:t>
      </w:r>
      <w:r w:rsidR="00471586" w:rsidRPr="00237E43">
        <w:t xml:space="preserve">občania </w:t>
      </w:r>
      <w:r w:rsidRPr="00237E43">
        <w:t>používať žumpy (často už netesné), bude ohrozovaná kvalita podzemných vôd, ktorú v menších obciach občania často využívajú na individuálne zásobovanie z vlastných domových studní.</w:t>
      </w:r>
    </w:p>
    <w:p w:rsidR="00AA25A4" w:rsidRPr="00237E43" w:rsidRDefault="00AA25A4" w:rsidP="009D0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</w:p>
    <w:p w:rsidR="00AA25A4" w:rsidRPr="008543EE" w:rsidRDefault="00EF42E3" w:rsidP="009D0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237E43">
        <w:t>Povinnosť v</w:t>
      </w:r>
      <w:r w:rsidR="00AA25A4" w:rsidRPr="00237E43">
        <w:t>ytvára</w:t>
      </w:r>
      <w:r w:rsidRPr="00237E43">
        <w:t>ť</w:t>
      </w:r>
      <w:r w:rsidR="00AA25A4" w:rsidRPr="00237E43">
        <w:t xml:space="preserve"> účelov</w:t>
      </w:r>
      <w:r w:rsidRPr="00237E43">
        <w:t>ú</w:t>
      </w:r>
      <w:r w:rsidR="00AA25A4" w:rsidRPr="00237E43">
        <w:t xml:space="preserve"> finančn</w:t>
      </w:r>
      <w:r w:rsidRPr="00237E43">
        <w:t>ú</w:t>
      </w:r>
      <w:r w:rsidR="00AA25A4" w:rsidRPr="00237E43">
        <w:t xml:space="preserve"> rezerv</w:t>
      </w:r>
      <w:r w:rsidRPr="00237E43">
        <w:t>u</w:t>
      </w:r>
      <w:r w:rsidR="00AA25A4" w:rsidRPr="00237E43">
        <w:t xml:space="preserve"> na obnovu verejných vodovodov a verejných kanalizácií, ktorá bude vytváraná z časti z uplatnených odpisov v rámci ceny schválenej/určenej ÚRSO za dodávku vody verejným vodovodom a ceny za odvádzanie verejnou kanalizáciou (vo výške 40 % z uplatnených odpisov)</w:t>
      </w:r>
      <w:r w:rsidRPr="00237E43">
        <w:t>,</w:t>
      </w:r>
      <w:r w:rsidR="00AA25A4" w:rsidRPr="00237E43">
        <w:t xml:space="preserve"> môže mať dopad na obce a mestá, ktoré sú vlastníkmi verejných vodovodov a/alebo verejných kanalizácií</w:t>
      </w:r>
      <w:r w:rsidR="005F5A35" w:rsidRPr="00237E43">
        <w:t xml:space="preserve"> (ďalej len „VV a VK“)</w:t>
      </w:r>
      <w:r w:rsidR="00AA25A4" w:rsidRPr="00237E43">
        <w:t>. Obce i napriek tomu, že si odpisy uplat</w:t>
      </w:r>
      <w:r w:rsidRPr="00237E43">
        <w:t>ňujú</w:t>
      </w:r>
      <w:r w:rsidR="00AA25A4" w:rsidRPr="00237E43">
        <w:t xml:space="preserve"> v cene, majú vypracovaný plán obnovy infraštrukturálneho majetku, avšak reálne nezabezpečovali obnovu existujúceho prevádzkovaného majetku, finančné  prostriedky z vody použili na iné účely v rámci obce. Takýmto prístupom chátra predmetný majetok  a je ohrozená bezpečná dodávka vody pre hromadné zásobovanie </w:t>
      </w:r>
      <w:r w:rsidRPr="00237E43">
        <w:t xml:space="preserve">obyvateľov </w:t>
      </w:r>
      <w:r w:rsidR="00AA25A4" w:rsidRPr="00237E43">
        <w:t xml:space="preserve">pitnou vodou a tiež aj ohrozené životné prostredie </w:t>
      </w:r>
      <w:r w:rsidRPr="00237E43">
        <w:t>(zlým až kritickým stavom niektorých verejných kanalizácií).</w:t>
      </w:r>
      <w:r w:rsidR="005F5A35" w:rsidRPr="00237E43">
        <w:t xml:space="preserve"> Nedá sa presne vyčísliť dopad, nakoľko každá obec , ktorá je vlastník VV a/alebo VK má iné jedinečné podmienky (podľa veku majetok VV a VK môže byť aj odpísaný, že u nevytvára odpisy; alebo časť je nová</w:t>
      </w:r>
      <w:r w:rsidR="00253CE4" w:rsidRPr="00237E43">
        <w:t xml:space="preserve"> vybudovaná z verejných prostriedkov a tam sú odpisy pri tvorbe ceny oprávnený ekonomický náklad</w:t>
      </w:r>
      <w:r w:rsidR="005F5A35" w:rsidRPr="00237E43">
        <w:t>)</w:t>
      </w:r>
      <w:r w:rsidR="00253CE4" w:rsidRPr="00237E43">
        <w:t>.</w:t>
      </w:r>
    </w:p>
    <w:p w:rsidR="009D0DC5" w:rsidRDefault="009D0DC5" w:rsidP="009D0D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eastAsia="sk-SK"/>
        </w:rPr>
      </w:pPr>
    </w:p>
    <w:p w:rsidR="00237E43" w:rsidRPr="00237E43" w:rsidRDefault="00237E43" w:rsidP="000563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 xml:space="preserve">Predmetný návrh bude mať negatívny dopad </w:t>
      </w:r>
      <w:r w:rsidRPr="00237E43">
        <w:rPr>
          <w:rFonts w:eastAsia="Times New Roman" w:cs="Times New Roman"/>
          <w:bCs/>
          <w:lang w:eastAsia="sk-SK"/>
        </w:rPr>
        <w:t xml:space="preserve">na </w:t>
      </w:r>
      <w:r>
        <w:rPr>
          <w:rFonts w:eastAsia="Times New Roman" w:cs="Times New Roman"/>
          <w:bCs/>
          <w:lang w:eastAsia="sk-SK"/>
        </w:rPr>
        <w:t>výdavky Ministerstva vnútra S</w:t>
      </w:r>
      <w:r w:rsidR="00AD4AA3">
        <w:rPr>
          <w:rFonts w:eastAsia="Times New Roman" w:cs="Times New Roman"/>
          <w:bCs/>
          <w:lang w:eastAsia="sk-SK"/>
        </w:rPr>
        <w:t>R</w:t>
      </w:r>
      <w:r>
        <w:rPr>
          <w:rFonts w:eastAsia="Times New Roman" w:cs="Times New Roman"/>
          <w:bCs/>
          <w:lang w:eastAsia="sk-SK"/>
        </w:rPr>
        <w:t xml:space="preserve"> vo vzťahu na </w:t>
      </w:r>
      <w:r w:rsidR="00AD4AA3">
        <w:rPr>
          <w:rFonts w:eastAsia="Times New Roman" w:cs="Times New Roman"/>
          <w:bCs/>
          <w:lang w:eastAsia="sk-SK"/>
        </w:rPr>
        <w:t>navrhovaný § 17 ods. 1 písm.</w:t>
      </w:r>
      <w:r w:rsidR="00C1538F">
        <w:rPr>
          <w:rFonts w:eastAsia="Times New Roman" w:cs="Times New Roman"/>
          <w:bCs/>
          <w:lang w:eastAsia="sk-SK"/>
        </w:rPr>
        <w:t xml:space="preserve"> </w:t>
      </w:r>
      <w:r w:rsidR="00AD4AA3">
        <w:rPr>
          <w:rFonts w:eastAsia="Times New Roman" w:cs="Times New Roman"/>
          <w:bCs/>
          <w:lang w:eastAsia="sk-SK"/>
        </w:rPr>
        <w:t xml:space="preserve">f) „Prevádzkovateľ verejného vodovodu je povinný umožniť </w:t>
      </w:r>
      <w:r w:rsidR="00C1538F">
        <w:rPr>
          <w:rFonts w:eastAsia="Times New Roman" w:cs="Times New Roman"/>
          <w:bCs/>
          <w:lang w:eastAsia="sk-SK"/>
        </w:rPr>
        <w:t xml:space="preserve">odber vody hasičským jednotkám pri požiarnom zásahu za odplatu“ pre HaZZ. Tento princíp vychádza z požiadaviek rámcovej smernice o vode – za vodohospodárske služby sa platí (ktorá je transformovaná do ustanovení vodného zákona a jeho vykonávacích predpisov), t. j za odber vody z verejného vodovodu </w:t>
      </w:r>
      <w:r w:rsidR="0011491D">
        <w:rPr>
          <w:rFonts w:eastAsia="Times New Roman" w:cs="Times New Roman"/>
          <w:bCs/>
          <w:lang w:eastAsia="sk-SK"/>
        </w:rPr>
        <w:t>(</w:t>
      </w:r>
      <w:r w:rsidR="00C1538F">
        <w:rPr>
          <w:rFonts w:eastAsia="Times New Roman" w:cs="Times New Roman"/>
          <w:bCs/>
          <w:lang w:eastAsia="sk-SK"/>
        </w:rPr>
        <w:t>pre účely hasenia požiarov</w:t>
      </w:r>
      <w:r w:rsidR="0011491D">
        <w:rPr>
          <w:rFonts w:eastAsia="Times New Roman" w:cs="Times New Roman"/>
          <w:bCs/>
          <w:lang w:eastAsia="sk-SK"/>
        </w:rPr>
        <w:t>,</w:t>
      </w:r>
      <w:r w:rsidR="00C1538F">
        <w:rPr>
          <w:rFonts w:eastAsia="Times New Roman" w:cs="Times New Roman"/>
          <w:bCs/>
          <w:lang w:eastAsia="sk-SK"/>
        </w:rPr>
        <w:t xml:space="preserve"> napúšťanie nádrží  na potenciálne hasenie, cvičenia a pod.). Tieto výdavky majú</w:t>
      </w:r>
      <w:r w:rsidR="00C1538F" w:rsidRPr="00C1538F">
        <w:rPr>
          <w:rFonts w:eastAsia="Times New Roman" w:cs="Times New Roman"/>
          <w:bCs/>
          <w:lang w:eastAsia="sk-SK"/>
        </w:rPr>
        <w:t xml:space="preserve"> negatívny dopad na rozpočet Ministerstva vnútra Slovenskej republiky</w:t>
      </w:r>
      <w:r w:rsidR="00C1538F">
        <w:rPr>
          <w:rFonts w:eastAsia="Times New Roman" w:cs="Times New Roman"/>
          <w:bCs/>
          <w:lang w:eastAsia="sk-SK"/>
        </w:rPr>
        <w:t>,</w:t>
      </w:r>
      <w:r w:rsidR="00C1538F" w:rsidRPr="00C1538F">
        <w:rPr>
          <w:rFonts w:eastAsia="Times New Roman" w:cs="Times New Roman"/>
          <w:bCs/>
          <w:lang w:eastAsia="sk-SK"/>
        </w:rPr>
        <w:t xml:space="preserve"> </w:t>
      </w:r>
      <w:r w:rsidR="00C1538F">
        <w:rPr>
          <w:rFonts w:eastAsia="Times New Roman" w:cs="Times New Roman"/>
          <w:bCs/>
          <w:lang w:eastAsia="sk-SK"/>
        </w:rPr>
        <w:t>z uvedeného dôvodu bude potrebné</w:t>
      </w:r>
      <w:r w:rsidR="00C1538F" w:rsidRPr="00C1538F">
        <w:rPr>
          <w:rFonts w:eastAsia="Times New Roman" w:cs="Times New Roman"/>
          <w:bCs/>
          <w:lang w:eastAsia="sk-SK"/>
        </w:rPr>
        <w:t xml:space="preserve"> zvýšiť rozpočtové výdavky kapitoly Ministerstva vnútra Slovenskej republiky o tieto rozpočtovo nekryté finančné prostriedky.</w:t>
      </w:r>
      <w:r w:rsidR="00AD0733">
        <w:rPr>
          <w:rFonts w:eastAsia="Times New Roman" w:cs="Times New Roman"/>
          <w:bCs/>
          <w:lang w:eastAsia="sk-SK"/>
        </w:rPr>
        <w:t xml:space="preserve"> Predpokladané výdavky </w:t>
      </w:r>
      <w:r w:rsidR="00C60193">
        <w:rPr>
          <w:rFonts w:eastAsia="Times New Roman" w:cs="Times New Roman"/>
          <w:bCs/>
          <w:lang w:eastAsia="sk-SK"/>
        </w:rPr>
        <w:t xml:space="preserve">nie </w:t>
      </w:r>
      <w:r w:rsidR="004D0ED9">
        <w:rPr>
          <w:rFonts w:eastAsia="Times New Roman" w:cs="Times New Roman"/>
          <w:bCs/>
          <w:lang w:eastAsia="sk-SK"/>
        </w:rPr>
        <w:t>sú stanovené.</w:t>
      </w: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b/>
          <w:bCs/>
          <w:lang w:eastAsia="sk-SK"/>
        </w:rPr>
      </w:pP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b/>
          <w:bCs/>
          <w:lang w:eastAsia="sk-SK"/>
        </w:rPr>
      </w:pPr>
      <w:r w:rsidRPr="008543EE">
        <w:rPr>
          <w:rFonts w:eastAsia="Times New Roman" w:cs="Times New Roman"/>
          <w:b/>
          <w:bCs/>
          <w:lang w:eastAsia="sk-SK"/>
        </w:rPr>
        <w:t>2.2. Popis a charakteristika návrhu</w:t>
      </w: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lang w:eastAsia="sk-SK"/>
        </w:rPr>
      </w:pPr>
    </w:p>
    <w:p w:rsidR="009D0DC5" w:rsidRPr="008543EE" w:rsidRDefault="009D0DC5" w:rsidP="009D0DC5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8543EE">
        <w:rPr>
          <w:rFonts w:eastAsia="Times New Roman" w:cs="Times New Roman"/>
          <w:b/>
          <w:bCs/>
          <w:lang w:eastAsia="sk-SK"/>
        </w:rPr>
        <w:t>2.2.1. Popis návrhu:</w:t>
      </w:r>
    </w:p>
    <w:p w:rsidR="009D0DC5" w:rsidRPr="008543EE" w:rsidRDefault="009D0DC5" w:rsidP="009D0DC5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</w:p>
    <w:p w:rsidR="009D0DC5" w:rsidRPr="008543EE" w:rsidRDefault="009D0DC5" w:rsidP="009D0DC5">
      <w:pPr>
        <w:spacing w:after="0" w:line="240" w:lineRule="auto"/>
        <w:ind w:firstLine="708"/>
        <w:jc w:val="both"/>
        <w:rPr>
          <w:rFonts w:eastAsia="Times New Roman" w:cs="Times New Roman"/>
          <w:lang w:eastAsia="sk-SK"/>
        </w:rPr>
      </w:pPr>
      <w:r w:rsidRPr="008543EE">
        <w:rPr>
          <w:rFonts w:eastAsia="Times New Roman" w:cs="Times New Roman"/>
          <w:lang w:eastAsia="sk-SK"/>
        </w:rPr>
        <w:t>Akú problematiku návrh rieši? Kto bude návrh implementovať? Kde sa budú služby poskytovať?</w:t>
      </w: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lang w:eastAsia="sk-SK"/>
        </w:rPr>
      </w:pPr>
    </w:p>
    <w:p w:rsidR="009D0DC5" w:rsidRPr="008543EE" w:rsidRDefault="009D0DC5" w:rsidP="009D0DC5">
      <w:pPr>
        <w:rPr>
          <w:i/>
        </w:rPr>
      </w:pPr>
      <w:r w:rsidRPr="008543EE">
        <w:rPr>
          <w:i/>
        </w:rPr>
        <w:t>Uveďte hlavné ciele navrhovaného predpisu (aký výsledný stav chcete reguláciou dosiahnuť).</w:t>
      </w:r>
    </w:p>
    <w:p w:rsidR="009D0DC5" w:rsidRPr="00637EAD" w:rsidRDefault="009D0DC5" w:rsidP="009D0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8543EE">
        <w:rPr>
          <w:rFonts w:ascii="Times New Roman" w:eastAsia="Times New Roman" w:hAnsi="Times New Roman" w:cs="Times New Roman"/>
          <w:bCs/>
          <w:lang w:eastAsia="sk-SK"/>
        </w:rPr>
        <w:t xml:space="preserve">Cieľom </w:t>
      </w:r>
      <w:r w:rsidR="006D4C3B">
        <w:rPr>
          <w:rFonts w:ascii="Times New Roman" w:hAnsi="Times New Roman" w:cs="Times New Roman"/>
        </w:rPr>
        <w:t>n</w:t>
      </w:r>
      <w:r w:rsidR="006D4C3B" w:rsidRPr="006D4C3B">
        <w:rPr>
          <w:rFonts w:ascii="Times New Roman" w:hAnsi="Times New Roman" w:cs="Times New Roman"/>
        </w:rPr>
        <w:t>ávrh</w:t>
      </w:r>
      <w:r w:rsidR="006D4C3B">
        <w:rPr>
          <w:rFonts w:ascii="Times New Roman" w:hAnsi="Times New Roman" w:cs="Times New Roman"/>
        </w:rPr>
        <w:t>u</w:t>
      </w:r>
      <w:r w:rsidR="006D4C3B" w:rsidRPr="006D4C3B">
        <w:rPr>
          <w:rFonts w:ascii="Times New Roman" w:hAnsi="Times New Roman" w:cs="Times New Roman"/>
        </w:rPr>
        <w:t xml:space="preserve"> zákona, ktorým sa mení a dopĺňa zákon č. 442/2002 Z. z. o verejných vodovodoch a verejných kanalizáciách a o zmene a doplnení zákona č. 276/2001 Z. z. o regulácii v sieťových odvetviach v znení neskorších predpisov a ktorým sa menia a dopĺňajú niektoré zákony</w:t>
      </w:r>
      <w:r w:rsidRPr="006D4C3B">
        <w:rPr>
          <w:rFonts w:ascii="Times New Roman" w:eastAsia="Times New Roman" w:hAnsi="Times New Roman" w:cs="Times New Roman"/>
          <w:bCs/>
          <w:lang w:eastAsia="sk-SK"/>
        </w:rPr>
        <w:t xml:space="preserve"> je</w:t>
      </w:r>
      <w:r w:rsidRPr="008543EE">
        <w:rPr>
          <w:rFonts w:ascii="Times New Roman" w:eastAsia="Times New Roman" w:hAnsi="Times New Roman" w:cs="Times New Roman"/>
          <w:bCs/>
          <w:lang w:eastAsia="sk-SK"/>
        </w:rPr>
        <w:t xml:space="preserve"> zjednodušiť postup v konaní o určení pásiem ochrany vodovodných potrubí verejných vodovodov a stokovej siete verejných kanalizácií mimo zastavaného územia obcí. Do zákona o verejných vodovodoch a verejných kanalizáciách sa dopĺňajú ustanovenia o hygienickom pásme ochrany čistiarne odpadových vôd, t. j. o najmenšej vzdialenosti ČOV od bytovej zástavby tak, aby zápach z nej neznepríjemňoval občanov bývajúcich v</w:t>
      </w:r>
      <w:r w:rsidR="00212179">
        <w:rPr>
          <w:rFonts w:ascii="Times New Roman" w:eastAsia="Times New Roman" w:hAnsi="Times New Roman" w:cs="Times New Roman"/>
          <w:bCs/>
          <w:lang w:eastAsia="sk-SK"/>
        </w:rPr>
        <w:t> </w:t>
      </w:r>
      <w:r w:rsidRPr="008543EE">
        <w:rPr>
          <w:rFonts w:ascii="Times New Roman" w:eastAsia="Times New Roman" w:hAnsi="Times New Roman" w:cs="Times New Roman"/>
          <w:bCs/>
          <w:lang w:eastAsia="sk-SK"/>
        </w:rPr>
        <w:t>okolí</w:t>
      </w:r>
      <w:r w:rsidR="00212179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="00212179" w:rsidRPr="00637EAD">
        <w:rPr>
          <w:rFonts w:ascii="Times New Roman" w:eastAsia="Times New Roman" w:hAnsi="Times New Roman" w:cs="Times New Roman"/>
          <w:bCs/>
          <w:lang w:eastAsia="sk-SK"/>
        </w:rPr>
        <w:t>a následne aby občania (resp. i zastupiteľstvo obce) nevyvíjalo tlak na vlastníka ČOV, aby urobil technické opatrenia na samotnej ČOV na zmiernenie šírenia záp</w:t>
      </w:r>
      <w:r w:rsidR="00260C13" w:rsidRPr="00637EAD">
        <w:rPr>
          <w:rFonts w:ascii="Times New Roman" w:eastAsia="Times New Roman" w:hAnsi="Times New Roman" w:cs="Times New Roman"/>
          <w:bCs/>
          <w:lang w:eastAsia="sk-SK"/>
        </w:rPr>
        <w:t xml:space="preserve">achu (ktoré predstavujú nemalé investičné </w:t>
      </w:r>
      <w:r w:rsidR="00212179" w:rsidRPr="00637EAD">
        <w:rPr>
          <w:rFonts w:ascii="Times New Roman" w:eastAsia="Times New Roman" w:hAnsi="Times New Roman" w:cs="Times New Roman"/>
          <w:bCs/>
          <w:lang w:eastAsia="sk-SK"/>
        </w:rPr>
        <w:t>náklady)</w:t>
      </w:r>
      <w:r w:rsidRPr="00637EAD">
        <w:rPr>
          <w:rFonts w:ascii="Times New Roman" w:eastAsia="Times New Roman" w:hAnsi="Times New Roman" w:cs="Times New Roman"/>
          <w:bCs/>
          <w:lang w:eastAsia="sk-SK"/>
        </w:rPr>
        <w:t xml:space="preserve">. </w:t>
      </w:r>
    </w:p>
    <w:p w:rsidR="009D0DC5" w:rsidRPr="002D2423" w:rsidRDefault="009D0DC5" w:rsidP="009D0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2D2423">
        <w:rPr>
          <w:rFonts w:ascii="Times New Roman" w:eastAsia="Times New Roman" w:hAnsi="Times New Roman" w:cs="Times New Roman"/>
          <w:bCs/>
          <w:lang w:eastAsia="sk-SK"/>
        </w:rPr>
        <w:t xml:space="preserve">Návrhom sa </w:t>
      </w:r>
      <w:r w:rsidR="00595136">
        <w:rPr>
          <w:rFonts w:ascii="Times New Roman" w:eastAsia="Times New Roman" w:hAnsi="Times New Roman" w:cs="Times New Roman"/>
          <w:bCs/>
          <w:lang w:eastAsia="sk-SK"/>
        </w:rPr>
        <w:t xml:space="preserve">čiastočne </w:t>
      </w:r>
      <w:r w:rsidRPr="002D2423">
        <w:rPr>
          <w:rFonts w:ascii="Times New Roman" w:eastAsia="Times New Roman" w:hAnsi="Times New Roman" w:cs="Times New Roman"/>
          <w:bCs/>
          <w:lang w:eastAsia="sk-SK"/>
        </w:rPr>
        <w:t xml:space="preserve">mení doterajší režim vlastníckeho práva k verejným vodovodom a verejným kanalizáciám tak, aby od nadobudnutia účinnosti návrhu zákona vlastníkom tejto vodárenskej infraštruktúry mohli byť len obce alebo mestá, prípadne ich združenia a právnické osoby, na ktorých podnikaní sa majetkovou účasťou podieľajú obce alebo združenia obcí, ako tzv. subjekty verejného práva pôsobiace vo verejnom záujme. V prípade uvedených právnických osôb </w:t>
      </w:r>
      <w:r>
        <w:rPr>
          <w:rFonts w:ascii="Times New Roman" w:eastAsia="Times New Roman" w:hAnsi="Times New Roman" w:cs="Times New Roman"/>
          <w:bCs/>
          <w:lang w:eastAsia="sk-SK"/>
        </w:rPr>
        <w:t>ide</w:t>
      </w:r>
      <w:r w:rsidRPr="002D2423">
        <w:rPr>
          <w:rFonts w:ascii="Times New Roman" w:eastAsia="Times New Roman" w:hAnsi="Times New Roman" w:cs="Times New Roman"/>
          <w:bCs/>
          <w:lang w:eastAsia="sk-SK"/>
        </w:rPr>
        <w:t xml:space="preserve"> o vodárenské spoločnosti, zriadené podľa osobitného predpisu (najmä regionálne akciové vodárenské spoločnosti, ktoré vznikli ako nástupnícke spoločnosti po transformácii štátnych podnikov vodární a kanalizácií v rokoch 20</w:t>
      </w:r>
      <w:r>
        <w:rPr>
          <w:rFonts w:ascii="Times New Roman" w:eastAsia="Times New Roman" w:hAnsi="Times New Roman" w:cs="Times New Roman"/>
          <w:bCs/>
          <w:lang w:eastAsia="sk-SK"/>
        </w:rPr>
        <w:t>02</w:t>
      </w:r>
      <w:r w:rsidRPr="002D2423">
        <w:rPr>
          <w:rFonts w:ascii="Times New Roman" w:eastAsia="Times New Roman" w:hAnsi="Times New Roman" w:cs="Times New Roman"/>
          <w:bCs/>
          <w:lang w:eastAsia="sk-SK"/>
        </w:rPr>
        <w:t xml:space="preserve"> a 2003, v ktorých akcionármi sú obce a mestá), pôsobiace v rámci svojej územnej pôsobnosti v Slovenskej republike.</w:t>
      </w:r>
    </w:p>
    <w:p w:rsidR="009D0DC5" w:rsidRPr="008543EE" w:rsidRDefault="009D0DC5" w:rsidP="009D0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:rsidR="009D0DC5" w:rsidRDefault="009D0DC5" w:rsidP="009D0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8543EE">
        <w:rPr>
          <w:rFonts w:ascii="Times New Roman" w:eastAsia="Times New Roman" w:hAnsi="Times New Roman" w:cs="Times New Roman"/>
          <w:bCs/>
          <w:lang w:eastAsia="sk-SK"/>
        </w:rPr>
        <w:t xml:space="preserve">Cieľom návrhu zákona, ktorým sa mení a dopĺňa zákon č. 364/2004 Z. z. o vodách a o zmene zákona Slovenskej národnej rady č. 372/1990 Zb. o priestupkoch v znení neskorších predpisov (vodný zákon) v znení neskorších predpisov je úprava niektorých ustanovení zákona, ktorá vyplynula z aplikačnej praxe a potreby zmeny pre stanovenie pásiem ochrany vodovodného potrubia verejného vodovodu a stokovej siete verejnej kanalizácie, zjednodušiť postup v konaní o určení pásiem ochrany mimo zastavaného územia obcí. </w:t>
      </w:r>
    </w:p>
    <w:p w:rsidR="009D0DC5" w:rsidRDefault="009D0DC5" w:rsidP="009D0DC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D2423">
        <w:rPr>
          <w:rFonts w:ascii="Times New Roman" w:eastAsia="Times New Roman" w:hAnsi="Times New Roman"/>
        </w:rPr>
        <w:t xml:space="preserve">Dopĺňajú sa ustanovenia v súvislosti s dosahovaním environmentálnych cieľov vo väzbe na zrušenie povolenia na osobitné užívanie vôd. Precizuje a zjednodušuje sa postup orgánov štátnej vodnej správy pri uplatňovaní </w:t>
      </w:r>
      <w:r w:rsidR="001911DA">
        <w:rPr>
          <w:rFonts w:ascii="Times New Roman" w:eastAsia="Times New Roman" w:hAnsi="Times New Roman"/>
        </w:rPr>
        <w:t>výnimky</w:t>
      </w:r>
      <w:r w:rsidRPr="002D2423">
        <w:rPr>
          <w:rFonts w:ascii="Times New Roman" w:eastAsia="Times New Roman" w:hAnsi="Times New Roman"/>
        </w:rPr>
        <w:t xml:space="preserve"> </w:t>
      </w:r>
      <w:r w:rsidR="001911DA">
        <w:rPr>
          <w:rFonts w:ascii="Times New Roman" w:eastAsia="Times New Roman" w:hAnsi="Times New Roman"/>
        </w:rPr>
        <w:t>podľa § 16a vodného zákona</w:t>
      </w:r>
      <w:r w:rsidRPr="002D2423">
        <w:rPr>
          <w:rFonts w:ascii="Times New Roman" w:eastAsia="Times New Roman" w:hAnsi="Times New Roman"/>
        </w:rPr>
        <w:t>.</w:t>
      </w:r>
    </w:p>
    <w:p w:rsidR="009D0DC5" w:rsidRDefault="009D0DC5" w:rsidP="009D0DC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D0DC5" w:rsidRPr="002D2423" w:rsidRDefault="009D0DC5" w:rsidP="009D0DC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</w:t>
      </w:r>
      <w:r w:rsidRPr="002A2EF4">
        <w:rPr>
          <w:rFonts w:ascii="Times New Roman" w:eastAsia="Times New Roman" w:hAnsi="Times New Roman"/>
        </w:rPr>
        <w:t>opĺňa</w:t>
      </w:r>
      <w:r w:rsidR="00885E9B">
        <w:rPr>
          <w:rFonts w:ascii="Times New Roman" w:eastAsia="Times New Roman" w:hAnsi="Times New Roman"/>
        </w:rPr>
        <w:t xml:space="preserve">jú sa povinnosti pre vlastníka verejného vodovodu a vlastníka verejnej kanalizácie </w:t>
      </w:r>
      <w:r w:rsidRPr="002A2EF4">
        <w:rPr>
          <w:rFonts w:ascii="Times New Roman" w:eastAsia="Times New Roman" w:hAnsi="Times New Roman"/>
        </w:rPr>
        <w:t xml:space="preserve"> z dôvodu prístupu verejnosti k informáciám o nakladaní s majetkom týkajúcim sa verejných vodovodov a verejných kanalizácií a uloženia povinnosti ich vlastníkov informovať na svojom webovom sídle o vybraných ekonomických a hospodárskych aspektoch</w:t>
      </w:r>
      <w:r w:rsidR="00491A19">
        <w:rPr>
          <w:rFonts w:ascii="Times New Roman" w:eastAsia="Times New Roman" w:hAnsi="Times New Roman"/>
        </w:rPr>
        <w:t>,</w:t>
      </w:r>
      <w:r w:rsidRPr="002A2EF4">
        <w:rPr>
          <w:rFonts w:ascii="Times New Roman" w:eastAsia="Times New Roman" w:hAnsi="Times New Roman"/>
        </w:rPr>
        <w:t xml:space="preserve"> týkajúcich sa verejných vodovodov a verejných kanalizácií</w:t>
      </w:r>
      <w:r w:rsidR="00491A19">
        <w:rPr>
          <w:rFonts w:ascii="Times New Roman" w:eastAsia="Times New Roman" w:hAnsi="Times New Roman"/>
        </w:rPr>
        <w:t>, o použití prostriedkov na investičnú výstavbu a na obnovu</w:t>
      </w:r>
      <w:r w:rsidRPr="002A2EF4">
        <w:rPr>
          <w:rFonts w:ascii="Times New Roman" w:eastAsia="Times New Roman" w:hAnsi="Times New Roman"/>
        </w:rPr>
        <w:t>. Z dôvodu, že verejné vodovody a verejné kanalizácie sa zriaďujú a prevádzkujú vo verejnom záujme podľa § 3 ods. 1 zákona č. 442/2002 Z. z. v platnom znení.</w:t>
      </w:r>
    </w:p>
    <w:p w:rsidR="009D0DC5" w:rsidRPr="002D2423" w:rsidRDefault="009D0DC5" w:rsidP="009D0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:rsidR="009D0DC5" w:rsidRPr="008543EE" w:rsidRDefault="009D0DC5" w:rsidP="009D0DC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sk-SK"/>
        </w:rPr>
      </w:pPr>
    </w:p>
    <w:p w:rsidR="009D0DC5" w:rsidRPr="008543EE" w:rsidRDefault="009D0DC5" w:rsidP="009D0DC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sk-SK"/>
        </w:rPr>
      </w:pP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lang w:eastAsia="sk-SK"/>
        </w:rPr>
      </w:pP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b/>
          <w:bCs/>
          <w:lang w:eastAsia="sk-SK"/>
        </w:rPr>
      </w:pPr>
      <w:r w:rsidRPr="008543EE">
        <w:rPr>
          <w:rFonts w:eastAsia="Times New Roman" w:cs="Times New Roman"/>
          <w:b/>
          <w:bCs/>
          <w:lang w:eastAsia="sk-SK"/>
        </w:rPr>
        <w:t>2.2.2. Charakteristika návrhu:</w:t>
      </w: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lang w:eastAsia="sk-SK"/>
        </w:rPr>
      </w:pP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lang w:eastAsia="sk-SK"/>
        </w:rPr>
      </w:pPr>
      <w:r w:rsidRPr="008543EE">
        <w:rPr>
          <w:rFonts w:eastAsia="Times New Roman" w:cs="Times New Roman"/>
          <w:b/>
          <w:bdr w:val="single" w:sz="4" w:space="0" w:color="auto"/>
          <w:lang w:eastAsia="sk-SK"/>
        </w:rPr>
        <w:t xml:space="preserve">     </w:t>
      </w:r>
      <w:r w:rsidRPr="008543EE">
        <w:rPr>
          <w:rFonts w:eastAsia="Times New Roman" w:cs="Times New Roman"/>
          <w:b/>
          <w:lang w:eastAsia="sk-SK"/>
        </w:rPr>
        <w:t xml:space="preserve">  </w:t>
      </w:r>
      <w:r w:rsidRPr="008543EE">
        <w:rPr>
          <w:rFonts w:eastAsia="Times New Roman" w:cs="Times New Roman"/>
          <w:lang w:eastAsia="sk-SK"/>
        </w:rPr>
        <w:t>zmena sadzby</w:t>
      </w: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lang w:eastAsia="sk-SK"/>
        </w:rPr>
      </w:pPr>
      <w:r w:rsidRPr="008543EE">
        <w:rPr>
          <w:rFonts w:eastAsia="Times New Roman" w:cs="Times New Roman"/>
          <w:bdr w:val="single" w:sz="4" w:space="0" w:color="auto"/>
          <w:lang w:eastAsia="sk-SK"/>
        </w:rPr>
        <w:t xml:space="preserve">     </w:t>
      </w:r>
      <w:r w:rsidRPr="008543EE">
        <w:rPr>
          <w:rFonts w:eastAsia="Times New Roman" w:cs="Times New Roman"/>
          <w:lang w:eastAsia="sk-SK"/>
        </w:rPr>
        <w:t xml:space="preserve">  zmena v nároku</w:t>
      </w: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lang w:eastAsia="sk-SK"/>
        </w:rPr>
      </w:pPr>
      <w:r w:rsidRPr="008543EE">
        <w:rPr>
          <w:rFonts w:eastAsia="Times New Roman" w:cs="Times New Roman"/>
          <w:bdr w:val="single" w:sz="4" w:space="0" w:color="auto"/>
          <w:lang w:eastAsia="sk-SK"/>
        </w:rPr>
        <w:lastRenderedPageBreak/>
        <w:t xml:space="preserve">     </w:t>
      </w:r>
      <w:r w:rsidRPr="008543EE">
        <w:rPr>
          <w:rFonts w:eastAsia="Times New Roman" w:cs="Times New Roman"/>
          <w:lang w:eastAsia="sk-SK"/>
        </w:rPr>
        <w:t xml:space="preserve">  nová služba alebo nariadenie (alebo ich zrušenie)</w:t>
      </w: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lang w:eastAsia="sk-SK"/>
        </w:rPr>
      </w:pPr>
      <w:r w:rsidRPr="008543EE">
        <w:rPr>
          <w:rFonts w:eastAsia="Times New Roman" w:cs="Times New Roman"/>
          <w:bdr w:val="single" w:sz="4" w:space="0" w:color="auto"/>
          <w:lang w:eastAsia="sk-SK"/>
        </w:rPr>
        <w:t xml:space="preserve">     </w:t>
      </w:r>
      <w:r w:rsidRPr="008543EE">
        <w:rPr>
          <w:rFonts w:eastAsia="Times New Roman" w:cs="Times New Roman"/>
          <w:lang w:eastAsia="sk-SK"/>
        </w:rPr>
        <w:t xml:space="preserve">  kombinovaný návrh</w:t>
      </w: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lang w:eastAsia="sk-SK"/>
        </w:rPr>
      </w:pPr>
      <w:r w:rsidRPr="008543EE">
        <w:rPr>
          <w:rFonts w:eastAsia="Times New Roman" w:cs="Times New Roman"/>
          <w:bdr w:val="single" w:sz="4" w:space="0" w:color="auto"/>
          <w:lang w:eastAsia="sk-SK"/>
        </w:rPr>
        <w:t xml:space="preserve">     </w:t>
      </w:r>
      <w:r w:rsidRPr="008543EE">
        <w:rPr>
          <w:rFonts w:eastAsia="Times New Roman" w:cs="Times New Roman"/>
          <w:lang w:eastAsia="sk-SK"/>
        </w:rPr>
        <w:t xml:space="preserve">  iné </w:t>
      </w: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lang w:eastAsia="sk-SK"/>
        </w:rPr>
      </w:pP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lang w:eastAsia="sk-SK"/>
        </w:rPr>
      </w:pP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lang w:eastAsia="sk-SK"/>
        </w:rPr>
      </w:pPr>
      <w:r w:rsidRPr="008543EE">
        <w:rPr>
          <w:rFonts w:eastAsia="Times New Roman" w:cs="Times New Roman"/>
          <w:b/>
          <w:bCs/>
          <w:lang w:eastAsia="sk-SK"/>
        </w:rPr>
        <w:t>2.2.3. Predpoklady vývoja objemu aktivít:</w:t>
      </w: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lang w:eastAsia="sk-SK"/>
        </w:rPr>
      </w:pPr>
    </w:p>
    <w:p w:rsidR="009D0DC5" w:rsidRPr="008543EE" w:rsidRDefault="009D0DC5" w:rsidP="009D0DC5">
      <w:pPr>
        <w:spacing w:after="0" w:line="240" w:lineRule="auto"/>
        <w:ind w:firstLine="708"/>
        <w:jc w:val="both"/>
        <w:rPr>
          <w:rFonts w:eastAsia="Times New Roman" w:cs="Times New Roman"/>
          <w:lang w:eastAsia="sk-SK"/>
        </w:rPr>
      </w:pPr>
      <w:r w:rsidRPr="008543EE">
        <w:rPr>
          <w:rFonts w:eastAsia="Times New Roman" w:cs="Times New Roman"/>
          <w:lang w:eastAsia="sk-SK"/>
        </w:rPr>
        <w:t>Jasne popíšte, v prípade potreby použite nižšie uvedenú tabuľku. Uveďte aj odhady základov daní a/alebo poplatkov, ak sa ich táto zmena týka.</w:t>
      </w:r>
    </w:p>
    <w:p w:rsidR="009D0DC5" w:rsidRPr="008543EE" w:rsidRDefault="009D0DC5" w:rsidP="009D0DC5">
      <w:pPr>
        <w:spacing w:after="0" w:line="240" w:lineRule="auto"/>
        <w:jc w:val="right"/>
        <w:rPr>
          <w:rFonts w:eastAsia="Times New Roman" w:cs="Times New Roman"/>
          <w:lang w:eastAsia="sk-SK"/>
        </w:rPr>
      </w:pPr>
      <w:r w:rsidRPr="008543EE">
        <w:rPr>
          <w:rFonts w:eastAsia="Times New Roman" w:cs="Times New Roman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9D0DC5" w:rsidRPr="008543EE" w:rsidTr="00AD4AA3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Odhadované objemy</w:t>
            </w:r>
          </w:p>
        </w:tc>
      </w:tr>
      <w:tr w:rsidR="009D0DC5" w:rsidRPr="008543EE" w:rsidTr="00AD4AA3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r + 3</w:t>
            </w:r>
          </w:p>
        </w:tc>
      </w:tr>
      <w:tr w:rsidR="009D0DC5" w:rsidRPr="008543EE" w:rsidTr="00AD4AA3">
        <w:trPr>
          <w:trHeight w:val="70"/>
        </w:trPr>
        <w:tc>
          <w:tcPr>
            <w:tcW w:w="4530" w:type="dxa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8543EE">
              <w:rPr>
                <w:rFonts w:eastAsia="Times New Roman" w:cs="Times New Roman"/>
                <w:color w:val="000000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9D0DC5" w:rsidRPr="008543EE" w:rsidTr="00AD4AA3">
        <w:trPr>
          <w:trHeight w:val="70"/>
        </w:trPr>
        <w:tc>
          <w:tcPr>
            <w:tcW w:w="4530" w:type="dxa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8543EE">
              <w:rPr>
                <w:rFonts w:eastAsia="Times New Roman" w:cs="Times New Roman"/>
                <w:color w:val="000000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9D0DC5" w:rsidRPr="008543EE" w:rsidTr="00AD4AA3">
        <w:trPr>
          <w:trHeight w:val="70"/>
        </w:trPr>
        <w:tc>
          <w:tcPr>
            <w:tcW w:w="4530" w:type="dxa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8543EE">
              <w:rPr>
                <w:rFonts w:eastAsia="Times New Roman" w:cs="Times New Roman"/>
                <w:color w:val="000000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1134" w:type="dxa"/>
          </w:tcPr>
          <w:p w:rsidR="009D0DC5" w:rsidRPr="008543EE" w:rsidRDefault="009D0DC5" w:rsidP="00AD4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</w:tbl>
    <w:p w:rsidR="009D0DC5" w:rsidRPr="008543EE" w:rsidRDefault="009D0DC5" w:rsidP="009D0DC5">
      <w:pPr>
        <w:spacing w:after="0" w:line="240" w:lineRule="auto"/>
        <w:rPr>
          <w:rFonts w:eastAsia="Times New Roman" w:cs="Times New Roman"/>
          <w:lang w:eastAsia="sk-SK"/>
        </w:rPr>
      </w:pP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lang w:eastAsia="sk-SK"/>
        </w:rPr>
      </w:pP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b/>
          <w:bCs/>
          <w:lang w:eastAsia="sk-SK"/>
        </w:rPr>
      </w:pPr>
      <w:r w:rsidRPr="008543EE">
        <w:rPr>
          <w:rFonts w:eastAsia="Times New Roman" w:cs="Times New Roman"/>
          <w:b/>
          <w:bCs/>
          <w:lang w:eastAsia="sk-SK"/>
        </w:rPr>
        <w:t>2.2.4. Výpočty vplyvov na verejné financie</w:t>
      </w:r>
    </w:p>
    <w:p w:rsidR="009D0DC5" w:rsidRPr="008543EE" w:rsidRDefault="009D0DC5" w:rsidP="009D0DC5">
      <w:pPr>
        <w:spacing w:after="0" w:line="240" w:lineRule="auto"/>
        <w:rPr>
          <w:rFonts w:eastAsia="Times New Roman" w:cs="Times New Roman"/>
          <w:lang w:eastAsia="sk-SK"/>
        </w:rPr>
      </w:pPr>
    </w:p>
    <w:p w:rsidR="009D0DC5" w:rsidRPr="00637EAD" w:rsidRDefault="009D0DC5" w:rsidP="009D0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sk-SK"/>
        </w:rPr>
      </w:pPr>
      <w:r w:rsidRPr="00B91C8C">
        <w:rPr>
          <w:rFonts w:ascii="Times New Roman" w:eastAsia="Times New Roman" w:hAnsi="Times New Roman" w:cs="Times New Roman"/>
          <w:lang w:eastAsia="sk-SK"/>
        </w:rPr>
        <w:t xml:space="preserve">Uveďte najdôležitejšie výpočty, ktoré boli použité na stanovenie vplyvov na príjmy a výdavky, ako aj predpoklady, z ktorých ste vychádzali. Predkladateľ by mal jasne odlíšiť podklady od kapitol </w:t>
      </w:r>
      <w:r w:rsidRPr="00637EAD">
        <w:rPr>
          <w:rFonts w:ascii="Times New Roman" w:eastAsia="Times New Roman" w:hAnsi="Times New Roman" w:cs="Times New Roman"/>
          <w:lang w:eastAsia="sk-SK"/>
        </w:rPr>
        <w:t>a organizácií, aby bolo jasne vidieť základ použitý na výpočty.</w:t>
      </w:r>
    </w:p>
    <w:p w:rsidR="009D0DC5" w:rsidRPr="00637EAD" w:rsidRDefault="009D0DC5" w:rsidP="009D0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:rsidR="00595136" w:rsidRPr="00637EAD" w:rsidRDefault="00595136" w:rsidP="009D0DC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637EAD">
        <w:rPr>
          <w:rFonts w:ascii="Times New Roman" w:eastAsia="Times New Roman" w:hAnsi="Times New Roman" w:cs="Times New Roman"/>
          <w:bCs/>
          <w:lang w:eastAsia="sk-SK"/>
        </w:rPr>
        <w:t xml:space="preserve">Cena zaústení na verejnú kanalizáciu sa výrazne líši od lokality, kde sa budú tieto zaústenia realizovať. Obce sú vlastníkmi verejných kanalizácií v menších obciach, kde náklady na budovanie zaústení sú nižšie, ako ceny v mestách, kde je hustá zástavba, spleť inžinierskych sietí dopravných obmedzení a pod., napr. od 1 300,0  € do 2 000,0 €. Predpokladá sa, že ak to bude </w:t>
      </w:r>
      <w:r w:rsidR="0031383D" w:rsidRPr="00637EAD">
        <w:rPr>
          <w:rFonts w:ascii="Times New Roman" w:eastAsia="Times New Roman" w:hAnsi="Times New Roman" w:cs="Times New Roman"/>
          <w:bCs/>
          <w:lang w:eastAsia="sk-SK"/>
        </w:rPr>
        <w:t xml:space="preserve">zákonná </w:t>
      </w:r>
      <w:r w:rsidRPr="00637EAD">
        <w:rPr>
          <w:rFonts w:ascii="Times New Roman" w:eastAsia="Times New Roman" w:hAnsi="Times New Roman" w:cs="Times New Roman"/>
          <w:bCs/>
          <w:lang w:eastAsia="sk-SK"/>
        </w:rPr>
        <w:t>povinnosť</w:t>
      </w:r>
      <w:r w:rsidR="0031383D" w:rsidRPr="00637EAD">
        <w:rPr>
          <w:rFonts w:ascii="Times New Roman" w:eastAsia="Times New Roman" w:hAnsi="Times New Roman" w:cs="Times New Roman"/>
          <w:bCs/>
          <w:lang w:eastAsia="sk-SK"/>
        </w:rPr>
        <w:t xml:space="preserve"> pre vlastníka verejnej kanalizácie, </w:t>
      </w:r>
      <w:r w:rsidR="006D1098" w:rsidRPr="00637EAD">
        <w:rPr>
          <w:rFonts w:ascii="Times New Roman" w:eastAsia="Times New Roman" w:hAnsi="Times New Roman" w:cs="Times New Roman"/>
          <w:bCs/>
          <w:lang w:eastAsia="sk-SK"/>
        </w:rPr>
        <w:t xml:space="preserve">pretom to </w:t>
      </w:r>
      <w:r w:rsidR="0031383D" w:rsidRPr="00637EAD">
        <w:rPr>
          <w:rFonts w:ascii="Times New Roman" w:eastAsia="Times New Roman" w:hAnsi="Times New Roman" w:cs="Times New Roman"/>
          <w:bCs/>
          <w:lang w:eastAsia="sk-SK"/>
        </w:rPr>
        <w:t xml:space="preserve">bude oprávnený náklad pri cenovom konaní s ÚRSO. </w:t>
      </w:r>
      <w:r w:rsidR="006D1098" w:rsidRPr="00637EAD">
        <w:rPr>
          <w:rFonts w:ascii="Times New Roman" w:eastAsia="Times New Roman" w:hAnsi="Times New Roman" w:cs="Times New Roman"/>
          <w:bCs/>
          <w:lang w:eastAsia="sk-SK"/>
        </w:rPr>
        <w:t>Náklady na zaústenia budú financované jednak zo stočného, resp. v rámci stavieb verejných kanalizácií je to hradené v rámci stavby (spolufinancovaných z verejných zdrojov – operačné programy a Environmentálny fond) tak, ako sa to realizuje aj za súčasného nastavenia</w:t>
      </w:r>
      <w:r w:rsidR="00965399" w:rsidRPr="00637EAD">
        <w:rPr>
          <w:rFonts w:ascii="Times New Roman" w:eastAsia="Times New Roman" w:hAnsi="Times New Roman" w:cs="Times New Roman"/>
          <w:bCs/>
          <w:lang w:eastAsia="sk-SK"/>
        </w:rPr>
        <w:t>, vrátane pripojovacieho poplatku</w:t>
      </w:r>
      <w:r w:rsidR="00E2461E" w:rsidRPr="00637EAD">
        <w:rPr>
          <w:rFonts w:ascii="Times New Roman" w:eastAsia="Times New Roman" w:hAnsi="Times New Roman" w:cs="Times New Roman"/>
          <w:bCs/>
          <w:lang w:eastAsia="sk-SK"/>
        </w:rPr>
        <w:t xml:space="preserve"> (ktoré bude hradiť žiadateľ o pripojenie na verejnú kanalizáciu)</w:t>
      </w:r>
      <w:r w:rsidR="00965399" w:rsidRPr="00637EAD">
        <w:rPr>
          <w:rFonts w:ascii="Times New Roman" w:eastAsia="Times New Roman" w:hAnsi="Times New Roman" w:cs="Times New Roman"/>
          <w:bCs/>
          <w:lang w:eastAsia="sk-SK"/>
        </w:rPr>
        <w:t xml:space="preserve"> regulovaného ÚRSO od roku 2023</w:t>
      </w:r>
      <w:r w:rsidR="006D1098" w:rsidRPr="00637EAD">
        <w:rPr>
          <w:rFonts w:ascii="Times New Roman" w:eastAsia="Times New Roman" w:hAnsi="Times New Roman" w:cs="Times New Roman"/>
          <w:bCs/>
          <w:lang w:eastAsia="sk-SK"/>
        </w:rPr>
        <w:t>.</w:t>
      </w:r>
      <w:r w:rsidR="0031383D" w:rsidRPr="00637EAD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="00E2461E" w:rsidRPr="00637EAD">
        <w:rPr>
          <w:rFonts w:ascii="Times New Roman" w:eastAsia="Times New Roman" w:hAnsi="Times New Roman" w:cs="Times New Roman"/>
          <w:bCs/>
          <w:lang w:eastAsia="sk-SK"/>
        </w:rPr>
        <w:t xml:space="preserve">Tým sa rozložia náklady medzi vlastníkom verejnej kanalizácie a producentom (podrobnosti o výpočte pripojovacieho poplatku ustanoví ÚRSO vo vyhláške). </w:t>
      </w:r>
    </w:p>
    <w:p w:rsidR="006F1134" w:rsidRDefault="006F1134" w:rsidP="009D0DC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637EAD">
        <w:rPr>
          <w:rFonts w:ascii="Times New Roman" w:eastAsia="Times New Roman" w:hAnsi="Times New Roman" w:cs="Times New Roman"/>
          <w:bCs/>
          <w:lang w:eastAsia="sk-SK"/>
        </w:rPr>
        <w:t>Náklady na verejnú správu môžu byť aj v súvislosti s ustanovením § 3 ods. 2 a</w:t>
      </w:r>
      <w:r w:rsidR="00B91C8C" w:rsidRPr="00637EAD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Pr="00637EAD">
        <w:rPr>
          <w:rFonts w:ascii="Times New Roman" w:eastAsia="Times New Roman" w:hAnsi="Times New Roman" w:cs="Times New Roman"/>
          <w:bCs/>
          <w:lang w:eastAsia="sk-SK"/>
        </w:rPr>
        <w:t>3, kde sa čiastočne mení kto môže byť vlastníkom verejných vodovodov a verejných kanalizácií – len subjekt verejného práva (teda už nie akákoľvek právnická osoba  so sídlom na území SR, ktorá je bezúhonná</w:t>
      </w:r>
      <w:r w:rsidR="00B91C8C" w:rsidRPr="00637EAD">
        <w:rPr>
          <w:rFonts w:ascii="Times New Roman" w:eastAsia="Times New Roman" w:hAnsi="Times New Roman" w:cs="Times New Roman"/>
          <w:bCs/>
          <w:lang w:eastAsia="sk-SK"/>
        </w:rPr>
        <w:t>)</w:t>
      </w:r>
      <w:r w:rsidRPr="00637EAD">
        <w:rPr>
          <w:rFonts w:ascii="Times New Roman" w:eastAsia="Times New Roman" w:hAnsi="Times New Roman" w:cs="Times New Roman"/>
          <w:bCs/>
          <w:lang w:eastAsia="sk-SK"/>
        </w:rPr>
        <w:t xml:space="preserve">. </w:t>
      </w:r>
      <w:r w:rsidR="00B91C8C" w:rsidRPr="00637EAD">
        <w:rPr>
          <w:rFonts w:ascii="Times New Roman" w:eastAsia="Times New Roman" w:hAnsi="Times New Roman" w:cs="Times New Roman"/>
          <w:bCs/>
          <w:lang w:eastAsia="sk-SK"/>
        </w:rPr>
        <w:t xml:space="preserve">Čo  v praxi znamená, že stavebník môže byť právnická osoba, ale </w:t>
      </w:r>
      <w:r w:rsidR="0096251F" w:rsidRPr="00637EAD">
        <w:rPr>
          <w:rFonts w:ascii="Times New Roman" w:eastAsia="Times New Roman" w:hAnsi="Times New Roman" w:cs="Times New Roman"/>
          <w:bCs/>
          <w:lang w:eastAsia="sk-SK"/>
        </w:rPr>
        <w:t>podmienkou pre vydanie kolaudačného rozhodnutia je zmluva o prevode vlastníctva verejného vodovodu alebo verejnej kanalizácie medzi vlastníkom stavby a subjektom verejného práva. Nedá sa predpokladať koľko bude nových rozšírení verejných vodovodov alebo rozšírení verejných kanalizácií, resp. nových verejných vodovodov alebo verejných kanalizácií</w:t>
      </w:r>
      <w:r w:rsidR="00E2461E" w:rsidRPr="00637EAD">
        <w:rPr>
          <w:rFonts w:ascii="Times New Roman" w:eastAsia="Times New Roman" w:hAnsi="Times New Roman" w:cs="Times New Roman"/>
          <w:bCs/>
          <w:lang w:eastAsia="sk-SK"/>
        </w:rPr>
        <w:t>,</w:t>
      </w:r>
      <w:r w:rsidR="00281CD1" w:rsidRPr="00637EAD">
        <w:rPr>
          <w:rFonts w:ascii="Times New Roman" w:eastAsia="Times New Roman" w:hAnsi="Times New Roman" w:cs="Times New Roman"/>
          <w:bCs/>
          <w:lang w:eastAsia="sk-SK"/>
        </w:rPr>
        <w:t xml:space="preserve"> ktoré budú realizovať nie subjekty verejného práva</w:t>
      </w:r>
      <w:r w:rsidR="0096251F" w:rsidRPr="00637EAD">
        <w:rPr>
          <w:rFonts w:ascii="Times New Roman" w:eastAsia="Times New Roman" w:hAnsi="Times New Roman" w:cs="Times New Roman"/>
          <w:bCs/>
          <w:lang w:eastAsia="sk-SK"/>
        </w:rPr>
        <w:t>, a tiež ani finančné vysporiadanie medzi týmito subjektami.</w:t>
      </w:r>
    </w:p>
    <w:p w:rsidR="00637EAD" w:rsidRPr="00637EAD" w:rsidRDefault="00637EAD" w:rsidP="00637EA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 xml:space="preserve">Náklady na verejnú správu môžu byť aj v súvislosti s povinnosťou </w:t>
      </w:r>
      <w:r w:rsidRPr="00637EAD">
        <w:rPr>
          <w:rFonts w:ascii="Times New Roman" w:eastAsia="Times New Roman" w:hAnsi="Times New Roman" w:cs="Times New Roman"/>
          <w:bCs/>
          <w:lang w:eastAsia="sk-SK"/>
        </w:rPr>
        <w:t xml:space="preserve">vytvárať účelovú finančnú rezervu na obnovu verejných vodovodov a verejných kanalizácií, ktorá bude </w:t>
      </w:r>
      <w:r>
        <w:rPr>
          <w:rFonts w:ascii="Times New Roman" w:eastAsia="Times New Roman" w:hAnsi="Times New Roman" w:cs="Times New Roman"/>
          <w:bCs/>
          <w:lang w:eastAsia="sk-SK"/>
        </w:rPr>
        <w:t>tvorená</w:t>
      </w:r>
      <w:r w:rsidRPr="00637EAD">
        <w:rPr>
          <w:rFonts w:ascii="Times New Roman" w:eastAsia="Times New Roman" w:hAnsi="Times New Roman" w:cs="Times New Roman"/>
          <w:bCs/>
          <w:lang w:eastAsia="sk-SK"/>
        </w:rPr>
        <w:t xml:space="preserve"> z časti z uplatnených odpisov v rámci ceny schválenej/určenej ÚRSO za dodávku vody verejným vodovodom a ceny za odvádzanie verejnou kanalizáciou (vo výške 40 % z uplatnených odpisov), môže mať dopad na obce a mestá, ktoré sú vlastníkmi verejných vodovodov a/alebo verejných kanalizácií (ďalej len „VV a VK“).</w:t>
      </w:r>
      <w:r>
        <w:rPr>
          <w:rFonts w:ascii="Times New Roman" w:eastAsia="Times New Roman" w:hAnsi="Times New Roman" w:cs="Times New Roman"/>
          <w:bCs/>
          <w:lang w:eastAsia="sk-SK"/>
        </w:rPr>
        <w:t xml:space="preserve"> I keď aj dne si uplatňujú odpisy DHM a DNM v cene, akurát že ich nepoužijú na obnovu verejných vodovodov a/alebo verejných kanalizácií, ale na iný účel.</w:t>
      </w:r>
      <w:r w:rsidR="00674750">
        <w:rPr>
          <w:rFonts w:ascii="Times New Roman" w:eastAsia="Times New Roman" w:hAnsi="Times New Roman" w:cs="Times New Roman"/>
          <w:bCs/>
          <w:lang w:eastAsia="sk-SK"/>
        </w:rPr>
        <w:t xml:space="preserve"> Obce však majú možnosť požiadať o dotácie na obnovu (rekonštrukciu) verejných vodovodov a verejných kanalizácií z verejných prostriedkov – Environmentálneho fondu, resp. sa pripravuje Operačný program Slovensko, kde je oprávnená aktivita na obnovu VV a VK (avšak v obmedzenej </w:t>
      </w:r>
      <w:r w:rsidR="00A03B49">
        <w:rPr>
          <w:rFonts w:ascii="Times New Roman" w:eastAsia="Times New Roman" w:hAnsi="Times New Roman" w:cs="Times New Roman"/>
          <w:bCs/>
          <w:lang w:eastAsia="sk-SK"/>
        </w:rPr>
        <w:t>alokácii oproti skutočnej potrebe).</w:t>
      </w:r>
    </w:p>
    <w:p w:rsidR="00637EAD" w:rsidRPr="00B91C8C" w:rsidRDefault="00637EAD" w:rsidP="009D0DC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:rsidR="00595136" w:rsidRPr="00B91C8C" w:rsidRDefault="00595136" w:rsidP="009D0DC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:rsidR="00595136" w:rsidRDefault="00595136" w:rsidP="009D0DC5">
      <w:pPr>
        <w:tabs>
          <w:tab w:val="num" w:pos="1080"/>
        </w:tabs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jc w:val="both"/>
        <w:rPr>
          <w:rFonts w:eastAsia="Times New Roman" w:cs="Times New Roman"/>
          <w:bCs/>
          <w:lang w:eastAsia="sk-SK"/>
        </w:rPr>
        <w:sectPr w:rsidR="009D0DC5" w:rsidRPr="008543EE" w:rsidSect="00AD4AA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  <w:r w:rsidRPr="008543EE">
        <w:rPr>
          <w:rFonts w:eastAsia="Times New Roman" w:cs="Times New Roman"/>
          <w:bCs/>
          <w:lang w:eastAsia="sk-SK"/>
        </w:rPr>
        <w:lastRenderedPageBreak/>
        <w:t xml:space="preserve">Tabuľka č. 3 </w:t>
      </w:r>
    </w:p>
    <w:p w:rsidR="009D0DC5" w:rsidRPr="008543EE" w:rsidRDefault="009D0DC5" w:rsidP="009D0DC5">
      <w:pPr>
        <w:tabs>
          <w:tab w:val="num" w:pos="1080"/>
        </w:tabs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9D0DC5" w:rsidRPr="008543EE" w:rsidTr="00AD4AA3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Vply</w:t>
            </w:r>
            <w:bookmarkStart w:id="1" w:name="_GoBack"/>
            <w:bookmarkEnd w:id="1"/>
            <w:r w:rsidRPr="008543EE">
              <w:rPr>
                <w:rFonts w:eastAsia="Times New Roman" w:cs="Times New Roman"/>
                <w:b/>
                <w:bCs/>
                <w:lang w:eastAsia="sk-SK"/>
              </w:rPr>
              <w:t>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poznámka</w:t>
            </w:r>
          </w:p>
        </w:tc>
      </w:tr>
      <w:tr w:rsidR="009D0DC5" w:rsidRPr="008543EE" w:rsidTr="00AD4AA3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2021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lang w:eastAsia="sk-SK"/>
              </w:rPr>
            </w:pPr>
          </w:p>
        </w:tc>
      </w:tr>
      <w:tr w:rsidR="009D0DC5" w:rsidRPr="008543EE" w:rsidTr="00AD4AA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vertAlign w:val="superscript"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Daňové príjmy (100)</w:t>
            </w:r>
            <w:r w:rsidRPr="008543EE">
              <w:rPr>
                <w:rFonts w:eastAsia="Times New Roman" w:cs="Times New Roman"/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Nedaňové príjmy (200)</w:t>
            </w:r>
            <w:r w:rsidRPr="008543EE">
              <w:rPr>
                <w:rFonts w:eastAsia="Times New Roman" w:cs="Times New Roman"/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*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Vybrané pokuty</w:t>
            </w:r>
          </w:p>
        </w:tc>
      </w:tr>
      <w:tr w:rsidR="009D0DC5" w:rsidRPr="008543EE" w:rsidTr="00AD4AA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Granty a transfery (300)</w:t>
            </w:r>
            <w:r w:rsidRPr="008543EE">
              <w:rPr>
                <w:rFonts w:eastAsia="Times New Roman" w:cs="Times New Roman"/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*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</w:tbl>
    <w:p w:rsidR="009D0DC5" w:rsidRPr="008543EE" w:rsidRDefault="009D0DC5" w:rsidP="009D0DC5">
      <w:pPr>
        <w:tabs>
          <w:tab w:val="num" w:pos="1080"/>
        </w:tabs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8543EE">
        <w:rPr>
          <w:rFonts w:eastAsia="Times New Roman" w:cs="Times New Roman"/>
          <w:bCs/>
          <w:lang w:eastAsia="sk-SK"/>
        </w:rPr>
        <w:t>1 –  príjmy rozpísať až do položiek platnej ekonomickej klasifikácie</w:t>
      </w:r>
    </w:p>
    <w:p w:rsidR="009D0DC5" w:rsidRPr="008543EE" w:rsidRDefault="009D0DC5" w:rsidP="009D0DC5">
      <w:pPr>
        <w:tabs>
          <w:tab w:val="num" w:pos="1080"/>
        </w:tabs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8543EE">
        <w:rPr>
          <w:rFonts w:eastAsia="Times New Roman" w:cs="Times New Roman"/>
          <w:b/>
          <w:bCs/>
          <w:lang w:eastAsia="sk-SK"/>
        </w:rPr>
        <w:t>Poznámka:</w:t>
      </w:r>
    </w:p>
    <w:p w:rsidR="009D0DC5" w:rsidRPr="008543EE" w:rsidRDefault="009D0DC5" w:rsidP="009D0DC5">
      <w:pPr>
        <w:tabs>
          <w:tab w:val="num" w:pos="1080"/>
        </w:tabs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8543EE">
        <w:rPr>
          <w:rFonts w:eastAsia="Times New Roman" w:cs="Times New Roman"/>
          <w:bCs/>
          <w:lang w:eastAsia="sk-SK"/>
        </w:rPr>
        <w:t>Ak sa vplyv týka viacerých subjektov verejnej správy, vypĺňa sa samostatná tabuľka za každý subjekt.</w:t>
      </w: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  <w:r w:rsidRPr="008543EE">
        <w:rPr>
          <w:rFonts w:eastAsia="Times New Roman" w:cs="Times New Roman"/>
          <w:bCs/>
          <w:lang w:eastAsia="sk-SK"/>
        </w:rPr>
        <w:t xml:space="preserve"> </w:t>
      </w: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right="-578"/>
        <w:jc w:val="right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right="-32"/>
        <w:jc w:val="right"/>
        <w:rPr>
          <w:rFonts w:eastAsia="Times New Roman" w:cs="Times New Roman"/>
          <w:bCs/>
          <w:lang w:eastAsia="sk-SK"/>
        </w:rPr>
      </w:pPr>
      <w:r w:rsidRPr="008543EE">
        <w:rPr>
          <w:rFonts w:eastAsia="Times New Roman" w:cs="Times New Roman"/>
          <w:bCs/>
          <w:lang w:eastAsia="sk-SK"/>
        </w:rPr>
        <w:lastRenderedPageBreak/>
        <w:t xml:space="preserve">Tabuľka č. 4 </w:t>
      </w:r>
    </w:p>
    <w:p w:rsidR="009D0DC5" w:rsidRPr="008543EE" w:rsidRDefault="009D0DC5" w:rsidP="009D0DC5">
      <w:pPr>
        <w:tabs>
          <w:tab w:val="num" w:pos="1080"/>
        </w:tabs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9D0DC5" w:rsidRPr="008543EE" w:rsidTr="00AD4AA3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poznámka</w:t>
            </w:r>
          </w:p>
        </w:tc>
      </w:tr>
      <w:tr w:rsidR="009D0DC5" w:rsidRPr="008543EE" w:rsidTr="00AD4AA3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2021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lang w:eastAsia="sk-SK"/>
              </w:rPr>
            </w:pPr>
          </w:p>
        </w:tc>
      </w:tr>
      <w:tr w:rsidR="009D0DC5" w:rsidRPr="008543EE" w:rsidTr="00AD4AA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vertAlign w:val="superscript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vertAlign w:val="superscript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 xml:space="preserve">  Tovary a služby (630)</w:t>
            </w:r>
            <w:r w:rsidRPr="008543EE">
              <w:rPr>
                <w:rFonts w:eastAsia="Times New Roman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 xml:space="preserve">  Bežné transfery (640)</w:t>
            </w:r>
            <w:r w:rsidRPr="008543EE">
              <w:rPr>
                <w:rFonts w:eastAsia="Times New Roman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 xml:space="preserve">  Splácanie úrokov a ostatné platby súvisiace s </w:t>
            </w:r>
            <w:r w:rsidRPr="008543EE">
              <w:t xml:space="preserve"> </w:t>
            </w:r>
            <w:r w:rsidRPr="008543EE">
              <w:rPr>
                <w:rFonts w:eastAsia="Times New Roman" w:cs="Times New Roman"/>
                <w:lang w:eastAsia="sk-SK"/>
              </w:rPr>
              <w:t>úverom, pôžičkou, návratnou finančnou výpomocou a finančným prenájmom (650)</w:t>
            </w:r>
            <w:r w:rsidRPr="008543EE">
              <w:rPr>
                <w:rFonts w:eastAsia="Times New Roman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9D0DC5" w:rsidRPr="008543EE" w:rsidTr="00AD4AA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 xml:space="preserve">  Obstarávanie kapitálových aktív (710)</w:t>
            </w:r>
            <w:r w:rsidRPr="008543EE">
              <w:rPr>
                <w:rFonts w:eastAsia="Times New Roman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 xml:space="preserve">  Kapitálové transfery (720)</w:t>
            </w:r>
            <w:r w:rsidRPr="008543EE">
              <w:rPr>
                <w:rFonts w:eastAsia="Times New Roman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</w:tbl>
    <w:p w:rsidR="009D0DC5" w:rsidRPr="008543EE" w:rsidRDefault="009D0DC5" w:rsidP="009D0DC5">
      <w:pPr>
        <w:tabs>
          <w:tab w:val="num" w:pos="1080"/>
        </w:tabs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  <w:r w:rsidRPr="008543EE">
        <w:rPr>
          <w:rFonts w:eastAsia="Times New Roman" w:cs="Times New Roman"/>
          <w:bCs/>
          <w:lang w:eastAsia="sk-SK"/>
        </w:rPr>
        <w:t>2 –  výdavky rozpísať až do položiek platnej ekonomickej klasifikácie</w:t>
      </w: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left="-900"/>
        <w:jc w:val="both"/>
        <w:rPr>
          <w:rFonts w:eastAsia="Times New Roman" w:cs="Times New Roman"/>
          <w:b/>
          <w:bCs/>
          <w:lang w:eastAsia="sk-SK"/>
        </w:rPr>
      </w:pPr>
      <w:r w:rsidRPr="008543EE">
        <w:rPr>
          <w:rFonts w:eastAsia="Times New Roman" w:cs="Times New Roman"/>
          <w:b/>
          <w:bCs/>
          <w:lang w:eastAsia="sk-SK"/>
        </w:rPr>
        <w:t>Poznámka:</w:t>
      </w: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  <w:r w:rsidRPr="008543EE">
        <w:rPr>
          <w:rFonts w:eastAsia="Times New Roman" w:cs="Times New Roman"/>
          <w:bCs/>
          <w:lang w:eastAsia="sk-SK"/>
        </w:rPr>
        <w:t>Ak sa vplyv týka viacerých subjektov verejnej správy, vypĺňa sa samostatná tabuľka za každý subjekt.</w:t>
      </w: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ind w:left="-900"/>
        <w:jc w:val="both"/>
        <w:rPr>
          <w:rFonts w:eastAsia="Times New Roman" w:cs="Times New Roman"/>
          <w:bCs/>
          <w:lang w:eastAsia="sk-SK"/>
        </w:rPr>
      </w:pPr>
    </w:p>
    <w:p w:rsidR="009D0DC5" w:rsidRPr="008543EE" w:rsidRDefault="009D0DC5" w:rsidP="009D0DC5">
      <w:pPr>
        <w:tabs>
          <w:tab w:val="num" w:pos="1080"/>
        </w:tabs>
        <w:spacing w:after="0" w:line="240" w:lineRule="auto"/>
        <w:jc w:val="right"/>
        <w:rPr>
          <w:rFonts w:eastAsia="Times New Roman" w:cs="Times New Roman"/>
          <w:bCs/>
          <w:lang w:eastAsia="sk-SK"/>
        </w:rPr>
      </w:pPr>
      <w:r w:rsidRPr="008543EE">
        <w:rPr>
          <w:rFonts w:eastAsia="Times New Roman" w:cs="Times New Roman"/>
          <w:bCs/>
          <w:lang w:eastAsia="sk-SK"/>
        </w:rPr>
        <w:lastRenderedPageBreak/>
        <w:t xml:space="preserve">                 Tabuľka č. 5 </w:t>
      </w:r>
    </w:p>
    <w:p w:rsidR="009D0DC5" w:rsidRPr="008543EE" w:rsidRDefault="009D0DC5" w:rsidP="009D0DC5">
      <w:pPr>
        <w:tabs>
          <w:tab w:val="num" w:pos="1080"/>
        </w:tabs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9D0DC5" w:rsidRPr="008543EE" w:rsidTr="00AD4AA3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poznámka</w:t>
            </w:r>
          </w:p>
        </w:tc>
      </w:tr>
      <w:tr w:rsidR="009D0DC5" w:rsidRPr="008543EE" w:rsidTr="00AD4AA3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2018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2019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2020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2021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lang w:eastAsia="sk-SK"/>
              </w:rPr>
            </w:pPr>
          </w:p>
        </w:tc>
      </w:tr>
      <w:tr w:rsidR="009D0DC5" w:rsidRPr="008543EE" w:rsidTr="00AD4AA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9D0DC5" w:rsidRPr="008543EE" w:rsidTr="00AD4AA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DC5" w:rsidRPr="008543EE" w:rsidRDefault="009D0DC5" w:rsidP="00AD4AA3">
            <w:pPr>
              <w:spacing w:after="0" w:line="240" w:lineRule="auto"/>
              <w:jc w:val="center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 </w:t>
            </w:r>
          </w:p>
        </w:tc>
      </w:tr>
      <w:tr w:rsidR="009D0DC5" w:rsidRPr="008543EE" w:rsidTr="00AD4AA3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9D0DC5" w:rsidRPr="008543EE" w:rsidTr="00AD4AA3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b/>
                <w:bCs/>
                <w:lang w:eastAsia="sk-SK"/>
              </w:rPr>
            </w:pPr>
            <w:r w:rsidRPr="008543EE">
              <w:rPr>
                <w:rFonts w:eastAsia="Times New Roman" w:cs="Times New Roman"/>
                <w:b/>
                <w:bCs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9D0DC5" w:rsidRPr="008543EE" w:rsidTr="00AD4AA3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9D0DC5" w:rsidRPr="008543EE" w:rsidRDefault="009D0DC5" w:rsidP="00AD4AA3">
            <w:pPr>
              <w:tabs>
                <w:tab w:val="num" w:pos="1080"/>
              </w:tabs>
              <w:spacing w:after="0" w:line="240" w:lineRule="auto"/>
              <w:jc w:val="both"/>
              <w:rPr>
                <w:rFonts w:eastAsia="Times New Roman" w:cs="Times New Roman"/>
                <w:bCs/>
                <w:lang w:eastAsia="sk-SK"/>
              </w:rPr>
            </w:pPr>
            <w:r w:rsidRPr="008543EE">
              <w:rPr>
                <w:rFonts w:eastAsia="Times New Roman" w:cs="Times New Roman"/>
                <w:bCs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DC5" w:rsidRPr="008543EE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9D0DC5" w:rsidRPr="007A609A" w:rsidTr="00AD4AA3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DC5" w:rsidRPr="007A609A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8543EE">
              <w:rPr>
                <w:rFonts w:eastAsia="Times New Roman" w:cs="Times New Roman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DC5" w:rsidRPr="007A609A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DC5" w:rsidRPr="007A609A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DC5" w:rsidRPr="007A609A" w:rsidRDefault="009D0DC5" w:rsidP="00AD4AA3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</w:tbl>
    <w:p w:rsidR="009D0DC5" w:rsidRPr="007A609A" w:rsidRDefault="009D0DC5" w:rsidP="009D0DC5"/>
    <w:p w:rsidR="008F08E7" w:rsidRDefault="008F08E7"/>
    <w:sectPr w:rsidR="008F08E7" w:rsidSect="009128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F3" w:rsidRDefault="008F0DF3">
      <w:pPr>
        <w:spacing w:after="0" w:line="240" w:lineRule="auto"/>
      </w:pPr>
      <w:r>
        <w:separator/>
      </w:r>
    </w:p>
  </w:endnote>
  <w:endnote w:type="continuationSeparator" w:id="0">
    <w:p w:rsidR="008F0DF3" w:rsidRDefault="008F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AA3" w:rsidRDefault="00AD4AA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AD4AA3" w:rsidRDefault="00AD4AA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AA3" w:rsidRDefault="00AD4AA3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91289C">
      <w:rPr>
        <w:noProof/>
      </w:rPr>
      <w:t>7</w:t>
    </w:r>
    <w:r>
      <w:fldChar w:fldCharType="end"/>
    </w:r>
  </w:p>
  <w:p w:rsidR="00AD4AA3" w:rsidRDefault="00AD4AA3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AA3" w:rsidRDefault="00AD4AA3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AD4AA3" w:rsidRDefault="00AD4A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F3" w:rsidRDefault="008F0DF3">
      <w:pPr>
        <w:spacing w:after="0" w:line="240" w:lineRule="auto"/>
      </w:pPr>
      <w:r>
        <w:separator/>
      </w:r>
    </w:p>
  </w:footnote>
  <w:footnote w:type="continuationSeparator" w:id="0">
    <w:p w:rsidR="008F0DF3" w:rsidRDefault="008F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AA3" w:rsidRDefault="00AD4AA3" w:rsidP="00AD4AA3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AD4AA3" w:rsidRPr="00EB59C8" w:rsidRDefault="00AD4AA3" w:rsidP="00AD4AA3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AA3" w:rsidRPr="0024067A" w:rsidRDefault="00AD4AA3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AA3" w:rsidRPr="000A15AE" w:rsidRDefault="00AD4AA3" w:rsidP="00AD4AA3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C5"/>
    <w:rsid w:val="000563A2"/>
    <w:rsid w:val="0011491D"/>
    <w:rsid w:val="001911DA"/>
    <w:rsid w:val="00212179"/>
    <w:rsid w:val="00237E43"/>
    <w:rsid w:val="00253CE4"/>
    <w:rsid w:val="00260C13"/>
    <w:rsid w:val="00281CD1"/>
    <w:rsid w:val="0031383D"/>
    <w:rsid w:val="00314560"/>
    <w:rsid w:val="00326AF9"/>
    <w:rsid w:val="00331BCE"/>
    <w:rsid w:val="003817EC"/>
    <w:rsid w:val="00465B3F"/>
    <w:rsid w:val="00471586"/>
    <w:rsid w:val="00491A19"/>
    <w:rsid w:val="00492578"/>
    <w:rsid w:val="004D0DB1"/>
    <w:rsid w:val="004D0ED9"/>
    <w:rsid w:val="004E1FAF"/>
    <w:rsid w:val="004F5C14"/>
    <w:rsid w:val="00595136"/>
    <w:rsid w:val="005F5A35"/>
    <w:rsid w:val="00637EAD"/>
    <w:rsid w:val="00674750"/>
    <w:rsid w:val="006D1098"/>
    <w:rsid w:val="006D4C3B"/>
    <w:rsid w:val="006F1134"/>
    <w:rsid w:val="00742A3A"/>
    <w:rsid w:val="00761561"/>
    <w:rsid w:val="0082387C"/>
    <w:rsid w:val="008805F1"/>
    <w:rsid w:val="008850FD"/>
    <w:rsid w:val="00885E9B"/>
    <w:rsid w:val="0089033D"/>
    <w:rsid w:val="008F08E7"/>
    <w:rsid w:val="008F0DF3"/>
    <w:rsid w:val="0091289C"/>
    <w:rsid w:val="009267C1"/>
    <w:rsid w:val="0096251F"/>
    <w:rsid w:val="00965399"/>
    <w:rsid w:val="009D0DC5"/>
    <w:rsid w:val="00A03B49"/>
    <w:rsid w:val="00A6118A"/>
    <w:rsid w:val="00AA25A4"/>
    <w:rsid w:val="00AD0733"/>
    <w:rsid w:val="00AD4AA3"/>
    <w:rsid w:val="00B5283B"/>
    <w:rsid w:val="00B91C8C"/>
    <w:rsid w:val="00C1538F"/>
    <w:rsid w:val="00C359BC"/>
    <w:rsid w:val="00C60193"/>
    <w:rsid w:val="00C935A3"/>
    <w:rsid w:val="00E2461E"/>
    <w:rsid w:val="00E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2721F-9F6F-4117-8F91-F43504E8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0DC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D0D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D0DC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D0D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9D0DC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9D0DC5"/>
    <w:rPr>
      <w:rFonts w:cs="Times New Roman"/>
    </w:rPr>
  </w:style>
  <w:style w:type="paragraph" w:customStyle="1" w:styleId="Default">
    <w:name w:val="Default"/>
    <w:rsid w:val="009D0DC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4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Bekerová Lýdia</dc:creator>
  <cp:keywords/>
  <dc:description/>
  <cp:lastModifiedBy>Rozborilová Monika</cp:lastModifiedBy>
  <cp:revision>2</cp:revision>
  <cp:lastPrinted>2021-08-12T14:51:00Z</cp:lastPrinted>
  <dcterms:created xsi:type="dcterms:W3CDTF">2021-08-13T08:21:00Z</dcterms:created>
  <dcterms:modified xsi:type="dcterms:W3CDTF">2021-08-13T08:21:00Z</dcterms:modified>
</cp:coreProperties>
</file>