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4899E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7CB03335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1032"/>
        <w:gridCol w:w="254"/>
        <w:gridCol w:w="124"/>
        <w:gridCol w:w="1133"/>
        <w:gridCol w:w="160"/>
        <w:gridCol w:w="387"/>
        <w:gridCol w:w="1173"/>
        <w:gridCol w:w="29"/>
      </w:tblGrid>
      <w:tr w:rsidR="003501A1" w:rsidRPr="00A179AE" w14:paraId="172E4A4A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14:paraId="0EA97D08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13361A42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bottom w:val="single" w:sz="4" w:space="0" w:color="FFFFFF" w:themeColor="background1"/>
            </w:tcBorders>
            <w:shd w:val="clear" w:color="auto" w:fill="E2E2E2"/>
          </w:tcPr>
          <w:p w14:paraId="65E4BD11" w14:textId="77777777" w:rsidR="003501A1" w:rsidRPr="00A179AE" w:rsidRDefault="003501A1" w:rsidP="00B7172B">
            <w:pPr>
              <w:pStyle w:val="Odsekzoznamu"/>
              <w:spacing w:after="12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399A569D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D9A0ABA" w14:textId="77777777" w:rsidR="003501A1" w:rsidRPr="006A1708" w:rsidRDefault="00084E1D" w:rsidP="00E504C7">
            <w:pPr>
              <w:spacing w:after="120"/>
            </w:pPr>
            <w:r>
              <w:t xml:space="preserve">Nariadenie vlády Slovenskej republiky, ktorým sa vyhlasuje prírodná rezervácia </w:t>
            </w:r>
            <w:r w:rsidR="00E504C7">
              <w:t>Veľký Bukovec</w:t>
            </w:r>
            <w:r w:rsidR="003A1BA9">
              <w:t xml:space="preserve"> </w:t>
            </w:r>
          </w:p>
        </w:tc>
      </w:tr>
      <w:tr w:rsidR="003501A1" w:rsidRPr="00A179AE" w14:paraId="343F5E50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70F9A517" w14:textId="77777777" w:rsidR="003501A1" w:rsidRPr="00A179AE" w:rsidRDefault="003501A1" w:rsidP="00B7172B">
            <w:pPr>
              <w:pStyle w:val="Odsekzoznamu"/>
              <w:spacing w:after="12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138D36AE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11FFBF" w14:textId="77777777" w:rsidR="006A1708" w:rsidRPr="00A179AE" w:rsidRDefault="00536230" w:rsidP="00084E1D">
            <w:pPr>
              <w:spacing w:after="120"/>
            </w:pPr>
            <w:r>
              <w:t>Ministerstvo životného prostredia Slovenskej republiky</w:t>
            </w:r>
          </w:p>
        </w:tc>
      </w:tr>
      <w:tr w:rsidR="003501A1" w:rsidRPr="00A179AE" w14:paraId="14ECA94F" w14:textId="77777777" w:rsidTr="003A1BA9">
        <w:trPr>
          <w:gridAfter w:val="1"/>
          <w:wAfter w:w="29" w:type="dxa"/>
        </w:trPr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2B776117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DD48BD2" w14:textId="77777777" w:rsidR="003501A1" w:rsidRPr="00A179AE" w:rsidRDefault="00084E1D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4B04E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37DD5389" w14:textId="77777777" w:rsidTr="003A1BA9">
        <w:trPr>
          <w:gridAfter w:val="1"/>
          <w:wAfter w:w="29" w:type="dxa"/>
        </w:trPr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5627F0AC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548E06F" w14:textId="77777777" w:rsidR="003501A1" w:rsidRPr="00A179AE" w:rsidRDefault="00084E1D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7D6D604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66BF318F" w14:textId="77777777" w:rsidTr="003A1BA9">
        <w:trPr>
          <w:gridAfter w:val="1"/>
          <w:wAfter w:w="29" w:type="dxa"/>
        </w:trPr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0DA80D1" w14:textId="77777777"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98CA7CC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40DF6BB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707BCF27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4FDD1BAE" w14:textId="77777777" w:rsidR="003501A1" w:rsidRPr="00B7172B" w:rsidRDefault="003501A1" w:rsidP="00B7172B">
            <w:pPr>
              <w:spacing w:after="120"/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</w:tc>
      </w:tr>
      <w:tr w:rsidR="003501A1" w:rsidRPr="00A179AE" w14:paraId="069F014D" w14:textId="77777777" w:rsidTr="00A00AD9">
        <w:trPr>
          <w:gridAfter w:val="1"/>
          <w:wAfter w:w="29" w:type="dxa"/>
        </w:trPr>
        <w:tc>
          <w:tcPr>
            <w:tcW w:w="594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8C70F6A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D36F" w14:textId="55D83887" w:rsidR="000B2A8A" w:rsidRPr="000B2A8A" w:rsidRDefault="000B2A8A" w:rsidP="00BB0283">
            <w:pPr>
              <w:pStyle w:val="Odsekzoznamu"/>
              <w:numPr>
                <w:ilvl w:val="0"/>
                <w:numId w:val="2"/>
              </w:numPr>
              <w:tabs>
                <w:tab w:val="left" w:pos="1029"/>
              </w:tabs>
            </w:pPr>
          </w:p>
        </w:tc>
      </w:tr>
      <w:tr w:rsidR="003501A1" w:rsidRPr="00A179AE" w14:paraId="6BA21FC5" w14:textId="77777777" w:rsidTr="00A00AD9">
        <w:trPr>
          <w:gridAfter w:val="1"/>
          <w:wAfter w:w="29" w:type="dxa"/>
          <w:trHeight w:val="396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D018E63" w14:textId="77777777" w:rsidR="003501A1" w:rsidRPr="00A179AE" w:rsidRDefault="003501A1" w:rsidP="003A1BA9">
            <w:pPr>
              <w:pStyle w:val="Odsekzoznamu"/>
              <w:spacing w:after="12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445" w14:textId="0DF1E8AA" w:rsidR="003501A1" w:rsidRPr="000B2A8A" w:rsidRDefault="00785A9F" w:rsidP="000F0833">
            <w:r>
              <w:t>24.11.</w:t>
            </w:r>
            <w:r w:rsidR="00084E1D">
              <w:t>2020</w:t>
            </w:r>
            <w:r>
              <w:t xml:space="preserve"> – 14.12.2020</w:t>
            </w:r>
          </w:p>
        </w:tc>
      </w:tr>
      <w:tr w:rsidR="003501A1" w:rsidRPr="00A179AE" w14:paraId="0A213168" w14:textId="77777777" w:rsidTr="00A00AD9">
        <w:trPr>
          <w:gridAfter w:val="1"/>
          <w:wAfter w:w="29" w:type="dxa"/>
          <w:trHeight w:val="460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5A9A733" w14:textId="77777777" w:rsidR="003501A1" w:rsidRPr="00A179AE" w:rsidRDefault="003501A1" w:rsidP="003A1BA9">
            <w:pPr>
              <w:pStyle w:val="Odsekzoznamu"/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3941" w14:textId="3490416B" w:rsidR="003501A1" w:rsidRPr="000B2A8A" w:rsidRDefault="00391DE8" w:rsidP="007B71A4">
            <w:r>
              <w:t>a</w:t>
            </w:r>
            <w:bookmarkStart w:id="0" w:name="_GoBack"/>
            <w:bookmarkEnd w:id="0"/>
            <w:r>
              <w:t>ugust 2021</w:t>
            </w:r>
          </w:p>
        </w:tc>
      </w:tr>
      <w:tr w:rsidR="003501A1" w:rsidRPr="00A179AE" w14:paraId="2CABE56D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711E80" w14:textId="77777777" w:rsidR="003501A1" w:rsidRPr="00A179AE" w:rsidRDefault="003501A1" w:rsidP="007B71A4"/>
        </w:tc>
      </w:tr>
      <w:tr w:rsidR="003501A1" w:rsidRPr="00A179AE" w14:paraId="1AF6B132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98D40AA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29553F33" w14:textId="77777777" w:rsidTr="003A1BA9">
        <w:trPr>
          <w:gridAfter w:val="1"/>
          <w:wAfter w:w="29" w:type="dxa"/>
          <w:trHeight w:val="718"/>
        </w:trPr>
        <w:tc>
          <w:tcPr>
            <w:tcW w:w="918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8932D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14:paraId="4F32C7D0" w14:textId="77777777" w:rsidR="004321FA" w:rsidRDefault="004321FA" w:rsidP="003D1FBF">
            <w:pPr>
              <w:spacing w:after="120"/>
              <w:jc w:val="both"/>
            </w:pPr>
            <w:r>
              <w:t xml:space="preserve">Materiál sa predkladá v nadväznosti na uznesenie vlády Slovenskej republiky č. 508 zo 14. októbra 2019, ktorým bol schválený </w:t>
            </w:r>
            <w:r w:rsidR="003D1FBF">
              <w:t>Návrh na úpravu hraníc slovenských komponentov lokality svetového dedičstva UNESCO Staré bukové lesy a bukové pralesy Karpát a iných regiónov Európy</w:t>
            </w:r>
            <w:r w:rsidR="000F0833">
              <w:t xml:space="preserve"> (ďalej len „lokalita UNESCO“)</w:t>
            </w:r>
            <w:r w:rsidR="00997B3E">
              <w:t xml:space="preserve">; konkrétne </w:t>
            </w:r>
            <w:r w:rsidR="000F0833">
              <w:t xml:space="preserve">na </w:t>
            </w:r>
            <w:r w:rsidR="008E0C9E">
              <w:t>úlohu B.1</w:t>
            </w:r>
            <w:r w:rsidR="00997B3E">
              <w:t>: „</w:t>
            </w:r>
            <w:r w:rsidR="00997B3E" w:rsidRPr="00997B3E">
              <w:rPr>
                <w:i/>
              </w:rPr>
              <w:t>predložiť vláde SR projekty ochrany pre jednotlivé komponenty lokality UNESCO vrátane ich nárazníkových zón s cieľom zabezpečiť ich dostatočnú právnu ochranu</w:t>
            </w:r>
            <w:r w:rsidR="00997B3E">
              <w:rPr>
                <w:i/>
              </w:rPr>
              <w:t>“</w:t>
            </w:r>
            <w:r w:rsidR="006631DB">
              <w:t xml:space="preserve">. </w:t>
            </w:r>
          </w:p>
          <w:p w14:paraId="6A2865AE" w14:textId="77777777" w:rsidR="000F0833" w:rsidRDefault="000F0833" w:rsidP="003D1FBF">
            <w:pPr>
              <w:spacing w:after="120"/>
              <w:jc w:val="both"/>
            </w:pPr>
            <w:r>
              <w:t>Vláda Slovenskej republiky už schválila nariadenia, ktorými boli s účinnosťou od 15. septembra 2020 vyhlásené prírodné rezervácie Rydošová a Vihorlatský prales</w:t>
            </w:r>
            <w:r w:rsidR="009777A6">
              <w:t xml:space="preserve"> ako súčasť lokality UNESCO</w:t>
            </w:r>
            <w:r>
              <w:t>. Veľký Bukovec je treťou prírodnou rezerváciou, ktorou by mala byť, v súlade s vládou schválenou úpravou hraníc</w:t>
            </w:r>
            <w:r w:rsidR="009777A6">
              <w:t>,</w:t>
            </w:r>
            <w:r>
              <w:t xml:space="preserve"> zabezpečená </w:t>
            </w:r>
            <w:r w:rsidR="009777A6">
              <w:t xml:space="preserve">požadovaná </w:t>
            </w:r>
            <w:r>
              <w:t>ochran</w:t>
            </w:r>
            <w:r w:rsidR="009777A6">
              <w:t>a</w:t>
            </w:r>
            <w:r>
              <w:t xml:space="preserve"> lokality UNESCO. </w:t>
            </w:r>
          </w:p>
          <w:p w14:paraId="2AD1AC5D" w14:textId="14C10790" w:rsidR="009723AB" w:rsidRDefault="000F0833" w:rsidP="003D1FBF">
            <w:pPr>
              <w:spacing w:after="120"/>
              <w:jc w:val="both"/>
            </w:pPr>
            <w:r>
              <w:t xml:space="preserve">Dôvodom zaradenia Veľkého Bukovca do lokality UNESCO je </w:t>
            </w:r>
            <w:r w:rsidR="00FD0023">
              <w:t>prítomnosť zachovalých bukových lesov s charakterom pralesa.</w:t>
            </w:r>
            <w:r w:rsidR="00837334">
              <w:t xml:space="preserve"> </w:t>
            </w:r>
          </w:p>
          <w:p w14:paraId="48CE31B1" w14:textId="27F92850" w:rsidR="003501A1" w:rsidRPr="005A5E1E" w:rsidRDefault="009777A6" w:rsidP="009777A6">
            <w:pPr>
              <w:spacing w:after="120"/>
              <w:jc w:val="both"/>
            </w:pPr>
            <w:r>
              <w:t xml:space="preserve">Veľký Bukovec </w:t>
            </w:r>
            <w:r w:rsidR="001B3B4D" w:rsidRPr="000F0CA9">
              <w:t xml:space="preserve">je podľa § 22 zákona </w:t>
            </w:r>
            <w:r w:rsidR="001B3B4D">
              <w:t xml:space="preserve">č. 543/2002 Z. z. o ochrane prírody a krajiny v znení neskorších predpisov (ďalej len „zákon č. 543/2002 Z. z.“) </w:t>
            </w:r>
            <w:r>
              <w:t xml:space="preserve">navrhnutý </w:t>
            </w:r>
            <w:r w:rsidR="001B3B4D" w:rsidRPr="000F0CA9">
              <w:t xml:space="preserve">do kategórie </w:t>
            </w:r>
            <w:r w:rsidR="001B3B4D" w:rsidRPr="006865AA">
              <w:t>prírodná rezervácia s </w:t>
            </w:r>
            <w:r w:rsidR="008949A7">
              <w:t xml:space="preserve">5. </w:t>
            </w:r>
            <w:r w:rsidR="001B3B4D" w:rsidRPr="006865AA">
              <w:t>a</w:t>
            </w:r>
            <w:r w:rsidR="008949A7">
              <w:t xml:space="preserve"> 4. </w:t>
            </w:r>
            <w:r w:rsidR="001B3B4D" w:rsidRPr="006865AA">
              <w:t>stupňom ochrany,</w:t>
            </w:r>
            <w:r w:rsidR="001B3B4D" w:rsidRPr="000F0CA9">
              <w:t xml:space="preserve"> ktoré sú vymedzené v rámci zóny A a B.</w:t>
            </w:r>
            <w:r w:rsidR="006631DB">
              <w:t xml:space="preserve"> </w:t>
            </w:r>
          </w:p>
        </w:tc>
      </w:tr>
      <w:tr w:rsidR="003501A1" w:rsidRPr="00A179AE" w14:paraId="5E2E41CA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6665095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6C0E960F" w14:textId="77777777" w:rsidTr="003A1BA9">
        <w:trPr>
          <w:gridAfter w:val="1"/>
          <w:wAfter w:w="29" w:type="dxa"/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EBE2C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14:paraId="77F26503" w14:textId="77777777" w:rsidR="00104C7D" w:rsidRDefault="001B3B4D" w:rsidP="002E25AE">
            <w:pPr>
              <w:spacing w:after="120"/>
              <w:jc w:val="both"/>
            </w:pPr>
            <w:r>
              <w:t>Účelom</w:t>
            </w:r>
            <w:r w:rsidR="008949A7">
              <w:t xml:space="preserve"> </w:t>
            </w:r>
            <w:r w:rsidR="00BD2920" w:rsidRPr="002E25AE">
              <w:t xml:space="preserve">predkladaného materiálu je </w:t>
            </w:r>
            <w:r w:rsidR="00600D75" w:rsidRPr="00600D75">
              <w:t xml:space="preserve">zabezpečenie ochrany prirodzených procesov a umožnenie </w:t>
            </w:r>
            <w:r w:rsidR="00B8421B">
              <w:t xml:space="preserve">prirodzeného </w:t>
            </w:r>
            <w:r w:rsidR="00600D75" w:rsidRPr="00600D75">
              <w:t xml:space="preserve"> vývoja prírodných spoločenstiev nachádzajúcich sa na tomto území</w:t>
            </w:r>
            <w:r w:rsidR="00600D75">
              <w:t xml:space="preserve">, a to </w:t>
            </w:r>
            <w:r w:rsidR="00104C7D">
              <w:t>prostredníctvom zabezpečenia adekvátnej legislatívnej</w:t>
            </w:r>
            <w:r w:rsidR="00104C7D" w:rsidRPr="00104C7D">
              <w:t xml:space="preserve"> ochrany </w:t>
            </w:r>
            <w:r w:rsidR="00104C7D">
              <w:t xml:space="preserve">tohto </w:t>
            </w:r>
            <w:r w:rsidR="00104C7D" w:rsidRPr="00104C7D">
              <w:t>územia medzinárodného významu</w:t>
            </w:r>
            <w:r w:rsidR="00104C7D">
              <w:t>.</w:t>
            </w:r>
          </w:p>
          <w:p w14:paraId="291A2BC9" w14:textId="2E3C637B" w:rsidR="00A67F28" w:rsidRPr="00A179AE" w:rsidRDefault="00C71D59" w:rsidP="009777A6">
            <w:pPr>
              <w:spacing w:after="120"/>
              <w:jc w:val="both"/>
            </w:pPr>
            <w:r w:rsidRPr="002E25AE">
              <w:t>S</w:t>
            </w:r>
            <w:r w:rsidR="00104C7D">
              <w:t>chválením</w:t>
            </w:r>
            <w:r w:rsidRPr="002E25AE">
              <w:t xml:space="preserve"> materiálu</w:t>
            </w:r>
            <w:r w:rsidR="00104C7D">
              <w:t xml:space="preserve"> </w:t>
            </w:r>
            <w:r w:rsidR="00104C7D" w:rsidRPr="001652ED">
              <w:t>dôjde k </w:t>
            </w:r>
            <w:r w:rsidR="009777A6" w:rsidRPr="001652ED">
              <w:t>s</w:t>
            </w:r>
            <w:r w:rsidR="00104C7D" w:rsidRPr="001652ED">
              <w:t>plneniu úlohy</w:t>
            </w:r>
            <w:r w:rsidR="00104C7D">
              <w:t xml:space="preserve"> B.1 uznesenia vlády Slovenskej republiky č. 508</w:t>
            </w:r>
            <w:r w:rsidR="009777A6">
              <w:t xml:space="preserve"> zo 14. októbra </w:t>
            </w:r>
            <w:r w:rsidR="00104C7D">
              <w:t xml:space="preserve">2019. Zároveň </w:t>
            </w:r>
            <w:r w:rsidR="00600D75">
              <w:t xml:space="preserve">sa naplnia požiadavky Výboru svetového dedičstva na zabezpečenie adekvátnej právnej ochrany lokality UNESCO, ktoré </w:t>
            </w:r>
            <w:r w:rsidR="009777A6">
              <w:t>tento v</w:t>
            </w:r>
            <w:r w:rsidR="00600D75">
              <w:t>ýbor opakovane deklaroval vo svojich rozhodnutiach, ako aj odporúčania spoločnej poradnej misie Centra svetového dedičstva a IUCN, ktorá sa konala priamo v slovenských komponentoch lokality UNESCO v októbri 2018 (odporúčania č. 4 a 5).</w:t>
            </w:r>
          </w:p>
        </w:tc>
      </w:tr>
      <w:tr w:rsidR="003501A1" w:rsidRPr="00A179AE" w14:paraId="35F14762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69FA7B4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14:paraId="504CBAD1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C4DC7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14:paraId="6953D62F" w14:textId="01DA9569" w:rsidR="00191BAB" w:rsidRPr="002E25AE" w:rsidRDefault="00267EF2" w:rsidP="008E41B1">
            <w:pPr>
              <w:jc w:val="both"/>
              <w:rPr>
                <w:i/>
              </w:rPr>
            </w:pPr>
            <w:r>
              <w:rPr>
                <w:bCs/>
              </w:rPr>
              <w:t>Lesopoľnohospodársk</w:t>
            </w:r>
            <w:r w:rsidR="008E41B1">
              <w:rPr>
                <w:bCs/>
              </w:rPr>
              <w:t>y</w:t>
            </w:r>
            <w:r>
              <w:rPr>
                <w:bCs/>
              </w:rPr>
              <w:t xml:space="preserve"> majet</w:t>
            </w:r>
            <w:r w:rsidR="003639E5">
              <w:rPr>
                <w:bCs/>
              </w:rPr>
              <w:t>ok</w:t>
            </w:r>
            <w:r>
              <w:rPr>
                <w:bCs/>
              </w:rPr>
              <w:t xml:space="preserve"> Ulič, š. p., </w:t>
            </w:r>
            <w:r w:rsidR="003639E5">
              <w:rPr>
                <w:bCs/>
              </w:rPr>
              <w:t>Bestry, s. r. o</w:t>
            </w:r>
            <w:r w:rsidR="008E41B1">
              <w:rPr>
                <w:bCs/>
              </w:rPr>
              <w:t>.</w:t>
            </w:r>
            <w:r w:rsidR="003639E5">
              <w:rPr>
                <w:bCs/>
              </w:rPr>
              <w:t xml:space="preserve">, </w:t>
            </w:r>
            <w:r w:rsidR="008F449A">
              <w:t xml:space="preserve">Ministerstvo pôdohospodárstva a rozvoja vidieka Slovenskej republiky, </w:t>
            </w:r>
            <w:r w:rsidRPr="00267EF2">
              <w:t>Slovenský pozemkový fond</w:t>
            </w:r>
            <w:r>
              <w:t xml:space="preserve">, </w:t>
            </w:r>
            <w:r w:rsidR="008F449A">
              <w:t>Štátna ochrana prírody Slovenskej republiky,</w:t>
            </w:r>
            <w:r w:rsidR="001652ED">
              <w:t xml:space="preserve"> </w:t>
            </w:r>
            <w:r w:rsidR="001652ED" w:rsidRPr="001652ED">
              <w:t xml:space="preserve">Slovenský vodohospodársky podnik, š.p., </w:t>
            </w:r>
            <w:r w:rsidR="008F449A">
              <w:t xml:space="preserve"> </w:t>
            </w:r>
            <w:r w:rsidR="001652ED">
              <w:t>Obec Nová Sedlica, súkromn</w:t>
            </w:r>
            <w:r w:rsidR="008E41B1">
              <w:t>í</w:t>
            </w:r>
            <w:r w:rsidR="001652ED">
              <w:t xml:space="preserve"> vlastníci pozemkov, </w:t>
            </w:r>
            <w:r w:rsidR="002E72BC" w:rsidRPr="002E25AE">
              <w:t>záujmové združenia</w:t>
            </w:r>
            <w:r w:rsidR="00550D88">
              <w:t>,</w:t>
            </w:r>
            <w:r w:rsidR="002E72BC" w:rsidRPr="002E25AE">
              <w:t xml:space="preserve"> </w:t>
            </w:r>
            <w:r w:rsidR="00A67F28" w:rsidRPr="002E25AE">
              <w:t>verejnosť.</w:t>
            </w:r>
            <w:r w:rsidR="002E72BC" w:rsidRPr="002E25AE">
              <w:t xml:space="preserve"> </w:t>
            </w:r>
          </w:p>
        </w:tc>
      </w:tr>
      <w:tr w:rsidR="003501A1" w:rsidRPr="00A179AE" w14:paraId="7E9B2BB8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AA7B36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11548B47" w14:textId="77777777" w:rsidTr="003A1BA9">
        <w:trPr>
          <w:gridAfter w:val="1"/>
          <w:wAfter w:w="29" w:type="dxa"/>
          <w:trHeight w:val="279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92ADB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14:paraId="091DD486" w14:textId="23FC5894" w:rsidR="00A67F28" w:rsidRPr="00A67F28" w:rsidRDefault="0004168C" w:rsidP="006D4269">
            <w:pPr>
              <w:jc w:val="both"/>
            </w:pPr>
            <w:r>
              <w:lastRenderedPageBreak/>
              <w:t xml:space="preserve">Alternatívne bol posudzovaný scenár 0 </w:t>
            </w:r>
            <w:r w:rsidR="003D415C">
              <w:t>–</w:t>
            </w:r>
            <w:r>
              <w:t xml:space="preserve"> </w:t>
            </w:r>
            <w:r w:rsidR="003D415C">
              <w:t>teda zachovanie súčasného stavu</w:t>
            </w:r>
            <w:r w:rsidR="00F967E1">
              <w:t>. V tomto prípade by pretrvávala situácia, v</w:t>
            </w:r>
            <w:r w:rsidR="008F449A">
              <w:t> </w:t>
            </w:r>
            <w:r w:rsidR="00F967E1">
              <w:t>ktorej</w:t>
            </w:r>
            <w:r w:rsidR="008F449A">
              <w:t xml:space="preserve"> sú</w:t>
            </w:r>
            <w:r w:rsidR="00F967E1">
              <w:t xml:space="preserve"> </w:t>
            </w:r>
            <w:r w:rsidR="008F449A">
              <w:t>súčasťou</w:t>
            </w:r>
            <w:r w:rsidR="00F967E1">
              <w:t xml:space="preserve"> lokality </w:t>
            </w:r>
            <w:r w:rsidR="009777A6">
              <w:t>UNESCO</w:t>
            </w:r>
            <w:r w:rsidR="00F967E1">
              <w:t xml:space="preserve"> </w:t>
            </w:r>
            <w:r w:rsidR="008F449A">
              <w:t>aj územia, ktoré nemajú zabezpečenú</w:t>
            </w:r>
            <w:r w:rsidR="00F967E1">
              <w:t xml:space="preserve"> adekvátn</w:t>
            </w:r>
            <w:r w:rsidR="008F449A">
              <w:t xml:space="preserve">u právnu ochranu, čo </w:t>
            </w:r>
            <w:r w:rsidR="00A72BAC">
              <w:t xml:space="preserve">predstavuje potenciálnu hrozbu z hľadiska ochrany výnimočnej svetovej hodnoty </w:t>
            </w:r>
            <w:r w:rsidR="009777A6">
              <w:t>tohto územia medzinárodného významu</w:t>
            </w:r>
            <w:r w:rsidR="00A72BAC">
              <w:t xml:space="preserve">. </w:t>
            </w:r>
            <w:r w:rsidR="00F967E1">
              <w:t xml:space="preserve">Na túto situáciu Slovensko opakovane upozornil Výbor svetového dedičstva so žiadosťou o nápravu (napr. v rozhodnutiach </w:t>
            </w:r>
            <w:r w:rsidR="00F967E1" w:rsidRPr="00B15D39">
              <w:t>39 COM 7B.19</w:t>
            </w:r>
            <w:r w:rsidR="00F967E1">
              <w:t xml:space="preserve">, </w:t>
            </w:r>
            <w:r w:rsidR="00F967E1" w:rsidRPr="00B15D39">
              <w:t>41 COM 7B.4</w:t>
            </w:r>
            <w:r w:rsidR="00F967E1">
              <w:t xml:space="preserve">, </w:t>
            </w:r>
            <w:r w:rsidR="00F967E1" w:rsidRPr="00B15D39">
              <w:t>42 COM 7B.71</w:t>
            </w:r>
            <w:r w:rsidR="00F967E1">
              <w:t xml:space="preserve">). V prípade, že by Slovensko túto situáciu neriešilo a Výbor svetového dedičstva by to vyhodnotil ako vážne ohrozenie </w:t>
            </w:r>
            <w:r w:rsidR="00A72BAC">
              <w:t>výnimočnej</w:t>
            </w:r>
            <w:r w:rsidR="00F967E1">
              <w:t xml:space="preserve"> svetovej hodnoty lokality, hrozilo by eventuálne zaradenie lokality (ako celku) na Zoznam svetového dedičstva v ohrození.</w:t>
            </w:r>
          </w:p>
          <w:p w14:paraId="586EDEA9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14:paraId="3060EC43" w14:textId="77777777" w:rsidR="00A67F28" w:rsidRPr="003A1BA9" w:rsidRDefault="002E72BC" w:rsidP="003A1BA9">
            <w:pPr>
              <w:jc w:val="both"/>
              <w:rPr>
                <w:i/>
              </w:rPr>
            </w:pPr>
            <w:r>
              <w:t>-</w:t>
            </w:r>
          </w:p>
        </w:tc>
      </w:tr>
      <w:tr w:rsidR="003501A1" w:rsidRPr="00A179AE" w14:paraId="251CDF7F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36FDA7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Vykonávacie predpisy</w:t>
            </w:r>
          </w:p>
        </w:tc>
      </w:tr>
      <w:tr w:rsidR="003501A1" w:rsidRPr="00A179AE" w14:paraId="621D420C" w14:textId="77777777" w:rsidTr="003A1BA9">
        <w:trPr>
          <w:gridAfter w:val="1"/>
          <w:wAfter w:w="29" w:type="dxa"/>
        </w:trPr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B6E413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589E0C" w14:textId="77777777" w:rsidR="003501A1" w:rsidRPr="00A179AE" w:rsidRDefault="004D5C02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</w:t>
            </w:r>
            <w:r w:rsidR="003501A1" w:rsidRPr="00993186">
              <w:t>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B3F07A" w14:textId="77777777" w:rsidR="003501A1" w:rsidRPr="00A179AE" w:rsidRDefault="004D5C02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31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00F66594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BBC60" w14:textId="77777777" w:rsidR="003501A1" w:rsidRPr="005A5E1E" w:rsidRDefault="003501A1" w:rsidP="008F431E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  <w:r w:rsidR="005A5E1E">
              <w:rPr>
                <w:i/>
              </w:rPr>
              <w:t xml:space="preserve">     -</w:t>
            </w:r>
          </w:p>
        </w:tc>
      </w:tr>
      <w:tr w:rsidR="003501A1" w:rsidRPr="00A179AE" w14:paraId="26DE00D7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7A382CF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120A3931" w14:textId="77777777" w:rsidTr="003A1BA9">
        <w:trPr>
          <w:gridAfter w:val="1"/>
          <w:wAfter w:w="29" w:type="dxa"/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D2FB94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14:paraId="2B4C20CD" w14:textId="77777777" w:rsidTr="003A1BA9">
        <w:trPr>
          <w:gridAfter w:val="1"/>
          <w:wAfter w:w="29" w:type="dxa"/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40D585" w14:textId="77777777" w:rsidR="003501A1" w:rsidRPr="00A179AE" w:rsidRDefault="00B7172B" w:rsidP="00A67F28">
            <w:r>
              <w:t>-</w:t>
            </w:r>
          </w:p>
        </w:tc>
      </w:tr>
      <w:tr w:rsidR="003501A1" w:rsidRPr="00A179AE" w14:paraId="0430467A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29333A0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3B6BDFE4" w14:textId="77777777" w:rsidTr="003A1BA9">
        <w:trPr>
          <w:gridAfter w:val="1"/>
          <w:wAfter w:w="29" w:type="dxa"/>
        </w:trPr>
        <w:tc>
          <w:tcPr>
            <w:tcW w:w="918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C5AC6" w14:textId="77777777"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14:paraId="340332B6" w14:textId="77777777" w:rsidR="00A67F28" w:rsidRPr="00A67F28" w:rsidRDefault="006A1708" w:rsidP="00B7172B">
            <w:pPr>
              <w:jc w:val="both"/>
            </w:pPr>
            <w:r>
              <w:t>-</w:t>
            </w:r>
          </w:p>
          <w:p w14:paraId="79BD4AED" w14:textId="77777777"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14:paraId="6DF06BFE" w14:textId="77777777" w:rsidR="003501A1" w:rsidRPr="00A179AE" w:rsidRDefault="006A1708">
            <w:pPr>
              <w:rPr>
                <w:i/>
              </w:rPr>
            </w:pPr>
            <w:r>
              <w:t>-</w:t>
            </w:r>
          </w:p>
        </w:tc>
      </w:tr>
      <w:tr w:rsidR="003501A1" w:rsidRPr="00A179AE" w14:paraId="4DAA3AC0" w14:textId="77777777" w:rsidTr="003A1BA9">
        <w:trPr>
          <w:gridAfter w:val="1"/>
          <w:wAfter w:w="29" w:type="dxa"/>
          <w:trHeight w:val="852"/>
        </w:trPr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7907F8" w14:textId="77777777" w:rsidR="00D13B6F" w:rsidRDefault="00D13B6F" w:rsidP="00B7172B"/>
          <w:p w14:paraId="22337C47" w14:textId="77777777"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14:paraId="2C3378B3" w14:textId="77777777" w:rsidR="003501A1" w:rsidRPr="00A179AE" w:rsidRDefault="00F62771" w:rsidP="00B7172B">
            <w:pPr>
              <w:spacing w:after="120"/>
            </w:pPr>
            <w:r>
              <w:t>*</w:t>
            </w:r>
            <w:r w:rsidR="00F22831">
              <w:t>* nepovinné</w:t>
            </w:r>
          </w:p>
        </w:tc>
      </w:tr>
      <w:tr w:rsidR="003501A1" w:rsidRPr="00A179AE" w14:paraId="15DCADF1" w14:textId="77777777" w:rsidTr="003A1BA9">
        <w:trPr>
          <w:gridAfter w:val="1"/>
          <w:wAfter w:w="29" w:type="dxa"/>
          <w:trHeight w:val="577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169CBBC8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14:paraId="40945410" w14:textId="77777777" w:rsidTr="00A00AD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E09B890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5FA4720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77628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0CCCD12" w14:textId="77777777" w:rsidR="003501A1" w:rsidRPr="00A179AE" w:rsidRDefault="00A00AD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42500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A6C3555" w14:textId="77777777" w:rsidR="003501A1" w:rsidRPr="00A179AE" w:rsidRDefault="00A00AD9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6F0E5" w14:textId="77777777"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7C2F4954" w14:textId="77777777" w:rsidTr="00A00AD9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1569BF9C" w14:textId="77777777"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4E87654" w14:textId="77777777" w:rsidR="003501A1" w:rsidRPr="00A179AE" w:rsidRDefault="005149C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01FE6" w14:textId="77777777"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6A49AEA" w14:textId="77777777" w:rsidR="003501A1" w:rsidRPr="00A179AE" w:rsidRDefault="00FB73C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7CD1D" w14:textId="77777777"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8E49DA9" w14:textId="77777777"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14B36" w14:textId="77777777"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14:paraId="3AE6681D" w14:textId="77777777" w:rsidTr="00A00AD9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D1D1F51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1472D63" w14:textId="77777777" w:rsidR="003501A1" w:rsidRPr="00A179AE" w:rsidRDefault="005149C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4E2F7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AA3F9D1" w14:textId="77777777" w:rsidR="003501A1" w:rsidRPr="00A179AE" w:rsidRDefault="005149C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3A9D6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A872139" w14:textId="77777777" w:rsidR="003501A1" w:rsidRPr="00A179AE" w:rsidRDefault="005149C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28789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550ED6AA" w14:textId="77777777" w:rsidTr="00A00AD9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3434F61B" w14:textId="77777777"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6ED22DEA" w14:textId="77777777" w:rsidR="003501A1" w:rsidRPr="00A179AE" w:rsidRDefault="005149C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86E7C" w14:textId="77777777"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FF343EA" w14:textId="77777777" w:rsidR="003501A1" w:rsidRPr="00A179AE" w:rsidRDefault="0066529A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1630B" w14:textId="77777777"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C15A37" w14:textId="77777777" w:rsidR="003501A1" w:rsidRPr="00A179AE" w:rsidRDefault="005149C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EB2D0" w14:textId="77777777"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14:paraId="6D50C6ED" w14:textId="77777777" w:rsidTr="00A00AD9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54E1066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ED7EE54" w14:textId="77777777" w:rsidR="003501A1" w:rsidRPr="00A179AE" w:rsidRDefault="00A00AD9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EB4C1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6C91858" w14:textId="77777777" w:rsidR="003501A1" w:rsidRPr="00A179AE" w:rsidRDefault="0066529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7C5B3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4286D25" w14:textId="77777777" w:rsidR="003501A1" w:rsidRPr="00A179AE" w:rsidRDefault="0066529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00DDE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65C45CFB" w14:textId="77777777" w:rsidTr="00A00AD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EEC64AA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DDE9D41" w14:textId="77777777" w:rsidR="003501A1" w:rsidRPr="00A179AE" w:rsidRDefault="00845D5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3BC1A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1940418" w14:textId="77777777" w:rsidR="003501A1" w:rsidRPr="00A179AE" w:rsidRDefault="00845D5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DCD9C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D7598B0" w14:textId="77777777" w:rsidR="003501A1" w:rsidRPr="00A179AE" w:rsidRDefault="006346B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F7411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79CAC083" w14:textId="77777777" w:rsidTr="00A00AD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92FFADA" w14:textId="77777777"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0B745BB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AC3D2" w14:textId="77777777"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C36FB32" w14:textId="77777777" w:rsidR="003501A1" w:rsidRPr="00A179AE" w:rsidRDefault="00A67F28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FA370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E3DE1FE" w14:textId="77777777"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3B319" w14:textId="77777777"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53CA0075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2485A26" w14:textId="77777777"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B747AF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45E35B" w14:textId="77777777"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3011A5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21BCE3" w14:textId="77777777"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58110F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930F97" w14:textId="77777777"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14:paraId="664F6566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78078FA" w14:textId="77777777"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66ADB495" w14:textId="77777777" w:rsidR="001A1559" w:rsidRPr="00A179AE" w:rsidRDefault="006A1708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5A6F3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B12848E" w14:textId="77777777" w:rsidR="001A1559" w:rsidRPr="00A179AE" w:rsidRDefault="006A1708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411FA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FE28E38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76D17D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14:paraId="471CEDE1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EF1F4B7" w14:textId="77777777"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345D137" w14:textId="77777777" w:rsidR="001A1559" w:rsidRPr="00A179AE" w:rsidRDefault="006A1708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828C9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4C17FF6" w14:textId="77777777" w:rsidR="001A1559" w:rsidRPr="00A179AE" w:rsidRDefault="006A1708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6CB25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2BC2EEC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DD77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F967E1" w:rsidRPr="009634B3" w14:paraId="1379E33E" w14:textId="77777777" w:rsidTr="00F967E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BDEADCD" w14:textId="77777777" w:rsidR="00F967E1" w:rsidRDefault="00F967E1" w:rsidP="00FB087A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2D311B">
              <w:rPr>
                <w:rFonts w:eastAsia="Calibri"/>
                <w:b/>
                <w:lang w:eastAsia="en-US"/>
              </w:rPr>
              <w:t>Vplyvy na manželstvo, rodičovstvo a rodinu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BE5BE0" w14:textId="77777777" w:rsidR="00F967E1" w:rsidRPr="002D311B" w:rsidRDefault="00F967E1" w:rsidP="00FB087A">
            <w:pPr>
              <w:jc w:val="center"/>
              <w:rPr>
                <w:b/>
              </w:rPr>
            </w:pPr>
            <w:r w:rsidRPr="00F967E1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78860" w14:textId="77777777" w:rsidR="00F967E1" w:rsidRPr="002D311B" w:rsidRDefault="00F967E1" w:rsidP="00FB087A">
            <w:pPr>
              <w:ind w:right="-108"/>
              <w:rPr>
                <w:b/>
              </w:rPr>
            </w:pPr>
            <w:r w:rsidRPr="002D311B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97A937" w14:textId="77777777" w:rsidR="00F967E1" w:rsidRPr="002D311B" w:rsidRDefault="00F967E1" w:rsidP="00FB087A">
            <w:pPr>
              <w:jc w:val="center"/>
              <w:rPr>
                <w:b/>
              </w:rPr>
            </w:pPr>
            <w:r w:rsidRPr="00F967E1">
              <w:rPr>
                <w:rFonts w:ascii="MS Gothic" w:eastAsia="MS Gothic" w:hAnsi="MS Gothic" w:cs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34A65" w14:textId="77777777" w:rsidR="00F967E1" w:rsidRPr="002D311B" w:rsidRDefault="00F967E1" w:rsidP="00FB087A">
            <w:pPr>
              <w:rPr>
                <w:b/>
              </w:rPr>
            </w:pPr>
            <w:r w:rsidRPr="002D311B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9CCFE" w14:textId="77777777" w:rsidR="00F967E1" w:rsidRPr="002D311B" w:rsidRDefault="00F967E1" w:rsidP="00FB087A">
            <w:pPr>
              <w:jc w:val="center"/>
              <w:rPr>
                <w:b/>
              </w:rPr>
            </w:pPr>
            <w:r w:rsidRPr="00F967E1">
              <w:rPr>
                <w:rFonts w:ascii="MS Gothic" w:eastAsia="MS Gothic" w:hAnsi="MS Gothic" w:cs="MS Gothic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3758" w14:textId="77777777" w:rsidR="00F967E1" w:rsidRPr="002D311B" w:rsidRDefault="00F967E1" w:rsidP="00FB087A">
            <w:pPr>
              <w:ind w:left="54"/>
              <w:rPr>
                <w:b/>
              </w:rPr>
            </w:pPr>
            <w:r w:rsidRPr="002D311B">
              <w:rPr>
                <w:b/>
              </w:rPr>
              <w:t>Negatívne</w:t>
            </w:r>
          </w:p>
        </w:tc>
      </w:tr>
    </w:tbl>
    <w:p w14:paraId="460F84CF" w14:textId="77777777"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7061B0CD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C66D762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2DCE0747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6EC89F62" w14:textId="77777777" w:rsidR="006A1708" w:rsidRDefault="004F6F1F" w:rsidP="006A1708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14:paraId="3BC91F99" w14:textId="5EECBF0C" w:rsidR="009600B7" w:rsidRPr="00214B63" w:rsidRDefault="00214B63" w:rsidP="002A027F">
            <w:pPr>
              <w:spacing w:after="120"/>
              <w:jc w:val="both"/>
            </w:pPr>
            <w:r w:rsidRPr="00214B63">
              <w:t xml:space="preserve">Materiál je predkladaný </w:t>
            </w:r>
            <w:r w:rsidR="002E25AE" w:rsidRPr="00F007FF">
              <w:t>v</w:t>
            </w:r>
            <w:r w:rsidR="00A72BAC">
              <w:t> priamej nadväznosti na uznesenie vlády Slovenskej republiky č. 508</w:t>
            </w:r>
            <w:r w:rsidR="002A027F">
              <w:t xml:space="preserve"> zo 14. októbra </w:t>
            </w:r>
            <w:r w:rsidR="00A72BAC">
              <w:t>2019</w:t>
            </w:r>
            <w:r w:rsidR="00C247C2">
              <w:t>.</w:t>
            </w:r>
            <w:r w:rsidR="002A027F">
              <w:t xml:space="preserve"> </w:t>
            </w:r>
            <w:r w:rsidR="00C247C2">
              <w:t>Nakoľko vplyvy</w:t>
            </w:r>
            <w:r w:rsidR="004022AF">
              <w:t xml:space="preserve"> </w:t>
            </w:r>
            <w:r w:rsidR="00475447">
              <w:t xml:space="preserve">úpravy hraníc lokality UNESCO, vrátane vyhlásenia nových prírodných rezervácií, </w:t>
            </w:r>
            <w:r w:rsidR="004022AF">
              <w:t>už boli analyzované v</w:t>
            </w:r>
            <w:r w:rsidR="00475447">
              <w:t xml:space="preserve"> materiáli </w:t>
            </w:r>
            <w:r w:rsidR="004022AF" w:rsidRPr="004022AF">
              <w:t>Návrh na úpravu hraníc slovenských komponentov lokality svetového dedičstva UNESCO Staré bukové lesy a bukové pralesy Karpát a iných regiónov Európy</w:t>
            </w:r>
            <w:r w:rsidR="004022AF">
              <w:t xml:space="preserve"> </w:t>
            </w:r>
            <w:r w:rsidR="001B3B4D">
              <w:t>(ďalej len „vládou schválený materiál“)</w:t>
            </w:r>
            <w:r w:rsidR="00475447">
              <w:t>, predkladaný materiál už opätovne neuvádza analýzu vybraných vplyvov</w:t>
            </w:r>
            <w:r w:rsidR="002A027F">
              <w:t xml:space="preserve"> nad rámec vládou schváleného materiálu</w:t>
            </w:r>
            <w:r w:rsidR="00475447">
              <w:t>, aby sa tak predišlo</w:t>
            </w:r>
            <w:r w:rsidR="00180BC1">
              <w:t xml:space="preserve"> ich</w:t>
            </w:r>
            <w:r w:rsidR="00475447">
              <w:t xml:space="preserve"> duplicitnej identifikácii.</w:t>
            </w:r>
            <w:r w:rsidR="002A027F">
              <w:t xml:space="preserve"> </w:t>
            </w:r>
            <w:r w:rsidR="002A027F" w:rsidRPr="003639E5">
              <w:t>Rovnaký postup bol zvolený v oboch vládou schválených nariadeniach vlády, ktorými boli vyhlásené PR Rydošová a PR Vihorlatský prales.</w:t>
            </w:r>
          </w:p>
        </w:tc>
      </w:tr>
      <w:tr w:rsidR="003501A1" w:rsidRPr="00A179AE" w14:paraId="35531844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3F9E856" w14:textId="77777777" w:rsidR="003501A1" w:rsidRPr="00DE6334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DE6334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14:paraId="3563F0EB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6A731" w14:textId="77777777" w:rsidR="000B0B69" w:rsidRPr="00DE6334" w:rsidRDefault="00D13B6F" w:rsidP="00255C5D">
            <w:pPr>
              <w:jc w:val="both"/>
              <w:rPr>
                <w:i/>
              </w:rPr>
            </w:pPr>
            <w:r w:rsidRPr="00DE6334">
              <w:rPr>
                <w:i/>
              </w:rPr>
              <w:t>Uveďte údaje na kontaktnú osobu, ktorú je možné kontaktovať v súvislosti s posúdením vybraných vplyvov</w:t>
            </w:r>
          </w:p>
          <w:p w14:paraId="78D8EF5E" w14:textId="73E2C957" w:rsidR="003501A1" w:rsidRPr="00DE6334" w:rsidRDefault="000B0B69" w:rsidP="00EB1635">
            <w:pPr>
              <w:spacing w:after="360"/>
              <w:jc w:val="both"/>
            </w:pPr>
            <w:r w:rsidRPr="00DE6334">
              <w:lastRenderedPageBreak/>
              <w:t xml:space="preserve">Mgr. </w:t>
            </w:r>
            <w:r w:rsidR="00EB1635">
              <w:t>Ján Drotár</w:t>
            </w:r>
            <w:r w:rsidR="00641F81" w:rsidRPr="00DE6334">
              <w:t xml:space="preserve">, </w:t>
            </w:r>
            <w:r w:rsidR="005B5D5B" w:rsidRPr="00DE6334">
              <w:t xml:space="preserve">sekcia ochrany prírody, biodiverzity a krajiny Ministerstva životného prostredia </w:t>
            </w:r>
            <w:r w:rsidR="00641F81" w:rsidRPr="00DE6334">
              <w:t>SR</w:t>
            </w:r>
            <w:r w:rsidR="002E72BC" w:rsidRPr="00DE6334">
              <w:t xml:space="preserve"> </w:t>
            </w:r>
            <w:r w:rsidR="00641F81" w:rsidRPr="00DE6334">
              <w:t>kontakt:</w:t>
            </w:r>
            <w:r w:rsidR="00EB1635">
              <w:t xml:space="preserve"> jan.drotar@enviro.gov.sk</w:t>
            </w:r>
            <w:r w:rsidR="002E72BC" w:rsidRPr="00DE6334">
              <w:t xml:space="preserve">, tel. č. 02/5956 </w:t>
            </w:r>
            <w:r w:rsidR="00D2312B" w:rsidRPr="00DE6334">
              <w:t>2</w:t>
            </w:r>
            <w:r w:rsidR="00EB1635">
              <w:t>474</w:t>
            </w:r>
            <w:r w:rsidR="00DE6334">
              <w:t>.</w:t>
            </w:r>
          </w:p>
        </w:tc>
      </w:tr>
      <w:tr w:rsidR="003501A1" w:rsidRPr="00A179AE" w14:paraId="627BFD7E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61E464E" w14:textId="77777777" w:rsidR="003501A1" w:rsidRPr="00A179AE" w:rsidRDefault="003501A1" w:rsidP="00255C5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Zdroje</w:t>
            </w:r>
          </w:p>
        </w:tc>
      </w:tr>
      <w:tr w:rsidR="003501A1" w:rsidRPr="00A179AE" w14:paraId="2FBD7AE0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8BED6" w14:textId="77777777" w:rsidR="003501A1" w:rsidRDefault="003501A1" w:rsidP="00255C5D">
            <w:pPr>
              <w:spacing w:after="120"/>
              <w:jc w:val="both"/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14:paraId="6A080DDC" w14:textId="488F8F64" w:rsidR="00CF5D2D" w:rsidRPr="001652ED" w:rsidRDefault="00EB1635" w:rsidP="00664201">
            <w:pPr>
              <w:spacing w:after="120"/>
              <w:jc w:val="both"/>
            </w:pPr>
            <w:r>
              <w:t>Vládou schválený materiál (uznesenie vlády SR č. 508 zo 14. októbra 2019)</w:t>
            </w:r>
            <w:r w:rsidR="005A2C9A">
              <w:t>.</w:t>
            </w:r>
          </w:p>
          <w:p w14:paraId="4F7DFF71" w14:textId="16B99EA6" w:rsidR="00EB1635" w:rsidRPr="001652ED" w:rsidRDefault="00EB1635" w:rsidP="00664201">
            <w:pPr>
              <w:spacing w:after="120"/>
              <w:jc w:val="both"/>
              <w:rPr>
                <w:i/>
                <w:strike/>
              </w:rPr>
            </w:pPr>
          </w:p>
        </w:tc>
      </w:tr>
      <w:tr w:rsidR="003501A1" w:rsidRPr="00A179AE" w14:paraId="44545106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31FC1A3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</w:t>
            </w:r>
            <w:r w:rsidR="00CF5D2D">
              <w:rPr>
                <w:rFonts w:ascii="Times New Roman" w:hAnsi="Times New Roman" w:cs="Times New Roman"/>
                <w:b/>
              </w:rPr>
              <w:t> </w:t>
            </w:r>
            <w:r w:rsidRPr="00A179AE">
              <w:rPr>
                <w:rFonts w:ascii="Times New Roman" w:hAnsi="Times New Roman" w:cs="Times New Roman"/>
                <w:b/>
              </w:rPr>
              <w:t>PPK</w:t>
            </w:r>
          </w:p>
        </w:tc>
      </w:tr>
      <w:tr w:rsidR="003501A1" w:rsidRPr="00A179AE" w14:paraId="4C8A61A3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42C99" w14:textId="77777777" w:rsidR="00F05641" w:rsidRDefault="003501A1" w:rsidP="00A72BAC">
            <w:pPr>
              <w:spacing w:after="120"/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14:paraId="71B51F9B" w14:textId="53BB8914" w:rsidR="00BB0283" w:rsidRPr="00BB0283" w:rsidRDefault="00BB0283" w:rsidP="00BB0283">
            <w:pPr>
              <w:pStyle w:val="Odsekzoznamu"/>
              <w:numPr>
                <w:ilvl w:val="0"/>
                <w:numId w:val="2"/>
              </w:numPr>
              <w:spacing w:after="120"/>
              <w:rPr>
                <w:i/>
              </w:rPr>
            </w:pPr>
          </w:p>
        </w:tc>
      </w:tr>
    </w:tbl>
    <w:p w14:paraId="73D08C71" w14:textId="77777777" w:rsidR="003501A1" w:rsidRDefault="003501A1" w:rsidP="003A1BA9">
      <w:pPr>
        <w:rPr>
          <w:b/>
        </w:rPr>
      </w:pPr>
    </w:p>
    <w:sectPr w:rsidR="003501A1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8709B" w14:textId="77777777" w:rsidR="004D5C02" w:rsidRDefault="004D5C02" w:rsidP="003501A1">
      <w:r>
        <w:separator/>
      </w:r>
    </w:p>
  </w:endnote>
  <w:endnote w:type="continuationSeparator" w:id="0">
    <w:p w14:paraId="37072C9D" w14:textId="77777777" w:rsidR="004D5C02" w:rsidRDefault="004D5C02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Gentium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1961B" w14:textId="77777777" w:rsidR="004D5C02" w:rsidRDefault="004D5C02" w:rsidP="003501A1">
      <w:r>
        <w:separator/>
      </w:r>
    </w:p>
  </w:footnote>
  <w:footnote w:type="continuationSeparator" w:id="0">
    <w:p w14:paraId="3C0618C5" w14:textId="77777777" w:rsidR="004D5C02" w:rsidRDefault="004D5C02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C3243"/>
    <w:multiLevelType w:val="hybridMultilevel"/>
    <w:tmpl w:val="98069D38"/>
    <w:lvl w:ilvl="0" w:tplc="10D07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17187"/>
    <w:rsid w:val="00036A60"/>
    <w:rsid w:val="0004168C"/>
    <w:rsid w:val="00084E1D"/>
    <w:rsid w:val="000A1E34"/>
    <w:rsid w:val="000A31DA"/>
    <w:rsid w:val="000B0B69"/>
    <w:rsid w:val="000B2A8A"/>
    <w:rsid w:val="000B4106"/>
    <w:rsid w:val="000C174F"/>
    <w:rsid w:val="000D40AB"/>
    <w:rsid w:val="000F0833"/>
    <w:rsid w:val="00102592"/>
    <w:rsid w:val="00102B33"/>
    <w:rsid w:val="00104C7D"/>
    <w:rsid w:val="00114644"/>
    <w:rsid w:val="0011693A"/>
    <w:rsid w:val="001652ED"/>
    <w:rsid w:val="00175FD8"/>
    <w:rsid w:val="00180BC1"/>
    <w:rsid w:val="001819AF"/>
    <w:rsid w:val="0018649D"/>
    <w:rsid w:val="00191BAB"/>
    <w:rsid w:val="001923DC"/>
    <w:rsid w:val="001A1559"/>
    <w:rsid w:val="001A7EFE"/>
    <w:rsid w:val="001B3B4D"/>
    <w:rsid w:val="001C55B0"/>
    <w:rsid w:val="001F164D"/>
    <w:rsid w:val="00204F9C"/>
    <w:rsid w:val="0021476A"/>
    <w:rsid w:val="00214B63"/>
    <w:rsid w:val="002235FC"/>
    <w:rsid w:val="0023013C"/>
    <w:rsid w:val="00255C5D"/>
    <w:rsid w:val="002609D2"/>
    <w:rsid w:val="00267EF2"/>
    <w:rsid w:val="00284B72"/>
    <w:rsid w:val="002A027F"/>
    <w:rsid w:val="002A2F80"/>
    <w:rsid w:val="002C2127"/>
    <w:rsid w:val="002C3004"/>
    <w:rsid w:val="002E25AE"/>
    <w:rsid w:val="002E72BC"/>
    <w:rsid w:val="00314911"/>
    <w:rsid w:val="00342DBE"/>
    <w:rsid w:val="003501A1"/>
    <w:rsid w:val="00352C0B"/>
    <w:rsid w:val="003639E5"/>
    <w:rsid w:val="00384E9A"/>
    <w:rsid w:val="00391DE8"/>
    <w:rsid w:val="00395098"/>
    <w:rsid w:val="00395B1F"/>
    <w:rsid w:val="003A1BA9"/>
    <w:rsid w:val="003D1FBF"/>
    <w:rsid w:val="003D415C"/>
    <w:rsid w:val="003F7085"/>
    <w:rsid w:val="004022AF"/>
    <w:rsid w:val="00420DEB"/>
    <w:rsid w:val="00430B1B"/>
    <w:rsid w:val="004321FA"/>
    <w:rsid w:val="004357A1"/>
    <w:rsid w:val="0045465B"/>
    <w:rsid w:val="00475447"/>
    <w:rsid w:val="004931E8"/>
    <w:rsid w:val="00493508"/>
    <w:rsid w:val="004949B5"/>
    <w:rsid w:val="004A29C3"/>
    <w:rsid w:val="004C60B8"/>
    <w:rsid w:val="004C794A"/>
    <w:rsid w:val="004D2F79"/>
    <w:rsid w:val="004D5C02"/>
    <w:rsid w:val="004F6F1F"/>
    <w:rsid w:val="004F7D6F"/>
    <w:rsid w:val="00500E58"/>
    <w:rsid w:val="005149C7"/>
    <w:rsid w:val="00515C4B"/>
    <w:rsid w:val="00524259"/>
    <w:rsid w:val="005339ED"/>
    <w:rsid w:val="00536230"/>
    <w:rsid w:val="00540C4B"/>
    <w:rsid w:val="00550D88"/>
    <w:rsid w:val="00551D14"/>
    <w:rsid w:val="00570B48"/>
    <w:rsid w:val="005A0C31"/>
    <w:rsid w:val="005A2C9A"/>
    <w:rsid w:val="005A5E1E"/>
    <w:rsid w:val="005B5D5B"/>
    <w:rsid w:val="005B7A8D"/>
    <w:rsid w:val="005E04A8"/>
    <w:rsid w:val="00600D75"/>
    <w:rsid w:val="0063147B"/>
    <w:rsid w:val="006346B4"/>
    <w:rsid w:val="00641F81"/>
    <w:rsid w:val="006563D2"/>
    <w:rsid w:val="0066197B"/>
    <w:rsid w:val="006631DB"/>
    <w:rsid w:val="00664201"/>
    <w:rsid w:val="0066529A"/>
    <w:rsid w:val="0067355E"/>
    <w:rsid w:val="006778B0"/>
    <w:rsid w:val="00693238"/>
    <w:rsid w:val="006A1708"/>
    <w:rsid w:val="006A468B"/>
    <w:rsid w:val="006C3B7D"/>
    <w:rsid w:val="006D4269"/>
    <w:rsid w:val="007038C0"/>
    <w:rsid w:val="0071596C"/>
    <w:rsid w:val="00725E6D"/>
    <w:rsid w:val="00740A30"/>
    <w:rsid w:val="0075203B"/>
    <w:rsid w:val="007574D4"/>
    <w:rsid w:val="00776169"/>
    <w:rsid w:val="0078352C"/>
    <w:rsid w:val="00784AC3"/>
    <w:rsid w:val="00785A9F"/>
    <w:rsid w:val="00787305"/>
    <w:rsid w:val="007A45CF"/>
    <w:rsid w:val="007A7C59"/>
    <w:rsid w:val="007B03A2"/>
    <w:rsid w:val="007C749C"/>
    <w:rsid w:val="00837334"/>
    <w:rsid w:val="00845D52"/>
    <w:rsid w:val="0085762A"/>
    <w:rsid w:val="00873B00"/>
    <w:rsid w:val="008949A7"/>
    <w:rsid w:val="008D2546"/>
    <w:rsid w:val="008E0C9E"/>
    <w:rsid w:val="008E1627"/>
    <w:rsid w:val="008E41B1"/>
    <w:rsid w:val="008F1703"/>
    <w:rsid w:val="008F431E"/>
    <w:rsid w:val="008F449A"/>
    <w:rsid w:val="009370DC"/>
    <w:rsid w:val="009600B7"/>
    <w:rsid w:val="009723AB"/>
    <w:rsid w:val="009750D3"/>
    <w:rsid w:val="009777A6"/>
    <w:rsid w:val="00993186"/>
    <w:rsid w:val="00997B3E"/>
    <w:rsid w:val="009A4237"/>
    <w:rsid w:val="00A00AD9"/>
    <w:rsid w:val="00A2052E"/>
    <w:rsid w:val="00A24CC7"/>
    <w:rsid w:val="00A42270"/>
    <w:rsid w:val="00A51722"/>
    <w:rsid w:val="00A62727"/>
    <w:rsid w:val="00A67F28"/>
    <w:rsid w:val="00A72BAC"/>
    <w:rsid w:val="00A86417"/>
    <w:rsid w:val="00AA2C64"/>
    <w:rsid w:val="00AC2477"/>
    <w:rsid w:val="00AD0CD0"/>
    <w:rsid w:val="00AD2DE3"/>
    <w:rsid w:val="00AF7BB6"/>
    <w:rsid w:val="00B15858"/>
    <w:rsid w:val="00B3046E"/>
    <w:rsid w:val="00B42838"/>
    <w:rsid w:val="00B65A86"/>
    <w:rsid w:val="00B7172B"/>
    <w:rsid w:val="00B75413"/>
    <w:rsid w:val="00B8421B"/>
    <w:rsid w:val="00B87713"/>
    <w:rsid w:val="00B90AB8"/>
    <w:rsid w:val="00BB0283"/>
    <w:rsid w:val="00BB2E84"/>
    <w:rsid w:val="00BC7A54"/>
    <w:rsid w:val="00BD2920"/>
    <w:rsid w:val="00BD5A4A"/>
    <w:rsid w:val="00C14A33"/>
    <w:rsid w:val="00C247C2"/>
    <w:rsid w:val="00C46C9E"/>
    <w:rsid w:val="00C63786"/>
    <w:rsid w:val="00C7069D"/>
    <w:rsid w:val="00C71D59"/>
    <w:rsid w:val="00CA7A08"/>
    <w:rsid w:val="00CB3623"/>
    <w:rsid w:val="00CC09F7"/>
    <w:rsid w:val="00CD6FE0"/>
    <w:rsid w:val="00CE668F"/>
    <w:rsid w:val="00CF5D2D"/>
    <w:rsid w:val="00D02F9C"/>
    <w:rsid w:val="00D13B6F"/>
    <w:rsid w:val="00D15F16"/>
    <w:rsid w:val="00D1786D"/>
    <w:rsid w:val="00D2312B"/>
    <w:rsid w:val="00D26C23"/>
    <w:rsid w:val="00D75D35"/>
    <w:rsid w:val="00D86B48"/>
    <w:rsid w:val="00D92598"/>
    <w:rsid w:val="00DB6A68"/>
    <w:rsid w:val="00DE2A12"/>
    <w:rsid w:val="00DE6334"/>
    <w:rsid w:val="00E03534"/>
    <w:rsid w:val="00E11500"/>
    <w:rsid w:val="00E11E40"/>
    <w:rsid w:val="00E315C2"/>
    <w:rsid w:val="00E504C7"/>
    <w:rsid w:val="00E704FB"/>
    <w:rsid w:val="00E802A5"/>
    <w:rsid w:val="00E95F02"/>
    <w:rsid w:val="00EA1978"/>
    <w:rsid w:val="00EA24F3"/>
    <w:rsid w:val="00EA63D9"/>
    <w:rsid w:val="00EB1635"/>
    <w:rsid w:val="00EB59E3"/>
    <w:rsid w:val="00EE161A"/>
    <w:rsid w:val="00EE4290"/>
    <w:rsid w:val="00EF466C"/>
    <w:rsid w:val="00F007FF"/>
    <w:rsid w:val="00F05641"/>
    <w:rsid w:val="00F05C6F"/>
    <w:rsid w:val="00F111FC"/>
    <w:rsid w:val="00F22831"/>
    <w:rsid w:val="00F23A5A"/>
    <w:rsid w:val="00F4182E"/>
    <w:rsid w:val="00F53667"/>
    <w:rsid w:val="00F5639D"/>
    <w:rsid w:val="00F603F6"/>
    <w:rsid w:val="00F62771"/>
    <w:rsid w:val="00F92046"/>
    <w:rsid w:val="00F94566"/>
    <w:rsid w:val="00F967E1"/>
    <w:rsid w:val="00FB73C7"/>
    <w:rsid w:val="00FC76B5"/>
    <w:rsid w:val="00FD0023"/>
    <w:rsid w:val="00FD2359"/>
    <w:rsid w:val="00FD49EC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5239"/>
  <w15:docId w15:val="{81B64370-FF36-47F1-9B3D-01F76025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B0B69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D15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29F5-198C-453E-B7EF-CA3E5A636F5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E221B0-1D2E-49E8-B31C-B7D973CF4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71279DC-929F-4CC6-821A-8E2397A2EB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357EBD-24D6-4B8A-96D4-4F6A716A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Smažáková Janette</cp:lastModifiedBy>
  <cp:revision>6</cp:revision>
  <cp:lastPrinted>2020-11-09T12:35:00Z</cp:lastPrinted>
  <dcterms:created xsi:type="dcterms:W3CDTF">2020-11-09T12:35:00Z</dcterms:created>
  <dcterms:modified xsi:type="dcterms:W3CDTF">2021-08-13T06:10:00Z</dcterms:modified>
</cp:coreProperties>
</file>