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9" w:rsidRDefault="00EB7289" w:rsidP="00EB7289">
      <w:pPr>
        <w:pStyle w:val="Nadpis2"/>
        <w:ind w:left="149" w:right="67"/>
      </w:pPr>
      <w:r>
        <w:t>DOLOŽKA ZLUČITEĽNOSTI</w:t>
      </w:r>
      <w:r>
        <w:rPr>
          <w:b w:val="0"/>
        </w:rPr>
        <w:t xml:space="preserve"> </w:t>
      </w:r>
    </w:p>
    <w:p w:rsidR="00EB7289" w:rsidRDefault="00EB7289" w:rsidP="00EB7289">
      <w:pPr>
        <w:spacing w:after="18" w:line="256" w:lineRule="auto"/>
        <w:ind w:right="229" w:firstLine="0"/>
        <w:jc w:val="center"/>
      </w:pPr>
      <w:r>
        <w:t xml:space="preserve"> </w:t>
      </w:r>
    </w:p>
    <w:p w:rsidR="00EB7289" w:rsidRPr="008F6ABA" w:rsidRDefault="00EB7289" w:rsidP="00EB7289">
      <w:pPr>
        <w:numPr>
          <w:ilvl w:val="0"/>
          <w:numId w:val="1"/>
        </w:numPr>
        <w:spacing w:after="3" w:line="268" w:lineRule="auto"/>
        <w:ind w:right="0" w:hanging="240"/>
        <w:jc w:val="left"/>
        <w:rPr>
          <w:color w:val="auto"/>
        </w:rPr>
      </w:pPr>
      <w:r w:rsidRPr="008F6ABA">
        <w:rPr>
          <w:b/>
          <w:color w:val="auto"/>
        </w:rPr>
        <w:t>Navrhovateľ zákona</w:t>
      </w:r>
      <w:r w:rsidRPr="008F6ABA">
        <w:rPr>
          <w:color w:val="auto"/>
        </w:rPr>
        <w:t xml:space="preserve">:  </w:t>
      </w:r>
      <w:r w:rsidR="00F3190C" w:rsidRPr="008F6ABA">
        <w:rPr>
          <w:color w:val="auto"/>
        </w:rPr>
        <w:t>Ministerstvo zdravotníctva Slovenskej republiky.</w:t>
      </w:r>
    </w:p>
    <w:p w:rsidR="00EB7289" w:rsidRPr="008F6ABA" w:rsidRDefault="00EB7289" w:rsidP="00EB7289">
      <w:pPr>
        <w:spacing w:after="19" w:line="256" w:lineRule="auto"/>
        <w:ind w:left="427" w:right="0" w:firstLine="0"/>
        <w:jc w:val="left"/>
        <w:rPr>
          <w:color w:val="auto"/>
        </w:rPr>
      </w:pPr>
      <w:r w:rsidRPr="008F6ABA">
        <w:rPr>
          <w:color w:val="auto"/>
        </w:rPr>
        <w:t xml:space="preserve"> </w:t>
      </w:r>
    </w:p>
    <w:p w:rsidR="00EB7289" w:rsidRPr="008F6ABA" w:rsidRDefault="00EB7289" w:rsidP="00502D28">
      <w:pPr>
        <w:numPr>
          <w:ilvl w:val="0"/>
          <w:numId w:val="1"/>
        </w:numPr>
        <w:spacing w:after="3" w:line="268" w:lineRule="auto"/>
        <w:ind w:right="0" w:hanging="240"/>
        <w:rPr>
          <w:color w:val="auto"/>
        </w:rPr>
      </w:pPr>
      <w:r w:rsidRPr="008F6ABA">
        <w:rPr>
          <w:b/>
          <w:color w:val="auto"/>
        </w:rPr>
        <w:t>Názov návrhu zákona</w:t>
      </w:r>
      <w:r w:rsidRPr="008F6ABA">
        <w:rPr>
          <w:color w:val="auto"/>
        </w:rPr>
        <w:t xml:space="preserve">: </w:t>
      </w:r>
      <w:r w:rsidR="00F3190C" w:rsidRPr="008F6ABA">
        <w:rPr>
          <w:color w:val="auto"/>
        </w:rPr>
        <w:t>Návrh nariadenia vlády Slovenskej republiky, ktorým sa mení</w:t>
      </w:r>
      <w:r w:rsidR="00A53C0B">
        <w:rPr>
          <w:color w:val="auto"/>
        </w:rPr>
        <w:t xml:space="preserve"> a dopĺňa</w:t>
      </w:r>
      <w:r w:rsidR="00F3190C" w:rsidRPr="008F6ABA">
        <w:rPr>
          <w:color w:val="auto"/>
        </w:rPr>
        <w:t xml:space="preserve"> nariadenie vlády Slovenskej republiky č. 488/2004 Z. z. z 18. augusta 2004, ktorým sa ustanovujú požiadavky na zabezpečenie zdravotnej starostlivosti </w:t>
      </w:r>
      <w:r w:rsidR="00A53C0B">
        <w:rPr>
          <w:color w:val="auto"/>
        </w:rPr>
        <w:t>p</w:t>
      </w:r>
      <w:r w:rsidR="00F3190C" w:rsidRPr="008F6ABA">
        <w:rPr>
          <w:color w:val="auto"/>
        </w:rPr>
        <w:t>oskytovanej na námorných lodiach plávajúcich pod štátnou vlajkou Slovenskej republiky</w:t>
      </w:r>
      <w:r w:rsidR="00350304">
        <w:rPr>
          <w:color w:val="auto"/>
        </w:rPr>
        <w:t>.</w:t>
      </w:r>
      <w:bookmarkStart w:id="0" w:name="_GoBack"/>
      <w:bookmarkEnd w:id="0"/>
      <w:r w:rsidRPr="008F6ABA">
        <w:rPr>
          <w:color w:val="auto"/>
        </w:rPr>
        <w:t xml:space="preserve"> </w:t>
      </w:r>
    </w:p>
    <w:p w:rsidR="00EB7289" w:rsidRPr="008F6ABA" w:rsidRDefault="00EB7289" w:rsidP="00EB7289">
      <w:pPr>
        <w:spacing w:after="24" w:line="256" w:lineRule="auto"/>
        <w:ind w:left="427" w:right="0" w:firstLine="0"/>
        <w:jc w:val="left"/>
        <w:rPr>
          <w:color w:val="auto"/>
        </w:rPr>
      </w:pPr>
      <w:r w:rsidRPr="008F6ABA">
        <w:rPr>
          <w:color w:val="auto"/>
        </w:rPr>
        <w:t xml:space="preserve"> </w:t>
      </w:r>
    </w:p>
    <w:p w:rsidR="00EB7289" w:rsidRPr="008F6ABA" w:rsidRDefault="00EB7289" w:rsidP="00EB7289">
      <w:pPr>
        <w:numPr>
          <w:ilvl w:val="0"/>
          <w:numId w:val="1"/>
        </w:numPr>
        <w:spacing w:after="3" w:line="268" w:lineRule="auto"/>
        <w:ind w:right="0" w:hanging="240"/>
        <w:jc w:val="left"/>
        <w:rPr>
          <w:color w:val="auto"/>
        </w:rPr>
      </w:pPr>
      <w:r w:rsidRPr="008F6ABA">
        <w:rPr>
          <w:b/>
          <w:color w:val="auto"/>
        </w:rPr>
        <w:t>Predmet návrhu zákona je – nie je upravený v práve Európskej únie</w:t>
      </w:r>
      <w:r w:rsidRPr="008F6ABA">
        <w:rPr>
          <w:color w:val="auto"/>
        </w:rPr>
        <w:t xml:space="preserve">:  </w:t>
      </w:r>
    </w:p>
    <w:p w:rsidR="00F3190C" w:rsidRPr="003153AF" w:rsidRDefault="00F3190C" w:rsidP="00EB7289">
      <w:pPr>
        <w:numPr>
          <w:ilvl w:val="1"/>
          <w:numId w:val="1"/>
        </w:numPr>
        <w:ind w:left="1258" w:right="281" w:hanging="264"/>
        <w:rPr>
          <w:i/>
          <w:color w:val="auto"/>
        </w:rPr>
      </w:pPr>
      <w:r w:rsidRPr="003153AF">
        <w:rPr>
          <w:i/>
          <w:color w:val="auto"/>
        </w:rPr>
        <w:t>v primárnom práve</w:t>
      </w:r>
    </w:p>
    <w:p w:rsidR="00EB7289" w:rsidRPr="008F6ABA" w:rsidRDefault="00F3190C" w:rsidP="00F3190C">
      <w:pPr>
        <w:ind w:left="1258" w:right="281" w:firstLine="0"/>
        <w:rPr>
          <w:color w:val="auto"/>
        </w:rPr>
      </w:pPr>
      <w:r w:rsidRPr="008F6ABA">
        <w:rPr>
          <w:color w:val="auto"/>
        </w:rPr>
        <w:t>-</w:t>
      </w:r>
      <w:r w:rsidR="00E90E6B">
        <w:rPr>
          <w:color w:val="auto"/>
        </w:rPr>
        <w:t xml:space="preserve"> XIV. Hlava, čl. 168 </w:t>
      </w:r>
      <w:r w:rsidRPr="008F6ABA">
        <w:rPr>
          <w:color w:val="auto"/>
        </w:rPr>
        <w:t xml:space="preserve"> </w:t>
      </w:r>
      <w:r w:rsidR="00E90E6B">
        <w:rPr>
          <w:color w:val="auto"/>
        </w:rPr>
        <w:t>Zmluvy</w:t>
      </w:r>
      <w:r w:rsidR="00F92A30" w:rsidRPr="008F6ABA">
        <w:rPr>
          <w:color w:val="auto"/>
        </w:rPr>
        <w:t xml:space="preserve"> o fungovaní Európskej únie </w:t>
      </w:r>
      <w:r w:rsidR="00F92A30" w:rsidRPr="008F6ABA">
        <w:rPr>
          <w:color w:val="auto"/>
          <w:szCs w:val="24"/>
        </w:rPr>
        <w:t>(</w:t>
      </w:r>
      <w:r w:rsidR="00F92A30" w:rsidRPr="008F6ABA">
        <w:rPr>
          <w:rStyle w:val="Zvraznenie"/>
          <w:i w:val="0"/>
          <w:color w:val="auto"/>
          <w:szCs w:val="24"/>
          <w:shd w:val="clear" w:color="auto" w:fill="FFFFFF"/>
        </w:rPr>
        <w:t>Ú. v. EÚ C 326, 26.10.2012)</w:t>
      </w:r>
      <w:r w:rsidR="00EB7289" w:rsidRPr="008F6ABA">
        <w:rPr>
          <w:i/>
          <w:color w:val="auto"/>
          <w:szCs w:val="24"/>
        </w:rPr>
        <w:t>,</w:t>
      </w:r>
      <w:r w:rsidR="00EB7289" w:rsidRPr="008F6ABA">
        <w:rPr>
          <w:color w:val="auto"/>
        </w:rPr>
        <w:t xml:space="preserve">  </w:t>
      </w:r>
    </w:p>
    <w:p w:rsidR="00F3190C" w:rsidRPr="008F6ABA" w:rsidRDefault="00F3190C" w:rsidP="00F3190C">
      <w:pPr>
        <w:spacing w:after="0"/>
        <w:ind w:left="708" w:firstLine="286"/>
        <w:rPr>
          <w:color w:val="auto"/>
        </w:rPr>
      </w:pPr>
      <w:r w:rsidRPr="00EC7E7F">
        <w:rPr>
          <w:i/>
          <w:color w:val="auto"/>
        </w:rPr>
        <w:t>b)</w:t>
      </w:r>
      <w:r w:rsidRPr="008F6ABA">
        <w:rPr>
          <w:color w:val="auto"/>
        </w:rPr>
        <w:t xml:space="preserve"> </w:t>
      </w:r>
      <w:r w:rsidR="00EB7289" w:rsidRPr="003153AF">
        <w:rPr>
          <w:i/>
          <w:color w:val="auto"/>
        </w:rPr>
        <w:t>v sekundárnom práve</w:t>
      </w:r>
      <w:r w:rsidRPr="008F6ABA">
        <w:rPr>
          <w:color w:val="auto"/>
        </w:rPr>
        <w:t xml:space="preserve"> </w:t>
      </w:r>
    </w:p>
    <w:p w:rsidR="00F3190C" w:rsidRPr="008F6ABA" w:rsidRDefault="00F3190C" w:rsidP="00F3190C">
      <w:pPr>
        <w:spacing w:after="0"/>
        <w:ind w:left="708" w:firstLine="286"/>
        <w:rPr>
          <w:iCs/>
          <w:color w:val="auto"/>
          <w:szCs w:val="24"/>
        </w:rPr>
      </w:pPr>
      <w:r w:rsidRPr="008F6ABA">
        <w:rPr>
          <w:color w:val="auto"/>
          <w:szCs w:val="24"/>
        </w:rPr>
        <w:t xml:space="preserve">- v </w:t>
      </w:r>
      <w:r w:rsidRPr="008F6ABA">
        <w:rPr>
          <w:iCs/>
          <w:color w:val="auto"/>
          <w:szCs w:val="24"/>
        </w:rPr>
        <w:t>smernici Rady 92/29/EHS z 31. marca 1992 o minimálnych bezpečnostných a zdravotných požiadavkách na zvýšenú lekársku starostlivosť na palubách plavidiel</w:t>
      </w:r>
      <w:r w:rsidR="00496AD4" w:rsidRPr="008F6ABA">
        <w:rPr>
          <w:iCs/>
          <w:color w:val="auto"/>
          <w:szCs w:val="24"/>
        </w:rPr>
        <w:t xml:space="preserve"> </w:t>
      </w:r>
      <w:r w:rsidR="00A446A8" w:rsidRPr="008F6ABA">
        <w:rPr>
          <w:iCs/>
          <w:color w:val="auto"/>
          <w:szCs w:val="24"/>
        </w:rPr>
        <w:t xml:space="preserve">v platnom znení </w:t>
      </w:r>
      <w:r w:rsidR="00496AD4" w:rsidRPr="008F6ABA">
        <w:rPr>
          <w:iCs/>
          <w:color w:val="auto"/>
          <w:szCs w:val="24"/>
        </w:rPr>
        <w:t xml:space="preserve">(Ú. v. ES L 113, 30.4.1992; Mimoriadne vydanie Ú. v. </w:t>
      </w:r>
      <w:r w:rsidRPr="008F6ABA">
        <w:rPr>
          <w:iCs/>
          <w:color w:val="auto"/>
          <w:szCs w:val="24"/>
        </w:rPr>
        <w:t xml:space="preserve"> </w:t>
      </w:r>
      <w:r w:rsidR="00496AD4" w:rsidRPr="008F6ABA">
        <w:rPr>
          <w:iCs/>
          <w:color w:val="auto"/>
          <w:szCs w:val="24"/>
        </w:rPr>
        <w:t>EÚ, kap. 5/zv.2)</w:t>
      </w:r>
    </w:p>
    <w:p w:rsidR="00EB7289" w:rsidRPr="008F6ABA" w:rsidRDefault="00F3190C" w:rsidP="00587AC9">
      <w:pPr>
        <w:spacing w:after="0"/>
        <w:ind w:left="851"/>
        <w:rPr>
          <w:color w:val="auto"/>
        </w:rPr>
      </w:pPr>
      <w:r w:rsidRPr="008F6ABA">
        <w:rPr>
          <w:color w:val="auto"/>
          <w:szCs w:val="24"/>
        </w:rPr>
        <w:t xml:space="preserve">- v smernici Komisie </w:t>
      </w:r>
      <w:r w:rsidR="00835D11" w:rsidRPr="008F6ABA">
        <w:rPr>
          <w:color w:val="auto"/>
          <w:szCs w:val="24"/>
        </w:rPr>
        <w:t>(</w:t>
      </w:r>
      <w:r w:rsidR="00496AD4" w:rsidRPr="008F6ABA">
        <w:rPr>
          <w:color w:val="auto"/>
          <w:szCs w:val="24"/>
        </w:rPr>
        <w:t>EÚ</w:t>
      </w:r>
      <w:r w:rsidR="00835D11" w:rsidRPr="008F6ABA">
        <w:rPr>
          <w:color w:val="auto"/>
          <w:szCs w:val="24"/>
        </w:rPr>
        <w:t>)</w:t>
      </w:r>
      <w:r w:rsidR="00496AD4" w:rsidRPr="008F6ABA">
        <w:rPr>
          <w:color w:val="auto"/>
          <w:szCs w:val="24"/>
        </w:rPr>
        <w:t xml:space="preserve"> </w:t>
      </w:r>
      <w:r w:rsidRPr="008F6ABA">
        <w:rPr>
          <w:color w:val="auto"/>
          <w:szCs w:val="24"/>
        </w:rPr>
        <w:t>2019/1834 z 24. októbra 2019, ktorou sa menia prílohy II a IV k smernici Rady 92/29/EHS, pokiaľ ide o čisto technické úpravy</w:t>
      </w:r>
      <w:r w:rsidR="00702573" w:rsidRPr="008F6ABA">
        <w:rPr>
          <w:color w:val="auto"/>
          <w:szCs w:val="24"/>
        </w:rPr>
        <w:t xml:space="preserve"> </w:t>
      </w:r>
      <w:r w:rsidR="00702573" w:rsidRPr="008F6ABA">
        <w:rPr>
          <w:rStyle w:val="Siln"/>
          <w:iCs/>
          <w:color w:val="auto"/>
          <w:szCs w:val="24"/>
        </w:rPr>
        <w:t>(</w:t>
      </w:r>
      <w:r w:rsidR="00702573" w:rsidRPr="008F6ABA">
        <w:rPr>
          <w:iCs/>
          <w:color w:val="auto"/>
          <w:szCs w:val="24"/>
          <w:shd w:val="clear" w:color="auto" w:fill="FFFFFF"/>
        </w:rPr>
        <w:t>Ú. v. EÚ L 279, 31.10.2019)</w:t>
      </w:r>
      <w:r w:rsidR="00587AC9" w:rsidRPr="008F6ABA">
        <w:rPr>
          <w:iCs/>
          <w:color w:val="auto"/>
          <w:szCs w:val="24"/>
          <w:shd w:val="clear" w:color="auto" w:fill="FFFFFF"/>
        </w:rPr>
        <w:t>; g</w:t>
      </w:r>
      <w:r w:rsidR="00587AC9" w:rsidRPr="008F6ABA">
        <w:rPr>
          <w:color w:val="auto"/>
        </w:rPr>
        <w:t>estor</w:t>
      </w:r>
      <w:r w:rsidR="006F7814" w:rsidRPr="008F6ABA">
        <w:rPr>
          <w:color w:val="auto"/>
        </w:rPr>
        <w:t>: Ministerstvo zdravotníctva Slovenskej republiky</w:t>
      </w:r>
      <w:r w:rsidR="00EB7289" w:rsidRPr="008F6ABA">
        <w:rPr>
          <w:color w:val="auto"/>
        </w:rPr>
        <w:t xml:space="preserve"> </w:t>
      </w:r>
    </w:p>
    <w:p w:rsidR="00F3190C" w:rsidRPr="003153AF" w:rsidRDefault="00F3190C" w:rsidP="00F3190C">
      <w:pPr>
        <w:pStyle w:val="Odsekzoznamu"/>
        <w:numPr>
          <w:ilvl w:val="0"/>
          <w:numId w:val="2"/>
        </w:numPr>
        <w:ind w:left="1276" w:right="281"/>
        <w:rPr>
          <w:i/>
          <w:color w:val="auto"/>
          <w:szCs w:val="24"/>
        </w:rPr>
      </w:pPr>
      <w:r w:rsidRPr="003153AF">
        <w:rPr>
          <w:i/>
          <w:color w:val="auto"/>
          <w:szCs w:val="24"/>
        </w:rPr>
        <w:t>nie je obsiahnutá v judikatúre Súdneho dvora Európskej únie.</w:t>
      </w:r>
    </w:p>
    <w:p w:rsidR="008F6ABA" w:rsidRPr="008F6ABA" w:rsidRDefault="008F6ABA" w:rsidP="008F6ABA">
      <w:pPr>
        <w:pStyle w:val="Odsekzoznamu"/>
        <w:ind w:left="1276" w:right="281" w:firstLine="0"/>
        <w:rPr>
          <w:color w:val="auto"/>
          <w:szCs w:val="24"/>
        </w:rPr>
      </w:pPr>
    </w:p>
    <w:p w:rsidR="00EB7289" w:rsidRPr="008F6ABA" w:rsidRDefault="00EB7289" w:rsidP="007B3B7C">
      <w:pPr>
        <w:pStyle w:val="Odsekzoznamu"/>
        <w:numPr>
          <w:ilvl w:val="0"/>
          <w:numId w:val="1"/>
        </w:numPr>
        <w:ind w:left="426" w:right="281"/>
        <w:rPr>
          <w:color w:val="auto"/>
        </w:rPr>
      </w:pPr>
      <w:r w:rsidRPr="008F6ABA">
        <w:rPr>
          <w:b/>
          <w:color w:val="auto"/>
        </w:rPr>
        <w:t>Záväzky Slovenskej republiky vo vzťahu k Európskej únii</w:t>
      </w:r>
      <w:r w:rsidRPr="008F6ABA">
        <w:rPr>
          <w:color w:val="auto"/>
        </w:rPr>
        <w:t xml:space="preserve">:  </w:t>
      </w:r>
    </w:p>
    <w:p w:rsidR="00F3190C" w:rsidRPr="001114CA" w:rsidRDefault="00F3190C" w:rsidP="00F3190C">
      <w:pPr>
        <w:pStyle w:val="Odsekzoznamu"/>
        <w:ind w:left="667" w:firstLine="0"/>
        <w:rPr>
          <w:i/>
          <w:iCs/>
          <w:color w:val="auto"/>
          <w:szCs w:val="24"/>
        </w:rPr>
      </w:pPr>
      <w:r w:rsidRPr="001114CA">
        <w:rPr>
          <w:i/>
          <w:iCs/>
          <w:color w:val="auto"/>
          <w:szCs w:val="24"/>
        </w:rPr>
        <w:t xml:space="preserve">a) lehota na prebranie príslušného právneho aktu Európskej únie </w:t>
      </w:r>
    </w:p>
    <w:p w:rsidR="00F3190C" w:rsidRPr="008F6ABA" w:rsidRDefault="00F3190C" w:rsidP="00F3190C">
      <w:pPr>
        <w:pStyle w:val="Odsekzoznamu"/>
        <w:ind w:left="667" w:firstLine="0"/>
        <w:rPr>
          <w:iCs/>
          <w:color w:val="auto"/>
          <w:szCs w:val="24"/>
        </w:rPr>
      </w:pPr>
      <w:r w:rsidRPr="008F6ABA">
        <w:rPr>
          <w:iCs/>
          <w:color w:val="auto"/>
          <w:szCs w:val="24"/>
        </w:rPr>
        <w:t xml:space="preserve">- smernica (EÚ) 2019/1834 </w:t>
      </w:r>
      <w:r w:rsidRPr="008F6ABA">
        <w:rPr>
          <w:color w:val="auto"/>
          <w:szCs w:val="24"/>
        </w:rPr>
        <w:t>z 24. októbra 2019, ktorou sa menia prílohy II a IV k smernici Rady 92/29/EHS, pokiaľ ide o čisto technické úpravy</w:t>
      </w:r>
      <w:r w:rsidR="00502D28" w:rsidRPr="008F6ABA">
        <w:rPr>
          <w:color w:val="auto"/>
          <w:szCs w:val="24"/>
        </w:rPr>
        <w:t xml:space="preserve"> </w:t>
      </w:r>
      <w:r w:rsidR="00502D28" w:rsidRPr="008F6ABA">
        <w:rPr>
          <w:rStyle w:val="Siln"/>
          <w:iCs/>
          <w:color w:val="auto"/>
          <w:szCs w:val="24"/>
        </w:rPr>
        <w:t>(</w:t>
      </w:r>
      <w:r w:rsidR="008F6ABA" w:rsidRPr="008F6ABA">
        <w:rPr>
          <w:iCs/>
          <w:color w:val="auto"/>
          <w:szCs w:val="24"/>
          <w:shd w:val="clear" w:color="auto" w:fill="FFFFFF"/>
        </w:rPr>
        <w:t>Ú. v. EÚ L 279, 31.10.2019)</w:t>
      </w:r>
      <w:r w:rsidR="008F6ABA">
        <w:rPr>
          <w:iCs/>
          <w:color w:val="auto"/>
          <w:szCs w:val="24"/>
        </w:rPr>
        <w:t xml:space="preserve">, do </w:t>
      </w:r>
      <w:r w:rsidRPr="008F6ABA">
        <w:rPr>
          <w:iCs/>
          <w:color w:val="auto"/>
          <w:szCs w:val="24"/>
        </w:rPr>
        <w:t>20. novembra 2021</w:t>
      </w:r>
    </w:p>
    <w:p w:rsidR="00EB7289" w:rsidRPr="008F6ABA" w:rsidRDefault="00EB7289" w:rsidP="00F3190C">
      <w:pPr>
        <w:ind w:right="281"/>
        <w:rPr>
          <w:color w:val="auto"/>
        </w:rPr>
      </w:pPr>
      <w:r w:rsidRPr="008F6ABA">
        <w:rPr>
          <w:color w:val="auto"/>
        </w:rPr>
        <w:t xml:space="preserve"> </w:t>
      </w:r>
    </w:p>
    <w:p w:rsidR="007B3B7C" w:rsidRPr="001114CA" w:rsidRDefault="00F3190C" w:rsidP="00F3190C">
      <w:pPr>
        <w:ind w:left="709" w:right="281" w:firstLine="0"/>
        <w:rPr>
          <w:i/>
          <w:color w:val="auto"/>
        </w:rPr>
      </w:pPr>
      <w:r w:rsidRPr="001114CA">
        <w:rPr>
          <w:i/>
          <w:color w:val="auto"/>
        </w:rPr>
        <w:t>b)</w:t>
      </w:r>
      <w:r w:rsidR="00EB7289" w:rsidRPr="001114CA">
        <w:rPr>
          <w:i/>
          <w:color w:val="auto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7B3B7C" w:rsidRPr="001114CA">
        <w:rPr>
          <w:i/>
          <w:color w:val="auto"/>
        </w:rPr>
        <w:t> </w:t>
      </w:r>
      <w:r w:rsidR="00EB7289" w:rsidRPr="001114CA">
        <w:rPr>
          <w:i/>
          <w:color w:val="auto"/>
        </w:rPr>
        <w:t>Komisie</w:t>
      </w:r>
    </w:p>
    <w:p w:rsidR="007B3B7C" w:rsidRPr="008F6ABA" w:rsidRDefault="007B3B7C" w:rsidP="00F3190C">
      <w:pPr>
        <w:ind w:left="709" w:right="281" w:firstLine="0"/>
        <w:rPr>
          <w:color w:val="auto"/>
        </w:rPr>
      </w:pPr>
      <w:r w:rsidRPr="008F6ABA">
        <w:rPr>
          <w:color w:val="auto"/>
        </w:rPr>
        <w:t>- nebolo začaté konanie v rámci „EÚ Pilot“</w:t>
      </w:r>
      <w:r w:rsidR="00EB7289" w:rsidRPr="008F6ABA">
        <w:rPr>
          <w:color w:val="auto"/>
        </w:rPr>
        <w:t xml:space="preserve">, </w:t>
      </w:r>
    </w:p>
    <w:p w:rsidR="00EB7289" w:rsidRPr="008F6ABA" w:rsidRDefault="00EB7289" w:rsidP="00F3190C">
      <w:pPr>
        <w:ind w:left="709" w:right="281" w:firstLine="0"/>
        <w:rPr>
          <w:color w:val="auto"/>
        </w:rPr>
      </w:pPr>
      <w:r w:rsidRPr="008F6ABA">
        <w:rPr>
          <w:color w:val="auto"/>
        </w:rPr>
        <w:t xml:space="preserve"> </w:t>
      </w:r>
    </w:p>
    <w:p w:rsidR="007B3B7C" w:rsidRPr="001114CA" w:rsidRDefault="007B3B7C" w:rsidP="007B3B7C">
      <w:pPr>
        <w:ind w:left="709" w:right="281" w:firstLine="0"/>
        <w:rPr>
          <w:i/>
          <w:color w:val="auto"/>
        </w:rPr>
      </w:pPr>
      <w:r w:rsidRPr="001114CA">
        <w:rPr>
          <w:i/>
          <w:color w:val="auto"/>
        </w:rPr>
        <w:t xml:space="preserve">c) nariadenie vlády Slovenskej republiky č. 488/2004 Z. z. z 18. augusta 2004, ktorým sa ustanovujú požiadavky na zabezpečenie zdravotnej starostlivosti poskytovanej na námorných lodiach plávajúcich pod štátnou vlajkou Slovenskej republiky- úplne prebraná smernica </w:t>
      </w:r>
      <w:r w:rsidRPr="001114CA">
        <w:rPr>
          <w:i/>
          <w:color w:val="auto"/>
          <w:szCs w:val="24"/>
        </w:rPr>
        <w:t>92/29/EHS</w:t>
      </w:r>
      <w:r w:rsidR="00A446A8" w:rsidRPr="001114CA">
        <w:rPr>
          <w:i/>
          <w:color w:val="auto"/>
          <w:szCs w:val="24"/>
        </w:rPr>
        <w:t xml:space="preserve"> v platnom znení,</w:t>
      </w:r>
      <w:r w:rsidRPr="001114CA">
        <w:rPr>
          <w:i/>
          <w:color w:val="auto"/>
          <w:szCs w:val="24"/>
        </w:rPr>
        <w:t xml:space="preserve"> </w:t>
      </w:r>
      <w:r w:rsidRPr="001114CA">
        <w:rPr>
          <w:i/>
          <w:color w:val="auto"/>
        </w:rPr>
        <w:t xml:space="preserve"> </w:t>
      </w:r>
    </w:p>
    <w:p w:rsidR="00EB7289" w:rsidRPr="008F6ABA" w:rsidRDefault="007B3B7C" w:rsidP="007B3B7C">
      <w:pPr>
        <w:ind w:left="709" w:right="281" w:firstLine="0"/>
        <w:rPr>
          <w:color w:val="auto"/>
        </w:rPr>
      </w:pPr>
      <w:r w:rsidRPr="008F6ABA">
        <w:rPr>
          <w:color w:val="auto"/>
        </w:rPr>
        <w:lastRenderedPageBreak/>
        <w:t xml:space="preserve">- </w:t>
      </w:r>
      <w:r w:rsidRPr="008F6ABA">
        <w:rPr>
          <w:iCs/>
          <w:color w:val="auto"/>
          <w:szCs w:val="24"/>
        </w:rPr>
        <w:t xml:space="preserve"> je potrebné prijať smernicu (EÚ) 2019/1834 </w:t>
      </w:r>
      <w:r w:rsidRPr="008F6ABA">
        <w:rPr>
          <w:color w:val="auto"/>
          <w:szCs w:val="24"/>
        </w:rPr>
        <w:t>z 24. októbra 2019, ktorou sa menia prílohy II a IV smernice Rady 92/29/EHS</w:t>
      </w:r>
      <w:r w:rsidR="003146B0" w:rsidRPr="008F6ABA">
        <w:rPr>
          <w:color w:val="auto"/>
          <w:szCs w:val="24"/>
        </w:rPr>
        <w:t xml:space="preserve"> </w:t>
      </w:r>
      <w:r w:rsidR="003146B0" w:rsidRPr="008F6ABA">
        <w:rPr>
          <w:rStyle w:val="Siln"/>
          <w:iCs/>
          <w:color w:val="auto"/>
          <w:szCs w:val="24"/>
        </w:rPr>
        <w:t>(</w:t>
      </w:r>
      <w:r w:rsidR="003146B0" w:rsidRPr="008F6ABA">
        <w:rPr>
          <w:iCs/>
          <w:color w:val="auto"/>
          <w:szCs w:val="24"/>
          <w:shd w:val="clear" w:color="auto" w:fill="FFFFFF"/>
        </w:rPr>
        <w:t>Ú. v. EÚ L 279, 31.10.2019)</w:t>
      </w:r>
      <w:r w:rsidR="00EB7289" w:rsidRPr="008F6ABA">
        <w:rPr>
          <w:color w:val="auto"/>
        </w:rPr>
        <w:t xml:space="preserve">.  </w:t>
      </w:r>
    </w:p>
    <w:p w:rsidR="00EB7289" w:rsidRPr="008F6ABA" w:rsidRDefault="00EB7289" w:rsidP="00EB7289">
      <w:pPr>
        <w:spacing w:after="23" w:line="256" w:lineRule="auto"/>
        <w:ind w:right="0" w:firstLine="0"/>
        <w:jc w:val="left"/>
        <w:rPr>
          <w:color w:val="auto"/>
        </w:rPr>
      </w:pPr>
      <w:r w:rsidRPr="008F6ABA">
        <w:rPr>
          <w:color w:val="auto"/>
        </w:rPr>
        <w:t xml:space="preserve"> </w:t>
      </w:r>
    </w:p>
    <w:p w:rsidR="00EB7289" w:rsidRPr="008F6ABA" w:rsidRDefault="00EB7289" w:rsidP="00F3190C">
      <w:pPr>
        <w:numPr>
          <w:ilvl w:val="0"/>
          <w:numId w:val="1"/>
        </w:numPr>
        <w:spacing w:after="3" w:line="268" w:lineRule="auto"/>
        <w:ind w:right="0" w:hanging="240"/>
        <w:jc w:val="left"/>
        <w:rPr>
          <w:color w:val="auto"/>
        </w:rPr>
      </w:pPr>
      <w:r w:rsidRPr="008F6ABA">
        <w:rPr>
          <w:b/>
          <w:color w:val="auto"/>
        </w:rPr>
        <w:t>Návrh zákona je zlučiteľný s právom Európskej únie</w:t>
      </w:r>
      <w:r w:rsidRPr="008F6ABA">
        <w:rPr>
          <w:color w:val="auto"/>
        </w:rPr>
        <w:t xml:space="preserve">:  </w:t>
      </w:r>
    </w:p>
    <w:p w:rsidR="00EB7289" w:rsidRPr="008F6ABA" w:rsidRDefault="00EB7289" w:rsidP="00D75F39">
      <w:pPr>
        <w:numPr>
          <w:ilvl w:val="1"/>
          <w:numId w:val="1"/>
        </w:numPr>
        <w:ind w:left="1258" w:right="281" w:hanging="264"/>
        <w:rPr>
          <w:color w:val="auto"/>
        </w:rPr>
      </w:pPr>
      <w:r w:rsidRPr="008F6ABA">
        <w:rPr>
          <w:color w:val="auto"/>
        </w:rPr>
        <w:t xml:space="preserve">úplne  </w:t>
      </w:r>
    </w:p>
    <w:p w:rsidR="00BB0868" w:rsidRPr="008F6ABA" w:rsidRDefault="00BB0868">
      <w:pPr>
        <w:rPr>
          <w:color w:val="auto"/>
        </w:rPr>
      </w:pPr>
    </w:p>
    <w:sectPr w:rsidR="00BB0868" w:rsidRPr="008F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DA5"/>
    <w:multiLevelType w:val="hybridMultilevel"/>
    <w:tmpl w:val="82383092"/>
    <w:lvl w:ilvl="0" w:tplc="05DAF7DC">
      <w:start w:val="1"/>
      <w:numFmt w:val="decimal"/>
      <w:lvlText w:val="%1."/>
      <w:lvlJc w:val="left"/>
      <w:pPr>
        <w:ind w:left="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C229CA">
      <w:start w:val="1"/>
      <w:numFmt w:val="lowerLetter"/>
      <w:lvlText w:val="%2)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AA7DC4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6AE95A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66736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762E88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485D38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329292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080B4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CD962B6"/>
    <w:multiLevelType w:val="hybridMultilevel"/>
    <w:tmpl w:val="A4D89DCC"/>
    <w:lvl w:ilvl="0" w:tplc="A6CC78AA">
      <w:start w:val="3"/>
      <w:numFmt w:val="lowerLetter"/>
      <w:lvlText w:val="%1)"/>
      <w:lvlJc w:val="left"/>
      <w:pPr>
        <w:ind w:left="16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37" w:hanging="360"/>
      </w:pPr>
    </w:lvl>
    <w:lvl w:ilvl="2" w:tplc="041B001B" w:tentative="1">
      <w:start w:val="1"/>
      <w:numFmt w:val="lowerRoman"/>
      <w:lvlText w:val="%3."/>
      <w:lvlJc w:val="right"/>
      <w:pPr>
        <w:ind w:left="3057" w:hanging="180"/>
      </w:pPr>
    </w:lvl>
    <w:lvl w:ilvl="3" w:tplc="041B000F" w:tentative="1">
      <w:start w:val="1"/>
      <w:numFmt w:val="decimal"/>
      <w:lvlText w:val="%4."/>
      <w:lvlJc w:val="left"/>
      <w:pPr>
        <w:ind w:left="3777" w:hanging="360"/>
      </w:pPr>
    </w:lvl>
    <w:lvl w:ilvl="4" w:tplc="041B0019" w:tentative="1">
      <w:start w:val="1"/>
      <w:numFmt w:val="lowerLetter"/>
      <w:lvlText w:val="%5."/>
      <w:lvlJc w:val="left"/>
      <w:pPr>
        <w:ind w:left="4497" w:hanging="360"/>
      </w:pPr>
    </w:lvl>
    <w:lvl w:ilvl="5" w:tplc="041B001B" w:tentative="1">
      <w:start w:val="1"/>
      <w:numFmt w:val="lowerRoman"/>
      <w:lvlText w:val="%6."/>
      <w:lvlJc w:val="right"/>
      <w:pPr>
        <w:ind w:left="5217" w:hanging="180"/>
      </w:pPr>
    </w:lvl>
    <w:lvl w:ilvl="6" w:tplc="041B000F" w:tentative="1">
      <w:start w:val="1"/>
      <w:numFmt w:val="decimal"/>
      <w:lvlText w:val="%7."/>
      <w:lvlJc w:val="left"/>
      <w:pPr>
        <w:ind w:left="5937" w:hanging="360"/>
      </w:pPr>
    </w:lvl>
    <w:lvl w:ilvl="7" w:tplc="041B0019" w:tentative="1">
      <w:start w:val="1"/>
      <w:numFmt w:val="lowerLetter"/>
      <w:lvlText w:val="%8."/>
      <w:lvlJc w:val="left"/>
      <w:pPr>
        <w:ind w:left="6657" w:hanging="360"/>
      </w:pPr>
    </w:lvl>
    <w:lvl w:ilvl="8" w:tplc="041B001B" w:tentative="1">
      <w:start w:val="1"/>
      <w:numFmt w:val="lowerRoman"/>
      <w:lvlText w:val="%9."/>
      <w:lvlJc w:val="right"/>
      <w:pPr>
        <w:ind w:left="73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89"/>
    <w:rsid w:val="001114CA"/>
    <w:rsid w:val="003146B0"/>
    <w:rsid w:val="003153AF"/>
    <w:rsid w:val="00350304"/>
    <w:rsid w:val="00361F1B"/>
    <w:rsid w:val="00496AD4"/>
    <w:rsid w:val="004B71D6"/>
    <w:rsid w:val="00502D28"/>
    <w:rsid w:val="00587AC9"/>
    <w:rsid w:val="006F7814"/>
    <w:rsid w:val="00702573"/>
    <w:rsid w:val="007B3B7C"/>
    <w:rsid w:val="00835D11"/>
    <w:rsid w:val="008F6ABA"/>
    <w:rsid w:val="00A446A8"/>
    <w:rsid w:val="00A53C0B"/>
    <w:rsid w:val="00BB0868"/>
    <w:rsid w:val="00CB2BDE"/>
    <w:rsid w:val="00D75F39"/>
    <w:rsid w:val="00E90E6B"/>
    <w:rsid w:val="00EB7289"/>
    <w:rsid w:val="00EC7E7F"/>
    <w:rsid w:val="00F3190C"/>
    <w:rsid w:val="00F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92CC"/>
  <w15:chartTrackingRefBased/>
  <w15:docId w15:val="{EF91EC78-BE87-445F-82C8-457001C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289"/>
    <w:pPr>
      <w:spacing w:after="5" w:line="266" w:lineRule="auto"/>
      <w:ind w:right="544" w:firstLine="273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2">
    <w:name w:val="heading 2"/>
    <w:next w:val="Normlny"/>
    <w:link w:val="Nadpis2Char"/>
    <w:uiPriority w:val="9"/>
    <w:semiHidden/>
    <w:unhideWhenUsed/>
    <w:qFormat/>
    <w:rsid w:val="00EB7289"/>
    <w:pPr>
      <w:keepNext/>
      <w:keepLines/>
      <w:spacing w:after="5" w:line="268" w:lineRule="auto"/>
      <w:ind w:left="10" w:right="29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B7289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F3190C"/>
    <w:pPr>
      <w:ind w:left="720"/>
      <w:contextualSpacing/>
    </w:pPr>
  </w:style>
  <w:style w:type="character" w:styleId="Siln">
    <w:name w:val="Strong"/>
    <w:basedOn w:val="Predvolenpsmoodseku"/>
    <w:uiPriority w:val="99"/>
    <w:qFormat/>
    <w:rsid w:val="00702573"/>
    <w:rPr>
      <w:rFonts w:ascii="Times New Roman" w:hAnsi="Times New Roman" w:cs="Times New Roman" w:hint="default"/>
      <w:b/>
      <w:bCs w:val="0"/>
    </w:rPr>
  </w:style>
  <w:style w:type="character" w:styleId="Zvraznenie">
    <w:name w:val="Emphasis"/>
    <w:basedOn w:val="Predvolenpsmoodseku"/>
    <w:uiPriority w:val="20"/>
    <w:qFormat/>
    <w:rsid w:val="00F92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22</cp:revision>
  <dcterms:created xsi:type="dcterms:W3CDTF">2021-07-27T07:07:00Z</dcterms:created>
  <dcterms:modified xsi:type="dcterms:W3CDTF">2021-08-05T05:02:00Z</dcterms:modified>
</cp:coreProperties>
</file>