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56" w:rsidRDefault="007F71E3" w:rsidP="007F7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E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7F71E3" w:rsidRPr="0054659D" w:rsidRDefault="007F71E3" w:rsidP="007F71E3">
      <w:pPr>
        <w:rPr>
          <w:rFonts w:ascii="Times New Roman" w:hAnsi="Times New Roman" w:cs="Times New Roman"/>
          <w:sz w:val="24"/>
          <w:szCs w:val="24"/>
        </w:rPr>
      </w:pPr>
    </w:p>
    <w:p w:rsidR="00C269F6" w:rsidRDefault="007F71E3" w:rsidP="00FF43F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6D8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predkladá </w:t>
      </w:r>
      <w:r w:rsidR="0054659D" w:rsidRPr="00953C3F">
        <w:rPr>
          <w:rFonts w:ascii="Times New Roman" w:hAnsi="Times New Roman" w:cs="Times New Roman"/>
          <w:sz w:val="24"/>
          <w:szCs w:val="24"/>
        </w:rPr>
        <w:t xml:space="preserve">do legislatívneho procesu </w:t>
      </w:r>
      <w:r w:rsidR="004566E1" w:rsidRPr="00953C3F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4566E1" w:rsidRPr="004006D8">
        <w:rPr>
          <w:rFonts w:ascii="Times New Roman" w:hAnsi="Times New Roman" w:cs="Times New Roman"/>
          <w:sz w:val="24"/>
          <w:szCs w:val="24"/>
        </w:rPr>
        <w:t xml:space="preserve">ktorým sa mení a dopĺňa zákon č. 302/2019 Z. z. o zálohovaní jednorazových obalov na nápoje a o zmene a doplnení niektorých zákonov v znení neskorších predpisov </w:t>
      </w:r>
      <w:r w:rsidR="004566E1">
        <w:rPr>
          <w:rFonts w:ascii="Times New Roman" w:hAnsi="Times New Roman" w:cs="Times New Roman"/>
          <w:sz w:val="24"/>
          <w:szCs w:val="24"/>
        </w:rPr>
        <w:t xml:space="preserve">a </w:t>
      </w:r>
      <w:r w:rsidR="004566E1" w:rsidRPr="005F513A">
        <w:rPr>
          <w:rFonts w:ascii="Times New Roman" w:hAnsi="Times New Roman" w:cs="Times New Roman"/>
          <w:sz w:val="24"/>
          <w:szCs w:val="24"/>
        </w:rPr>
        <w:t xml:space="preserve">o zmene a doplnení </w:t>
      </w:r>
      <w:r w:rsidR="004566E1">
        <w:rPr>
          <w:rFonts w:ascii="Times New Roman" w:hAnsi="Times New Roman" w:cs="Times New Roman"/>
          <w:sz w:val="24"/>
          <w:szCs w:val="24"/>
        </w:rPr>
        <w:t xml:space="preserve">zákona </w:t>
      </w:r>
      <w:r w:rsidR="004566E1" w:rsidRPr="004303B6">
        <w:rPr>
          <w:rFonts w:ascii="Times New Roman" w:hAnsi="Times New Roman" w:cs="Times New Roman"/>
          <w:sz w:val="24"/>
          <w:szCs w:val="24"/>
        </w:rPr>
        <w:t>č. 79/2015 Z. z. o odpadoch a o zmene a doplnení niektorých zákonov v znení neskorších predpisov</w:t>
      </w:r>
      <w:r w:rsidR="004566E1" w:rsidRPr="005F513A">
        <w:rPr>
          <w:rFonts w:ascii="Times New Roman" w:hAnsi="Times New Roman" w:cs="Times New Roman"/>
          <w:sz w:val="24"/>
          <w:szCs w:val="24"/>
        </w:rPr>
        <w:t xml:space="preserve"> </w:t>
      </w:r>
      <w:r w:rsidR="0054659D" w:rsidRPr="00953C3F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953C3F">
        <w:rPr>
          <w:rFonts w:ascii="Times New Roman" w:hAnsi="Times New Roman" w:cs="Times New Roman"/>
          <w:sz w:val="24"/>
          <w:szCs w:val="24"/>
        </w:rPr>
        <w:t xml:space="preserve"> </w:t>
      </w:r>
      <w:r w:rsidR="00C269F6">
        <w:rPr>
          <w:rFonts w:ascii="Times New Roman" w:hAnsi="Times New Roman" w:cs="Times New Roman"/>
          <w:sz w:val="24"/>
          <w:szCs w:val="24"/>
        </w:rPr>
        <w:t>na základe Plánu legislatívnych úloh vlády Slovenskej republiky</w:t>
      </w:r>
      <w:r w:rsidR="00872A45">
        <w:rPr>
          <w:rFonts w:ascii="Times New Roman" w:hAnsi="Times New Roman" w:cs="Times New Roman"/>
          <w:sz w:val="24"/>
          <w:szCs w:val="24"/>
        </w:rPr>
        <w:t xml:space="preserve"> na rok 2021</w:t>
      </w:r>
      <w:r w:rsidR="00C26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93B" w:rsidRPr="00FF43FB" w:rsidRDefault="004C4858" w:rsidP="00FF4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</w:t>
      </w:r>
      <w:r w:rsidR="004D393B" w:rsidRPr="00872A4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393B" w:rsidRPr="00872A45">
        <w:rPr>
          <w:rFonts w:ascii="Times New Roman" w:hAnsi="Times New Roman" w:cs="Times New Roman"/>
          <w:sz w:val="24"/>
          <w:szCs w:val="24"/>
        </w:rPr>
        <w:t xml:space="preserve"> č. 302/2019 Z. z. o zálohovaní jednorazových obalov na nápoje a o zmene a doplnení niektorých zákonov v znení neskorších predpisov sa </w:t>
      </w:r>
      <w:r w:rsidR="00AD53D4" w:rsidRPr="00872A45">
        <w:rPr>
          <w:rFonts w:ascii="Times New Roman" w:hAnsi="Times New Roman" w:cs="Times New Roman"/>
          <w:sz w:val="24"/>
          <w:szCs w:val="24"/>
        </w:rPr>
        <w:t>od 1. januára 2022 spúšťa fungovanie zálohovania jednorazových obalov na nápoje.</w:t>
      </w:r>
    </w:p>
    <w:p w:rsidR="00C269F6" w:rsidRPr="00C269F6" w:rsidRDefault="00C269F6" w:rsidP="009B6CCE">
      <w:pPr>
        <w:ind w:firstLine="708"/>
        <w:jc w:val="both"/>
      </w:pPr>
      <w:r w:rsidRPr="00872A45">
        <w:rPr>
          <w:rFonts w:ascii="Times New Roman" w:hAnsi="Times New Roman" w:cs="Times New Roman"/>
          <w:sz w:val="24"/>
          <w:szCs w:val="24"/>
        </w:rPr>
        <w:t xml:space="preserve">Cieľom novelizácie je predovšetkým precíznejšia legislatívna  úprava spolupráce </w:t>
      </w:r>
      <w:r w:rsidR="00CF401D">
        <w:rPr>
          <w:rFonts w:ascii="Times New Roman" w:hAnsi="Times New Roman" w:cs="Times New Roman"/>
          <w:sz w:val="24"/>
          <w:szCs w:val="24"/>
        </w:rPr>
        <w:t>M</w:t>
      </w:r>
      <w:r w:rsidRPr="00872A45">
        <w:rPr>
          <w:rFonts w:ascii="Times New Roman" w:hAnsi="Times New Roman" w:cs="Times New Roman"/>
          <w:sz w:val="24"/>
          <w:szCs w:val="24"/>
        </w:rPr>
        <w:t xml:space="preserve">inisterstva životného prostredia </w:t>
      </w:r>
      <w:r w:rsidR="00CF401D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872A45">
        <w:rPr>
          <w:rFonts w:ascii="Times New Roman" w:hAnsi="Times New Roman" w:cs="Times New Roman"/>
          <w:sz w:val="24"/>
          <w:szCs w:val="24"/>
        </w:rPr>
        <w:t>a sp</w:t>
      </w:r>
      <w:r w:rsidR="00CF401D">
        <w:rPr>
          <w:rFonts w:ascii="Times New Roman" w:hAnsi="Times New Roman" w:cs="Times New Roman"/>
          <w:sz w:val="24"/>
          <w:szCs w:val="24"/>
        </w:rPr>
        <w:t>rávcu zálohového systému spojená</w:t>
      </w:r>
      <w:r w:rsidRPr="00872A45">
        <w:rPr>
          <w:rFonts w:ascii="Times New Roman" w:hAnsi="Times New Roman" w:cs="Times New Roman"/>
          <w:sz w:val="24"/>
          <w:szCs w:val="24"/>
        </w:rPr>
        <w:t xml:space="preserve"> so zabezpečením fungovania zálohového systému.</w:t>
      </w:r>
      <w:r w:rsidR="00160E4F">
        <w:rPr>
          <w:rFonts w:ascii="Times New Roman" w:hAnsi="Times New Roman" w:cs="Times New Roman"/>
          <w:sz w:val="24"/>
          <w:szCs w:val="24"/>
        </w:rPr>
        <w:t xml:space="preserve"> Návrhom zákona sa dolaďujú aj </w:t>
      </w:r>
      <w:r w:rsidR="000E1E20">
        <w:rPr>
          <w:rFonts w:ascii="Times New Roman" w:hAnsi="Times New Roman" w:cs="Times New Roman"/>
          <w:sz w:val="24"/>
          <w:szCs w:val="24"/>
        </w:rPr>
        <w:t>niektoré</w:t>
      </w:r>
      <w:r w:rsidR="00160E4F">
        <w:rPr>
          <w:rFonts w:ascii="Times New Roman" w:hAnsi="Times New Roman" w:cs="Times New Roman"/>
          <w:sz w:val="24"/>
          <w:szCs w:val="24"/>
        </w:rPr>
        <w:t xml:space="preserve"> </w:t>
      </w:r>
      <w:r w:rsidR="009B6CCE">
        <w:rPr>
          <w:rFonts w:ascii="Times New Roman" w:hAnsi="Times New Roman" w:cs="Times New Roman"/>
          <w:sz w:val="24"/>
          <w:szCs w:val="24"/>
        </w:rPr>
        <w:t>legislatívne</w:t>
      </w:r>
      <w:r w:rsidR="00160E4F">
        <w:rPr>
          <w:rFonts w:ascii="Times New Roman" w:hAnsi="Times New Roman" w:cs="Times New Roman"/>
          <w:sz w:val="24"/>
          <w:szCs w:val="24"/>
        </w:rPr>
        <w:t xml:space="preserve"> nastavenia zálohového </w:t>
      </w:r>
      <w:r w:rsidR="009B6CCE">
        <w:rPr>
          <w:rFonts w:ascii="Times New Roman" w:hAnsi="Times New Roman" w:cs="Times New Roman"/>
          <w:sz w:val="24"/>
          <w:szCs w:val="24"/>
        </w:rPr>
        <w:t xml:space="preserve">systému, ktoré je potrebné zosúladiť s funkcionalitami zálohového systému. </w:t>
      </w:r>
    </w:p>
    <w:p w:rsidR="008A7384" w:rsidRDefault="00A269DD" w:rsidP="006D3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D9">
        <w:rPr>
          <w:rFonts w:ascii="Times New Roman" w:hAnsi="Times New Roman" w:cs="Times New Roman"/>
          <w:sz w:val="24"/>
          <w:szCs w:val="24"/>
        </w:rPr>
        <w:t xml:space="preserve">Návrh  zákona bude predmetom </w:t>
      </w:r>
      <w:proofErr w:type="spellStart"/>
      <w:r w:rsidRPr="00D35FD9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D35FD9">
        <w:rPr>
          <w:rFonts w:ascii="Times New Roman" w:hAnsi="Times New Roman" w:cs="Times New Roman"/>
          <w:sz w:val="24"/>
          <w:szCs w:val="24"/>
        </w:rPr>
        <w:t xml:space="preserve"> pripomienkového konania</w:t>
      </w:r>
      <w:r w:rsidR="006D3938">
        <w:rPr>
          <w:rFonts w:ascii="Times New Roman" w:hAnsi="Times New Roman" w:cs="Times New Roman"/>
          <w:sz w:val="24"/>
          <w:szCs w:val="24"/>
        </w:rPr>
        <w:t>.</w:t>
      </w:r>
    </w:p>
    <w:p w:rsidR="00432C76" w:rsidRDefault="008A7384" w:rsidP="00F93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D9">
        <w:rPr>
          <w:rFonts w:ascii="Times New Roman" w:hAnsi="Times New Roman" w:cs="Times New Roman"/>
          <w:sz w:val="24"/>
          <w:szCs w:val="24"/>
        </w:rPr>
        <w:t>Účinnosť zákona sa s ohľadom na dĺžku legislatívneho procesu navrhuje na 15. novembra 2021</w:t>
      </w:r>
      <w:r w:rsidR="00A50654">
        <w:rPr>
          <w:rFonts w:ascii="Times New Roman" w:hAnsi="Times New Roman" w:cs="Times New Roman"/>
          <w:sz w:val="24"/>
          <w:szCs w:val="24"/>
        </w:rPr>
        <w:t>, okrem ustanovení, ktorými</w:t>
      </w:r>
      <w:r w:rsidR="007D11C0">
        <w:rPr>
          <w:rFonts w:ascii="Times New Roman" w:hAnsi="Times New Roman" w:cs="Times New Roman"/>
          <w:sz w:val="24"/>
          <w:szCs w:val="24"/>
        </w:rPr>
        <w:t xml:space="preserve"> sa novelizujú povinnosti od dátumu </w:t>
      </w:r>
      <w:r w:rsidR="00A50654">
        <w:rPr>
          <w:rFonts w:ascii="Times New Roman" w:hAnsi="Times New Roman" w:cs="Times New Roman"/>
          <w:sz w:val="24"/>
          <w:szCs w:val="24"/>
        </w:rPr>
        <w:t xml:space="preserve">spustenia zálohového systému </w:t>
      </w:r>
      <w:r w:rsidR="007D11C0">
        <w:rPr>
          <w:rFonts w:ascii="Times New Roman" w:hAnsi="Times New Roman" w:cs="Times New Roman"/>
          <w:sz w:val="24"/>
          <w:szCs w:val="24"/>
        </w:rPr>
        <w:t xml:space="preserve">- </w:t>
      </w:r>
      <w:r w:rsidR="00A50654">
        <w:rPr>
          <w:rFonts w:ascii="Times New Roman" w:hAnsi="Times New Roman" w:cs="Times New Roman"/>
          <w:sz w:val="24"/>
          <w:szCs w:val="24"/>
        </w:rPr>
        <w:t>1. januára 2022</w:t>
      </w:r>
      <w:r w:rsidRPr="00D35FD9">
        <w:rPr>
          <w:rFonts w:ascii="Times New Roman" w:hAnsi="Times New Roman" w:cs="Times New Roman"/>
          <w:sz w:val="24"/>
          <w:szCs w:val="24"/>
        </w:rPr>
        <w:t>.</w:t>
      </w:r>
    </w:p>
    <w:p w:rsidR="0091601A" w:rsidRPr="002E74EB" w:rsidRDefault="00432C76" w:rsidP="0091601A">
      <w:pPr>
        <w:pStyle w:val="Normlnywebov"/>
        <w:ind w:firstLine="720"/>
        <w:jc w:val="both"/>
      </w:pPr>
      <w:r w:rsidRPr="002E74EB">
        <w:t xml:space="preserve">Predkladaný návrh zákona </w:t>
      </w:r>
      <w:r w:rsidR="006D3938" w:rsidRPr="002E74EB">
        <w:t>má</w:t>
      </w:r>
      <w:r w:rsidRPr="002E74EB">
        <w:t xml:space="preserve"> vpl</w:t>
      </w:r>
      <w:r w:rsidR="006D3938" w:rsidRPr="002E74EB">
        <w:t>yv na podnikateľské prostredie</w:t>
      </w:r>
      <w:r w:rsidR="006B333A" w:rsidRPr="002E74EB">
        <w:t xml:space="preserve">, nemá vplyv </w:t>
      </w:r>
      <w:r w:rsidR="006D3938" w:rsidRPr="002E74EB">
        <w:t xml:space="preserve"> </w:t>
      </w:r>
      <w:r w:rsidRPr="002E74EB">
        <w:t>na životné prostredie</w:t>
      </w:r>
      <w:r w:rsidR="00CC5FB3" w:rsidRPr="002E74EB">
        <w:t xml:space="preserve">, </w:t>
      </w:r>
      <w:r w:rsidRPr="002E74EB">
        <w:t>na rozpočet verejnej správy, na informatizáciu</w:t>
      </w:r>
      <w:r w:rsidR="00D9080C" w:rsidRPr="002E74EB">
        <w:t xml:space="preserve"> spoločnosti</w:t>
      </w:r>
      <w:r w:rsidRPr="002E74EB">
        <w:t xml:space="preserve">, sociálne vplyvy, na služby </w:t>
      </w:r>
      <w:r w:rsidR="00D9080C" w:rsidRPr="002E74EB">
        <w:t xml:space="preserve">verejnej správy </w:t>
      </w:r>
      <w:r w:rsidRPr="002E74EB">
        <w:t>pre občana a na manželstvo, rodičovstvo a rodinu.</w:t>
      </w:r>
    </w:p>
    <w:p w:rsidR="0091601A" w:rsidRPr="002E74EB" w:rsidRDefault="0091601A" w:rsidP="00432C76">
      <w:pPr>
        <w:pStyle w:val="Normlnywebov"/>
        <w:ind w:firstLine="720"/>
        <w:jc w:val="both"/>
      </w:pPr>
      <w:r w:rsidRPr="002E74EB">
        <w:t xml:space="preserve">Návrh zákona sa predkladá na rokovanie </w:t>
      </w:r>
      <w:r w:rsidR="008272CC">
        <w:t xml:space="preserve">Legislatívnej rady vlády </w:t>
      </w:r>
      <w:r w:rsidRPr="002E74EB">
        <w:t xml:space="preserve"> Slovenskej republiky </w:t>
      </w:r>
      <w:r w:rsidR="008272CC">
        <w:t xml:space="preserve">s rozpormi </w:t>
      </w:r>
      <w:bookmarkStart w:id="0" w:name="_GoBack"/>
      <w:bookmarkEnd w:id="0"/>
      <w:r w:rsidR="00A50654" w:rsidRPr="002E74EB">
        <w:t>s Asociáciou priemyselných zväzov a dopravy a s </w:t>
      </w:r>
      <w:r w:rsidR="00515FFE" w:rsidRPr="002E74EB">
        <w:t>R</w:t>
      </w:r>
      <w:r w:rsidR="00A50654" w:rsidRPr="002E74EB">
        <w:t>epublikovou úniou zamestnávateľov.</w:t>
      </w: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432C76">
      <w:pPr>
        <w:pStyle w:val="Normlnywebov"/>
        <w:ind w:firstLine="720"/>
        <w:jc w:val="both"/>
        <w:rPr>
          <w:color w:val="FF0000"/>
        </w:rPr>
      </w:pPr>
    </w:p>
    <w:p w:rsidR="00515FFE" w:rsidRDefault="00515FFE" w:rsidP="00535E5C">
      <w:pPr>
        <w:pStyle w:val="Normlnywebov"/>
        <w:jc w:val="both"/>
        <w:rPr>
          <w:color w:val="FF0000"/>
        </w:rPr>
      </w:pPr>
    </w:p>
    <w:p w:rsidR="00515FFE" w:rsidRPr="00AE1996" w:rsidRDefault="00515FFE" w:rsidP="00515FFE">
      <w:pPr>
        <w:pStyle w:val="Normlnywebov"/>
        <w:ind w:firstLine="720"/>
        <w:jc w:val="center"/>
        <w:rPr>
          <w:b/>
        </w:rPr>
      </w:pPr>
      <w:r w:rsidRPr="00AE1996">
        <w:rPr>
          <w:b/>
        </w:rPr>
        <w:lastRenderedPageBreak/>
        <w:t>Vyhlásenie o rozporoch</w:t>
      </w:r>
    </w:p>
    <w:p w:rsidR="00FC1479" w:rsidRDefault="00FC1479" w:rsidP="00515FFE">
      <w:pPr>
        <w:pStyle w:val="Normlnywebov"/>
        <w:rPr>
          <w:b/>
        </w:rPr>
      </w:pPr>
    </w:p>
    <w:p w:rsidR="00515FFE" w:rsidRPr="00515FFE" w:rsidRDefault="00515FFE" w:rsidP="00515FFE">
      <w:pPr>
        <w:pStyle w:val="Normlnywebov"/>
        <w:rPr>
          <w:b/>
        </w:rPr>
      </w:pPr>
      <w:r w:rsidRPr="00515FFE">
        <w:rPr>
          <w:b/>
        </w:rPr>
        <w:t>Asociácia priemyselných zväzov a dopravy</w:t>
      </w:r>
    </w:p>
    <w:p w:rsidR="00515FFE" w:rsidRPr="00515FFE" w:rsidRDefault="00515FFE" w:rsidP="00AE1996">
      <w:pPr>
        <w:pStyle w:val="Normlnywebov"/>
        <w:jc w:val="both"/>
        <w:rPr>
          <w:rFonts w:eastAsiaTheme="minorHAnsi"/>
          <w:lang w:eastAsia="en-US"/>
        </w:rPr>
      </w:pPr>
      <w:r w:rsidRPr="00515FFE">
        <w:rPr>
          <w:rFonts w:eastAsiaTheme="minorHAnsi"/>
          <w:lang w:eastAsia="en-US"/>
        </w:rPr>
        <w:t>Požadujú navrhované ustanovenia § 7 ods. 1 písm. w) a x), t. j. povinnosť zriadenia transparentného účtu správcom z návrhu zákona vypustiť. Odôvodnenie: Prijatie predmetného ustanovenia by mohlo byť v rozpore s právom EÚ a je neúčelné.</w:t>
      </w:r>
    </w:p>
    <w:p w:rsidR="002E74EB" w:rsidRDefault="002E74EB" w:rsidP="002E74EB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Stanovisko MŽP SR</w:t>
      </w:r>
    </w:p>
    <w:p w:rsidR="00515FFE" w:rsidRDefault="00515FFE" w:rsidP="002E74EB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5FFE">
        <w:rPr>
          <w:rFonts w:eastAsiaTheme="minorHAnsi"/>
          <w:lang w:eastAsia="en-US"/>
        </w:rPr>
        <w:t xml:space="preserve">Transparentný účet zostáva zachovaný, jeho parametre boli upravené v zmysle záverov </w:t>
      </w:r>
      <w:proofErr w:type="spellStart"/>
      <w:r w:rsidRPr="00515FFE">
        <w:rPr>
          <w:rFonts w:eastAsiaTheme="minorHAnsi"/>
          <w:lang w:eastAsia="en-US"/>
        </w:rPr>
        <w:t>rozporových</w:t>
      </w:r>
      <w:proofErr w:type="spellEnd"/>
      <w:r w:rsidRPr="00515FFE">
        <w:rPr>
          <w:rFonts w:eastAsiaTheme="minorHAnsi"/>
          <w:lang w:eastAsia="en-US"/>
        </w:rPr>
        <w:t xml:space="preserve"> rokovaní. Správca preverí možnosť a podmienky technickej uskutočniteľnosti zriadenia transparentného účtu v banke a bude ich prezentovať na zasadnutí Hospodárskej a sociálnej rady Slovenskej republiky.</w:t>
      </w:r>
    </w:p>
    <w:p w:rsidR="00515FFE" w:rsidRDefault="00515FFE" w:rsidP="00515FFE">
      <w:pPr>
        <w:pStyle w:val="Normlnywebov"/>
        <w:jc w:val="both"/>
        <w:rPr>
          <w:rFonts w:eastAsiaTheme="minorHAnsi"/>
          <w:b/>
          <w:lang w:eastAsia="en-US"/>
        </w:rPr>
      </w:pPr>
      <w:r w:rsidRPr="00515FFE">
        <w:rPr>
          <w:rFonts w:eastAsiaTheme="minorHAnsi"/>
          <w:b/>
          <w:lang w:eastAsia="en-US"/>
        </w:rPr>
        <w:t>Republiková únia zamestnávateľov</w:t>
      </w:r>
    </w:p>
    <w:p w:rsidR="00C42EE8" w:rsidRDefault="00C42EE8" w:rsidP="00C42EE8">
      <w:pPr>
        <w:pStyle w:val="Normlnywebov"/>
        <w:jc w:val="both"/>
        <w:rPr>
          <w:rFonts w:eastAsiaTheme="minorHAnsi"/>
          <w:lang w:eastAsia="en-US"/>
        </w:rPr>
      </w:pPr>
      <w:r>
        <w:rPr>
          <w:rFonts w:ascii="Times" w:hAnsi="Times" w:cs="Times"/>
          <w:sz w:val="25"/>
          <w:szCs w:val="25"/>
        </w:rPr>
        <w:t xml:space="preserve">1. </w:t>
      </w:r>
      <w:r w:rsidRPr="00515FFE">
        <w:rPr>
          <w:rFonts w:eastAsiaTheme="minorHAnsi"/>
          <w:lang w:eastAsia="en-US"/>
        </w:rPr>
        <w:t xml:space="preserve">Požadujú navrhované ustanovenia § 7 ods. 1 písm. w) a x), t. j. povinnosť zriadenia transparentného účtu správcom z návrhu zákona vypustiť. </w:t>
      </w:r>
    </w:p>
    <w:p w:rsidR="00C42EE8" w:rsidRDefault="00C42EE8" w:rsidP="00C42EE8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Stanovisko MŽP SR</w:t>
      </w:r>
    </w:p>
    <w:p w:rsidR="00C42EE8" w:rsidRDefault="00C42EE8" w:rsidP="00C42EE8">
      <w:pPr>
        <w:pStyle w:val="Normlnywebov"/>
        <w:spacing w:before="0" w:beforeAutospacing="0" w:after="0" w:afterAutospacing="0"/>
        <w:jc w:val="both"/>
        <w:rPr>
          <w:rFonts w:ascii="Times" w:hAnsi="Times" w:cs="Times"/>
          <w:sz w:val="25"/>
          <w:szCs w:val="25"/>
        </w:rPr>
      </w:pPr>
      <w:r w:rsidRPr="00515FFE">
        <w:rPr>
          <w:rFonts w:eastAsiaTheme="minorHAnsi"/>
          <w:lang w:eastAsia="en-US"/>
        </w:rPr>
        <w:t xml:space="preserve">Transparentný účet zostáva zachovaný, jeho parametre boli upravené v zmysle záverov </w:t>
      </w:r>
      <w:proofErr w:type="spellStart"/>
      <w:r w:rsidRPr="00515FFE">
        <w:rPr>
          <w:rFonts w:eastAsiaTheme="minorHAnsi"/>
          <w:lang w:eastAsia="en-US"/>
        </w:rPr>
        <w:t>rozporových</w:t>
      </w:r>
      <w:proofErr w:type="spellEnd"/>
      <w:r w:rsidRPr="00515FFE">
        <w:rPr>
          <w:rFonts w:eastAsiaTheme="minorHAnsi"/>
          <w:lang w:eastAsia="en-US"/>
        </w:rPr>
        <w:t xml:space="preserve"> rokovaní. Správca preverí možnosť a podmienky technickej uskutočniteľnosti zriadenia transparentného účtu v banke a bude ich prezentovať na zasadnutí Hospodárskej a sociálnej rady Slovenskej republiky</w:t>
      </w:r>
      <w:r>
        <w:rPr>
          <w:rFonts w:ascii="Times" w:hAnsi="Times" w:cs="Times"/>
          <w:sz w:val="25"/>
          <w:szCs w:val="25"/>
        </w:rPr>
        <w:t>.</w:t>
      </w:r>
    </w:p>
    <w:p w:rsidR="00C64697" w:rsidRDefault="00C64697" w:rsidP="00C64697">
      <w:pPr>
        <w:pStyle w:val="Normlnywebov"/>
        <w:jc w:val="both"/>
        <w:rPr>
          <w:rFonts w:eastAsiaTheme="minorHAnsi"/>
          <w:lang w:eastAsia="en-US"/>
        </w:rPr>
      </w:pPr>
      <w:r w:rsidRPr="002C4104">
        <w:rPr>
          <w:rFonts w:eastAsiaTheme="minorHAnsi"/>
          <w:lang w:eastAsia="en-US"/>
        </w:rPr>
        <w:t>2. Navrhované znenie § 7 ods. 5, ods. 6, ods. 7 a ods. 8 navrhujú vypustiť. Odôvodnenie: Zásadne nesúhlasia s tým, aby MŽP zaviedlo obmedzovanie použitia finančných prostriedkov z nevyplatených záloh správcovi na svoju činnosť a plnenie primárnych cieľov zálohového systému, stanovených zákonom a aby sa finančné prostriedky z nevyplatených záloh stali príjmom Environmentálneho fondu.</w:t>
      </w:r>
    </w:p>
    <w:p w:rsidR="00D75294" w:rsidRPr="002C4104" w:rsidRDefault="00D75294" w:rsidP="00C64697">
      <w:pPr>
        <w:pStyle w:val="Normlnywebov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RÚZ navrhla možnosť zvýšenia pokút za nespl</w:t>
      </w:r>
      <w:r w:rsidR="00510CA4">
        <w:rPr>
          <w:rFonts w:eastAsiaTheme="minorHAnsi"/>
          <w:lang w:eastAsia="en-US"/>
        </w:rPr>
        <w:t>nenie cieľov</w:t>
      </w:r>
      <w:r w:rsidR="00FC1479">
        <w:rPr>
          <w:rFonts w:eastAsiaTheme="minorHAnsi"/>
          <w:lang w:eastAsia="en-US"/>
        </w:rPr>
        <w:t xml:space="preserve"> v § 14 ods.4</w:t>
      </w:r>
      <w:r w:rsidR="00510CA4">
        <w:rPr>
          <w:rFonts w:eastAsiaTheme="minorHAnsi"/>
          <w:lang w:eastAsia="en-US"/>
        </w:rPr>
        <w:t>, ako protinávrh v prípade, ak MŽP SR vypustí ustanovenia § 7 ods. 5 až 8.</w:t>
      </w:r>
      <w:r>
        <w:rPr>
          <w:rFonts w:eastAsiaTheme="minorHAnsi"/>
          <w:lang w:eastAsia="en-US"/>
        </w:rPr>
        <w:t xml:space="preserve"> </w:t>
      </w:r>
    </w:p>
    <w:p w:rsidR="00C64697" w:rsidRPr="00515FFE" w:rsidRDefault="00C64697" w:rsidP="00C64697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5FFE">
        <w:rPr>
          <w:rFonts w:eastAsiaTheme="minorHAnsi"/>
          <w:lang w:eastAsia="en-US"/>
        </w:rPr>
        <w:t>Stanovisko MŽP SR</w:t>
      </w:r>
    </w:p>
    <w:p w:rsidR="00C42EE8" w:rsidRPr="002C4104" w:rsidRDefault="00C64697" w:rsidP="00C64697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C4104">
        <w:rPr>
          <w:rFonts w:eastAsiaTheme="minorHAnsi"/>
          <w:lang w:eastAsia="en-US"/>
        </w:rPr>
        <w:t>Vypúšťa sa odvod časti nevyplatených záloh do Environmentálneho fondu a upravuje sa nové ustanovenie § 7 ods. 5 a 6, ktoré viaže použitie prostriedkov v objeme  50 percent sumy nevyplatených záloh na účely použitia do zálohového systému na základe súhlasu MŽP SR.</w:t>
      </w:r>
      <w:r w:rsidR="00D75294">
        <w:rPr>
          <w:rFonts w:eastAsiaTheme="minorHAnsi"/>
          <w:lang w:eastAsia="en-US"/>
        </w:rPr>
        <w:t xml:space="preserve"> Zároveň sa navyšuje pokuta za nesplnenie cieľov. </w:t>
      </w:r>
      <w:r w:rsidRPr="002C4104">
        <w:rPr>
          <w:rFonts w:eastAsiaTheme="minorHAnsi"/>
          <w:lang w:eastAsia="en-US"/>
        </w:rPr>
        <w:t xml:space="preserve"> </w:t>
      </w:r>
    </w:p>
    <w:p w:rsidR="00515FFE" w:rsidRPr="00BF39CC" w:rsidRDefault="00C64697" w:rsidP="00515FFE">
      <w:pPr>
        <w:pStyle w:val="Normlnywebov"/>
        <w:jc w:val="both"/>
        <w:rPr>
          <w:rFonts w:eastAsiaTheme="minorHAnsi"/>
          <w:lang w:eastAsia="en-US"/>
        </w:rPr>
      </w:pPr>
      <w:r w:rsidRPr="00BF39CC">
        <w:rPr>
          <w:rFonts w:eastAsiaTheme="minorHAnsi"/>
          <w:lang w:eastAsia="en-US"/>
        </w:rPr>
        <w:t xml:space="preserve">3. </w:t>
      </w:r>
      <w:r w:rsidR="00AE1996" w:rsidRPr="00BF39CC">
        <w:rPr>
          <w:rFonts w:eastAsiaTheme="minorHAnsi"/>
          <w:lang w:eastAsia="en-US"/>
        </w:rPr>
        <w:t xml:space="preserve">Do ustanovenia § 7 </w:t>
      </w:r>
      <w:r w:rsidR="00E648E9" w:rsidRPr="00BF39CC">
        <w:rPr>
          <w:rFonts w:eastAsiaTheme="minorHAnsi"/>
          <w:lang w:eastAsia="en-US"/>
        </w:rPr>
        <w:t xml:space="preserve">požadujú </w:t>
      </w:r>
      <w:r w:rsidR="00AE1996" w:rsidRPr="00BF39CC">
        <w:rPr>
          <w:rFonts w:eastAsiaTheme="minorHAnsi"/>
          <w:lang w:eastAsia="en-US"/>
        </w:rPr>
        <w:t>doplniť nový odsek v nasledovnom znení: „Na zabezpečenie prepravy, zhodnotenia a recyklácie odpadov zo zálohovaných jednorazových obalov na nápoje a zneškodnenie nezhodnotiteľných vytriedených odpadov zo zálohovaných jednorazových obalov na nápoje správcom sa nevyžaduje súhlas podľa osobitného predpisu.8)“ Pozn. pod čiarou k bodu 8): 8) § 97 zákona č. 79/2015 Z. z. v znení neskorších predpisov.</w:t>
      </w:r>
      <w:r w:rsidR="002F5BC3" w:rsidRPr="00BF39CC">
        <w:rPr>
          <w:rFonts w:eastAsiaTheme="minorHAnsi"/>
          <w:lang w:eastAsia="en-US"/>
        </w:rPr>
        <w:t xml:space="preserve"> Odôvodnenie: Považuj</w:t>
      </w:r>
      <w:r w:rsidR="00BF39CC" w:rsidRPr="00BF39CC">
        <w:rPr>
          <w:rFonts w:eastAsiaTheme="minorHAnsi"/>
          <w:lang w:eastAsia="en-US"/>
        </w:rPr>
        <w:t>ú</w:t>
      </w:r>
      <w:r w:rsidR="002F5BC3" w:rsidRPr="00BF39CC">
        <w:rPr>
          <w:rFonts w:eastAsiaTheme="minorHAnsi"/>
          <w:lang w:eastAsia="en-US"/>
        </w:rPr>
        <w:t xml:space="preserve"> za potrebné v záujme zabezpečenia plnenia povinností Správcu a implementácie systému, ustanovenie výnimky pre tento samostatný prúd odobratých zálohovaných jednorazových obalov na nápoje.</w:t>
      </w:r>
    </w:p>
    <w:p w:rsidR="00AE1996" w:rsidRDefault="00AE1996" w:rsidP="00E648E9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5FFE">
        <w:rPr>
          <w:rFonts w:eastAsiaTheme="minorHAnsi"/>
          <w:lang w:eastAsia="en-US"/>
        </w:rPr>
        <w:lastRenderedPageBreak/>
        <w:t>Stanovisko MŽP SR</w:t>
      </w:r>
    </w:p>
    <w:p w:rsidR="00AE1996" w:rsidRPr="00515FFE" w:rsidRDefault="00AE1996" w:rsidP="00E648E9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7456C">
        <w:rPr>
          <w:rFonts w:eastAsiaTheme="minorHAnsi"/>
          <w:lang w:eastAsia="en-US"/>
        </w:rPr>
        <w:t>V aktuálne platnej legislatíve neexistuje možnosť výnimky pre nakladanie s odpadom, ktoré je v tomto prípade zhodnocovaním.</w:t>
      </w:r>
    </w:p>
    <w:p w:rsidR="004D393B" w:rsidRPr="00953C3F" w:rsidRDefault="004D393B" w:rsidP="0095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D8" w:rsidRDefault="004006D8" w:rsidP="0054659D">
      <w:pPr>
        <w:pStyle w:val="Normlnywebov"/>
        <w:ind w:firstLine="720"/>
        <w:jc w:val="both"/>
      </w:pPr>
    </w:p>
    <w:p w:rsidR="0054659D" w:rsidRDefault="0054659D" w:rsidP="0054659D">
      <w:pPr>
        <w:pStyle w:val="Normlnywebov"/>
        <w:ind w:firstLine="720"/>
        <w:jc w:val="both"/>
      </w:pPr>
    </w:p>
    <w:p w:rsidR="007F71E3" w:rsidRPr="0054659D" w:rsidRDefault="007F71E3" w:rsidP="007F71E3">
      <w:pPr>
        <w:rPr>
          <w:rFonts w:ascii="Times New Roman" w:hAnsi="Times New Roman" w:cs="Times New Roman"/>
          <w:sz w:val="24"/>
          <w:szCs w:val="24"/>
        </w:rPr>
      </w:pPr>
    </w:p>
    <w:sectPr w:rsidR="007F71E3" w:rsidRPr="0054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0D" w:rsidRDefault="00E3010D" w:rsidP="000A5F7B">
      <w:pPr>
        <w:spacing w:after="0" w:line="240" w:lineRule="auto"/>
      </w:pPr>
      <w:r>
        <w:separator/>
      </w:r>
    </w:p>
  </w:endnote>
  <w:endnote w:type="continuationSeparator" w:id="0">
    <w:p w:rsidR="00E3010D" w:rsidRDefault="00E3010D" w:rsidP="000A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332087"/>
      <w:docPartObj>
        <w:docPartGallery w:val="Page Numbers (Bottom of Page)"/>
        <w:docPartUnique/>
      </w:docPartObj>
    </w:sdtPr>
    <w:sdtEndPr/>
    <w:sdtContent>
      <w:p w:rsidR="000A5F7B" w:rsidRDefault="000A5F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CC">
          <w:rPr>
            <w:noProof/>
          </w:rPr>
          <w:t>2</w:t>
        </w:r>
        <w:r>
          <w:fldChar w:fldCharType="end"/>
        </w:r>
      </w:p>
    </w:sdtContent>
  </w:sdt>
  <w:p w:rsidR="000A5F7B" w:rsidRDefault="000A5F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0D" w:rsidRDefault="00E3010D" w:rsidP="000A5F7B">
      <w:pPr>
        <w:spacing w:after="0" w:line="240" w:lineRule="auto"/>
      </w:pPr>
      <w:r>
        <w:separator/>
      </w:r>
    </w:p>
  </w:footnote>
  <w:footnote w:type="continuationSeparator" w:id="0">
    <w:p w:rsidR="00E3010D" w:rsidRDefault="00E3010D" w:rsidP="000A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6"/>
    <w:rsid w:val="000128C5"/>
    <w:rsid w:val="000A5F7B"/>
    <w:rsid w:val="000E1E20"/>
    <w:rsid w:val="00160E4F"/>
    <w:rsid w:val="0017731F"/>
    <w:rsid w:val="002C4104"/>
    <w:rsid w:val="002E74EB"/>
    <w:rsid w:val="002F5BC3"/>
    <w:rsid w:val="004006D8"/>
    <w:rsid w:val="00432C76"/>
    <w:rsid w:val="004566E1"/>
    <w:rsid w:val="00470487"/>
    <w:rsid w:val="004C4858"/>
    <w:rsid w:val="004D393B"/>
    <w:rsid w:val="004E35D0"/>
    <w:rsid w:val="00510CA4"/>
    <w:rsid w:val="00515FFE"/>
    <w:rsid w:val="005308A7"/>
    <w:rsid w:val="00535E5C"/>
    <w:rsid w:val="0054659D"/>
    <w:rsid w:val="005E5624"/>
    <w:rsid w:val="006B333A"/>
    <w:rsid w:val="006D3938"/>
    <w:rsid w:val="00711CE6"/>
    <w:rsid w:val="00780EC8"/>
    <w:rsid w:val="00796867"/>
    <w:rsid w:val="007D11C0"/>
    <w:rsid w:val="007F0D66"/>
    <w:rsid w:val="007F71E3"/>
    <w:rsid w:val="00801165"/>
    <w:rsid w:val="008272CC"/>
    <w:rsid w:val="00872A45"/>
    <w:rsid w:val="00875727"/>
    <w:rsid w:val="008A7384"/>
    <w:rsid w:val="008D3B50"/>
    <w:rsid w:val="0091601A"/>
    <w:rsid w:val="00953C3F"/>
    <w:rsid w:val="009B6CCE"/>
    <w:rsid w:val="00A049EB"/>
    <w:rsid w:val="00A269DD"/>
    <w:rsid w:val="00A50654"/>
    <w:rsid w:val="00A6344A"/>
    <w:rsid w:val="00A7456C"/>
    <w:rsid w:val="00AD53D4"/>
    <w:rsid w:val="00AE1996"/>
    <w:rsid w:val="00B46031"/>
    <w:rsid w:val="00BD6A45"/>
    <w:rsid w:val="00BD739C"/>
    <w:rsid w:val="00BF39CC"/>
    <w:rsid w:val="00BF54FA"/>
    <w:rsid w:val="00C269F6"/>
    <w:rsid w:val="00C42EE8"/>
    <w:rsid w:val="00C64697"/>
    <w:rsid w:val="00CC5FB3"/>
    <w:rsid w:val="00CF401D"/>
    <w:rsid w:val="00D35FD9"/>
    <w:rsid w:val="00D75294"/>
    <w:rsid w:val="00D9080C"/>
    <w:rsid w:val="00DD5AE5"/>
    <w:rsid w:val="00E146E6"/>
    <w:rsid w:val="00E3010D"/>
    <w:rsid w:val="00E53F56"/>
    <w:rsid w:val="00E648E9"/>
    <w:rsid w:val="00E84901"/>
    <w:rsid w:val="00EE3125"/>
    <w:rsid w:val="00F93777"/>
    <w:rsid w:val="00FA157F"/>
    <w:rsid w:val="00FC147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C781"/>
  <w15:chartTrackingRefBased/>
  <w15:docId w15:val="{E4FDFD3F-2D07-4747-8A9E-BFD3262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4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4006D8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4006D8"/>
  </w:style>
  <w:style w:type="paragraph" w:styleId="Hlavika">
    <w:name w:val="header"/>
    <w:basedOn w:val="Normlny"/>
    <w:link w:val="HlavikaChar"/>
    <w:uiPriority w:val="99"/>
    <w:unhideWhenUsed/>
    <w:rsid w:val="000A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F7B"/>
  </w:style>
  <w:style w:type="paragraph" w:styleId="Pta">
    <w:name w:val="footer"/>
    <w:basedOn w:val="Normlny"/>
    <w:link w:val="PtaChar"/>
    <w:uiPriority w:val="99"/>
    <w:unhideWhenUsed/>
    <w:rsid w:val="000A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F7B"/>
  </w:style>
  <w:style w:type="paragraph" w:styleId="Textbubliny">
    <w:name w:val="Balloon Text"/>
    <w:basedOn w:val="Normlny"/>
    <w:link w:val="TextbublinyChar"/>
    <w:uiPriority w:val="99"/>
    <w:semiHidden/>
    <w:unhideWhenUsed/>
    <w:rsid w:val="000A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71</cp:revision>
  <cp:lastPrinted>2021-08-13T08:54:00Z</cp:lastPrinted>
  <dcterms:created xsi:type="dcterms:W3CDTF">2021-05-27T10:29:00Z</dcterms:created>
  <dcterms:modified xsi:type="dcterms:W3CDTF">2021-08-13T10:48:00Z</dcterms:modified>
</cp:coreProperties>
</file>