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752" w:rsidRDefault="00D40752" w:rsidP="00FC165A">
      <w:pPr>
        <w:spacing w:line="240" w:lineRule="auto"/>
        <w:jc w:val="center"/>
        <w:rPr>
          <w:b/>
          <w:bCs/>
          <w:sz w:val="28"/>
          <w:szCs w:val="28"/>
          <w:lang w:eastAsia="sk-SK"/>
        </w:rPr>
      </w:pPr>
      <w:bookmarkStart w:id="0" w:name="_GoBack"/>
      <w:bookmarkEnd w:id="0"/>
    </w:p>
    <w:p w:rsidR="00FC165A" w:rsidRDefault="00FC165A" w:rsidP="00D40752">
      <w:pPr>
        <w:spacing w:line="240" w:lineRule="auto"/>
        <w:jc w:val="center"/>
        <w:rPr>
          <w:b/>
          <w:bCs/>
          <w:sz w:val="28"/>
          <w:szCs w:val="28"/>
          <w:lang w:eastAsia="sk-SK"/>
        </w:rPr>
      </w:pPr>
      <w:r w:rsidRPr="004550C4">
        <w:rPr>
          <w:b/>
          <w:bCs/>
          <w:sz w:val="28"/>
          <w:szCs w:val="28"/>
          <w:lang w:eastAsia="sk-SK"/>
        </w:rPr>
        <w:t>Analýza vplyvov na rozpočet verejnej správy,</w:t>
      </w:r>
    </w:p>
    <w:p w:rsidR="00FC165A" w:rsidRPr="004550C4" w:rsidRDefault="00FC165A" w:rsidP="00D40752">
      <w:pPr>
        <w:spacing w:line="240" w:lineRule="auto"/>
        <w:jc w:val="center"/>
        <w:rPr>
          <w:b/>
          <w:bCs/>
          <w:sz w:val="28"/>
          <w:szCs w:val="28"/>
          <w:lang w:eastAsia="sk-SK"/>
        </w:rPr>
      </w:pPr>
      <w:r w:rsidRPr="004550C4">
        <w:rPr>
          <w:b/>
          <w:bCs/>
          <w:sz w:val="28"/>
          <w:szCs w:val="28"/>
          <w:lang w:eastAsia="sk-SK"/>
        </w:rPr>
        <w:t>na zamestnanosť vo verejnej správe a financovanie návrhu</w:t>
      </w:r>
    </w:p>
    <w:p w:rsidR="00FC165A" w:rsidRPr="004550C4" w:rsidRDefault="00FC165A" w:rsidP="00FC165A">
      <w:pPr>
        <w:spacing w:line="240" w:lineRule="auto"/>
        <w:rPr>
          <w:b/>
          <w:bCs/>
          <w:szCs w:val="24"/>
          <w:lang w:eastAsia="sk-SK"/>
        </w:rPr>
      </w:pPr>
    </w:p>
    <w:p w:rsidR="00FC165A" w:rsidRPr="004550C4" w:rsidRDefault="00FC165A" w:rsidP="00FC165A">
      <w:pPr>
        <w:spacing w:line="240" w:lineRule="auto"/>
        <w:rPr>
          <w:b/>
          <w:bCs/>
          <w:szCs w:val="24"/>
          <w:lang w:eastAsia="sk-SK"/>
        </w:rPr>
      </w:pPr>
      <w:r w:rsidRPr="004550C4">
        <w:rPr>
          <w:b/>
          <w:bCs/>
          <w:szCs w:val="24"/>
          <w:lang w:eastAsia="sk-SK"/>
        </w:rPr>
        <w:t>2.1 Zhrnutie vplyvov na rozpočet verejnej správy v návrhu</w:t>
      </w:r>
    </w:p>
    <w:p w:rsidR="00FC165A" w:rsidRPr="004550C4" w:rsidRDefault="00995B01" w:rsidP="00995B01">
      <w:pPr>
        <w:spacing w:line="240" w:lineRule="auto"/>
        <w:jc w:val="center"/>
        <w:rPr>
          <w:sz w:val="20"/>
          <w:szCs w:val="20"/>
          <w:lang w:eastAsia="sk-SK"/>
        </w:rPr>
      </w:pPr>
      <w:r>
        <w:rPr>
          <w:sz w:val="20"/>
          <w:szCs w:val="20"/>
          <w:lang w:eastAsia="sk-SK"/>
        </w:rPr>
        <w:t xml:space="preserve">                                                                  </w:t>
      </w:r>
      <w:r>
        <w:rPr>
          <w:sz w:val="20"/>
          <w:szCs w:val="20"/>
          <w:lang w:eastAsia="sk-SK"/>
        </w:rPr>
        <w:tab/>
      </w:r>
      <w:r>
        <w:rPr>
          <w:sz w:val="20"/>
          <w:szCs w:val="20"/>
          <w:lang w:eastAsia="sk-SK"/>
        </w:rPr>
        <w:tab/>
      </w:r>
      <w:r>
        <w:rPr>
          <w:sz w:val="20"/>
          <w:szCs w:val="20"/>
          <w:lang w:eastAsia="sk-SK"/>
        </w:rPr>
        <w:tab/>
      </w:r>
      <w:r>
        <w:rPr>
          <w:sz w:val="20"/>
          <w:szCs w:val="20"/>
          <w:lang w:eastAsia="sk-SK"/>
        </w:rPr>
        <w:tab/>
      </w:r>
      <w:r>
        <w:rPr>
          <w:sz w:val="20"/>
          <w:szCs w:val="20"/>
          <w:lang w:eastAsia="sk-SK"/>
        </w:rPr>
        <w:tab/>
        <w:t xml:space="preserve">                                 </w:t>
      </w:r>
      <w:r w:rsidR="00FC165A" w:rsidRPr="004550C4">
        <w:rPr>
          <w:sz w:val="20"/>
          <w:szCs w:val="20"/>
          <w:lang w:eastAsia="sk-SK"/>
        </w:rPr>
        <w:t xml:space="preserve">Tabuľka č. 1 </w:t>
      </w:r>
    </w:p>
    <w:tbl>
      <w:tblPr>
        <w:tblW w:w="10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4"/>
        <w:gridCol w:w="1400"/>
        <w:gridCol w:w="1560"/>
        <w:gridCol w:w="1422"/>
        <w:gridCol w:w="1603"/>
      </w:tblGrid>
      <w:tr w:rsidR="00FC165A" w:rsidRPr="004550C4" w:rsidTr="00D732AE">
        <w:trPr>
          <w:cantSplit/>
          <w:trHeight w:val="194"/>
          <w:jc w:val="center"/>
        </w:trPr>
        <w:tc>
          <w:tcPr>
            <w:tcW w:w="4444" w:type="dxa"/>
            <w:vMerge w:val="restart"/>
            <w:shd w:val="clear" w:color="auto" w:fill="BFBFBF" w:themeFill="background1" w:themeFillShade="BF"/>
            <w:vAlign w:val="center"/>
          </w:tcPr>
          <w:p w:rsidR="00FC165A" w:rsidRPr="004550C4" w:rsidRDefault="00FC165A" w:rsidP="002B77CE">
            <w:pPr>
              <w:spacing w:line="240" w:lineRule="auto"/>
              <w:jc w:val="center"/>
              <w:rPr>
                <w:b/>
                <w:bCs/>
                <w:szCs w:val="24"/>
                <w:lang w:eastAsia="sk-SK"/>
              </w:rPr>
            </w:pPr>
            <w:bookmarkStart w:id="1" w:name="OLE_LINK1"/>
            <w:r w:rsidRPr="004550C4">
              <w:rPr>
                <w:b/>
                <w:bCs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985" w:type="dxa"/>
            <w:gridSpan w:val="4"/>
            <w:shd w:val="clear" w:color="auto" w:fill="BFBFBF" w:themeFill="background1" w:themeFillShade="BF"/>
            <w:vAlign w:val="center"/>
          </w:tcPr>
          <w:p w:rsidR="00FC165A" w:rsidRPr="004550C4" w:rsidRDefault="00FC165A" w:rsidP="00EB0A5C">
            <w:pPr>
              <w:spacing w:line="240" w:lineRule="auto"/>
              <w:jc w:val="center"/>
              <w:rPr>
                <w:b/>
                <w:bCs/>
                <w:szCs w:val="24"/>
                <w:lang w:eastAsia="sk-SK"/>
              </w:rPr>
            </w:pPr>
            <w:r w:rsidRPr="004550C4">
              <w:rPr>
                <w:b/>
                <w:bCs/>
                <w:szCs w:val="24"/>
                <w:lang w:eastAsia="sk-SK"/>
              </w:rPr>
              <w:t xml:space="preserve">Vplyv na rozpočet verejnej správy </w:t>
            </w:r>
          </w:p>
        </w:tc>
      </w:tr>
      <w:tr w:rsidR="00FC165A" w:rsidRPr="004550C4" w:rsidTr="00D732AE">
        <w:trPr>
          <w:cantSplit/>
          <w:trHeight w:val="70"/>
          <w:jc w:val="center"/>
        </w:trPr>
        <w:tc>
          <w:tcPr>
            <w:tcW w:w="4444" w:type="dxa"/>
            <w:vMerge/>
            <w:shd w:val="clear" w:color="auto" w:fill="BFBFBF" w:themeFill="background1" w:themeFillShade="BF"/>
            <w:vAlign w:val="center"/>
          </w:tcPr>
          <w:p w:rsidR="00FC165A" w:rsidRPr="004550C4" w:rsidRDefault="00FC165A" w:rsidP="002B77CE">
            <w:pPr>
              <w:spacing w:line="240" w:lineRule="auto"/>
              <w:jc w:val="center"/>
              <w:rPr>
                <w:b/>
                <w:bCs/>
                <w:szCs w:val="24"/>
                <w:lang w:eastAsia="sk-SK"/>
              </w:rPr>
            </w:pPr>
          </w:p>
        </w:tc>
        <w:tc>
          <w:tcPr>
            <w:tcW w:w="1400" w:type="dxa"/>
            <w:shd w:val="clear" w:color="auto" w:fill="BFBFBF" w:themeFill="background1" w:themeFillShade="BF"/>
            <w:vAlign w:val="center"/>
          </w:tcPr>
          <w:p w:rsidR="00FC165A" w:rsidRPr="004550C4" w:rsidRDefault="003622EE" w:rsidP="009D1E26">
            <w:pPr>
              <w:spacing w:line="240" w:lineRule="auto"/>
              <w:jc w:val="center"/>
              <w:rPr>
                <w:b/>
                <w:bCs/>
                <w:szCs w:val="24"/>
                <w:lang w:eastAsia="sk-SK"/>
              </w:rPr>
            </w:pPr>
            <w:r>
              <w:rPr>
                <w:b/>
                <w:bCs/>
                <w:szCs w:val="24"/>
                <w:lang w:eastAsia="sk-SK"/>
              </w:rPr>
              <w:t>20</w:t>
            </w:r>
            <w:r w:rsidR="0055779D">
              <w:rPr>
                <w:b/>
                <w:bCs/>
                <w:szCs w:val="24"/>
                <w:lang w:eastAsia="sk-SK"/>
              </w:rPr>
              <w:t>2</w:t>
            </w:r>
            <w:r w:rsidR="009D1E26">
              <w:rPr>
                <w:b/>
                <w:bCs/>
                <w:szCs w:val="24"/>
                <w:lang w:eastAsia="sk-SK"/>
              </w:rPr>
              <w:t>1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FC165A" w:rsidRPr="004550C4" w:rsidRDefault="00FC165A" w:rsidP="009D1E26">
            <w:pPr>
              <w:spacing w:line="240" w:lineRule="auto"/>
              <w:jc w:val="center"/>
              <w:rPr>
                <w:b/>
                <w:bCs/>
                <w:szCs w:val="24"/>
                <w:lang w:eastAsia="sk-SK"/>
              </w:rPr>
            </w:pPr>
            <w:r w:rsidRPr="004550C4">
              <w:rPr>
                <w:b/>
                <w:bCs/>
                <w:szCs w:val="24"/>
                <w:lang w:eastAsia="sk-SK"/>
              </w:rPr>
              <w:t>20</w:t>
            </w:r>
            <w:r w:rsidR="003622EE">
              <w:rPr>
                <w:b/>
                <w:bCs/>
                <w:szCs w:val="24"/>
                <w:lang w:eastAsia="sk-SK"/>
              </w:rPr>
              <w:t>2</w:t>
            </w:r>
            <w:r w:rsidR="009D1E26">
              <w:rPr>
                <w:b/>
                <w:bCs/>
                <w:szCs w:val="24"/>
                <w:lang w:eastAsia="sk-SK"/>
              </w:rPr>
              <w:t>2</w:t>
            </w:r>
          </w:p>
        </w:tc>
        <w:tc>
          <w:tcPr>
            <w:tcW w:w="1422" w:type="dxa"/>
            <w:shd w:val="clear" w:color="auto" w:fill="BFBFBF" w:themeFill="background1" w:themeFillShade="BF"/>
            <w:vAlign w:val="center"/>
          </w:tcPr>
          <w:p w:rsidR="00FC165A" w:rsidRPr="004550C4" w:rsidRDefault="00FC165A" w:rsidP="009D1E26">
            <w:pPr>
              <w:spacing w:line="240" w:lineRule="auto"/>
              <w:jc w:val="center"/>
              <w:rPr>
                <w:b/>
                <w:bCs/>
                <w:szCs w:val="24"/>
                <w:lang w:eastAsia="sk-SK"/>
              </w:rPr>
            </w:pPr>
            <w:r w:rsidRPr="004550C4">
              <w:rPr>
                <w:b/>
                <w:bCs/>
                <w:szCs w:val="24"/>
                <w:lang w:eastAsia="sk-SK"/>
              </w:rPr>
              <w:t>20</w:t>
            </w:r>
            <w:r>
              <w:rPr>
                <w:b/>
                <w:bCs/>
                <w:szCs w:val="24"/>
                <w:lang w:eastAsia="sk-SK"/>
              </w:rPr>
              <w:t>2</w:t>
            </w:r>
            <w:r w:rsidR="009D1E26">
              <w:rPr>
                <w:b/>
                <w:bCs/>
                <w:szCs w:val="24"/>
                <w:lang w:eastAsia="sk-SK"/>
              </w:rPr>
              <w:t>3</w:t>
            </w:r>
          </w:p>
        </w:tc>
        <w:tc>
          <w:tcPr>
            <w:tcW w:w="1603" w:type="dxa"/>
            <w:shd w:val="clear" w:color="auto" w:fill="BFBFBF" w:themeFill="background1" w:themeFillShade="BF"/>
            <w:vAlign w:val="center"/>
          </w:tcPr>
          <w:p w:rsidR="00FC165A" w:rsidRPr="004550C4" w:rsidRDefault="00FC165A" w:rsidP="009D1E26">
            <w:pPr>
              <w:spacing w:line="240" w:lineRule="auto"/>
              <w:jc w:val="center"/>
              <w:rPr>
                <w:b/>
                <w:bCs/>
                <w:szCs w:val="24"/>
                <w:lang w:eastAsia="sk-SK"/>
              </w:rPr>
            </w:pPr>
            <w:r w:rsidRPr="004550C4">
              <w:rPr>
                <w:b/>
                <w:bCs/>
                <w:szCs w:val="24"/>
                <w:lang w:eastAsia="sk-SK"/>
              </w:rPr>
              <w:t>202</w:t>
            </w:r>
            <w:r w:rsidR="009D1E26">
              <w:rPr>
                <w:b/>
                <w:bCs/>
                <w:szCs w:val="24"/>
                <w:lang w:eastAsia="sk-SK"/>
              </w:rPr>
              <w:t>4</w:t>
            </w:r>
          </w:p>
        </w:tc>
      </w:tr>
      <w:tr w:rsidR="006A4080" w:rsidRPr="004550C4" w:rsidTr="00401531">
        <w:trPr>
          <w:trHeight w:val="70"/>
          <w:jc w:val="center"/>
        </w:trPr>
        <w:tc>
          <w:tcPr>
            <w:tcW w:w="4444" w:type="dxa"/>
            <w:shd w:val="clear" w:color="auto" w:fill="C0C0C0"/>
            <w:noWrap/>
            <w:vAlign w:val="center"/>
          </w:tcPr>
          <w:p w:rsidR="006A4080" w:rsidRPr="004550C4" w:rsidRDefault="006A4080" w:rsidP="006A4080">
            <w:pPr>
              <w:spacing w:line="240" w:lineRule="auto"/>
              <w:rPr>
                <w:szCs w:val="24"/>
                <w:lang w:eastAsia="sk-SK"/>
              </w:rPr>
            </w:pPr>
            <w:r w:rsidRPr="004550C4">
              <w:rPr>
                <w:b/>
                <w:bCs/>
                <w:szCs w:val="24"/>
                <w:lang w:eastAsia="sk-SK"/>
              </w:rPr>
              <w:t>Príjmy verejnej správy celkom</w:t>
            </w:r>
          </w:p>
        </w:tc>
        <w:tc>
          <w:tcPr>
            <w:tcW w:w="1400" w:type="dxa"/>
            <w:shd w:val="clear" w:color="auto" w:fill="C0C0C0"/>
          </w:tcPr>
          <w:p w:rsidR="006A4080" w:rsidRPr="00514598" w:rsidRDefault="007E10F1" w:rsidP="006A4080">
            <w:pPr>
              <w:jc w:val="right"/>
              <w:rPr>
                <w:sz w:val="20"/>
                <w:szCs w:val="20"/>
              </w:rPr>
            </w:pPr>
            <w:r w:rsidRPr="00514598">
              <w:rPr>
                <w:sz w:val="20"/>
                <w:szCs w:val="20"/>
              </w:rPr>
              <w:t> -145 000</w:t>
            </w:r>
          </w:p>
        </w:tc>
        <w:tc>
          <w:tcPr>
            <w:tcW w:w="1560" w:type="dxa"/>
            <w:shd w:val="clear" w:color="auto" w:fill="C0C0C0"/>
          </w:tcPr>
          <w:p w:rsidR="006A4080" w:rsidRPr="00514598" w:rsidRDefault="007E10F1" w:rsidP="006A4080">
            <w:pPr>
              <w:jc w:val="right"/>
              <w:rPr>
                <w:sz w:val="20"/>
                <w:szCs w:val="20"/>
              </w:rPr>
            </w:pPr>
            <w:r w:rsidRPr="00514598">
              <w:rPr>
                <w:sz w:val="20"/>
                <w:szCs w:val="20"/>
              </w:rPr>
              <w:t> -725 000</w:t>
            </w:r>
          </w:p>
        </w:tc>
        <w:tc>
          <w:tcPr>
            <w:tcW w:w="1422" w:type="dxa"/>
            <w:shd w:val="clear" w:color="auto" w:fill="C0C0C0"/>
          </w:tcPr>
          <w:p w:rsidR="006A4080" w:rsidRPr="00514598" w:rsidRDefault="007E10F1" w:rsidP="006A4080">
            <w:pPr>
              <w:jc w:val="right"/>
              <w:rPr>
                <w:sz w:val="20"/>
                <w:szCs w:val="20"/>
              </w:rPr>
            </w:pPr>
            <w:r w:rsidRPr="00514598">
              <w:rPr>
                <w:sz w:val="20"/>
                <w:szCs w:val="20"/>
              </w:rPr>
              <w:t> -580 000</w:t>
            </w:r>
          </w:p>
        </w:tc>
        <w:tc>
          <w:tcPr>
            <w:tcW w:w="1603" w:type="dxa"/>
            <w:shd w:val="clear" w:color="auto" w:fill="C0C0C0"/>
            <w:vAlign w:val="center"/>
          </w:tcPr>
          <w:p w:rsidR="006A4080" w:rsidRPr="00514598" w:rsidRDefault="006A4080" w:rsidP="006A4080">
            <w:pPr>
              <w:spacing w:line="240" w:lineRule="auto"/>
              <w:jc w:val="right"/>
              <w:rPr>
                <w:b/>
                <w:bCs/>
                <w:iCs/>
                <w:sz w:val="20"/>
                <w:szCs w:val="20"/>
                <w:lang w:eastAsia="sk-SK"/>
              </w:rPr>
            </w:pPr>
            <w:r w:rsidRPr="00514598">
              <w:rPr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</w:tr>
      <w:tr w:rsidR="00FC165A" w:rsidRPr="004550C4" w:rsidTr="00D732AE">
        <w:trPr>
          <w:trHeight w:val="132"/>
          <w:jc w:val="center"/>
        </w:trPr>
        <w:tc>
          <w:tcPr>
            <w:tcW w:w="4444" w:type="dxa"/>
            <w:noWrap/>
            <w:vAlign w:val="center"/>
          </w:tcPr>
          <w:p w:rsidR="00FC165A" w:rsidRPr="004550C4" w:rsidRDefault="00FC165A" w:rsidP="002B77CE">
            <w:pPr>
              <w:spacing w:line="240" w:lineRule="auto"/>
              <w:rPr>
                <w:szCs w:val="24"/>
                <w:lang w:eastAsia="sk-SK"/>
              </w:rPr>
            </w:pPr>
            <w:r w:rsidRPr="004550C4">
              <w:rPr>
                <w:szCs w:val="24"/>
                <w:lang w:eastAsia="sk-SK"/>
              </w:rPr>
              <w:t>v tom: za každý subjekt verejnej správy zvlášť</w:t>
            </w:r>
          </w:p>
        </w:tc>
        <w:tc>
          <w:tcPr>
            <w:tcW w:w="1400" w:type="dxa"/>
            <w:noWrap/>
            <w:vAlign w:val="center"/>
          </w:tcPr>
          <w:p w:rsidR="00FC165A" w:rsidRPr="00514598" w:rsidRDefault="00FC165A" w:rsidP="002B77CE">
            <w:pPr>
              <w:spacing w:line="240" w:lineRule="auto"/>
              <w:jc w:val="right"/>
              <w:rPr>
                <w:sz w:val="20"/>
                <w:szCs w:val="20"/>
                <w:lang w:eastAsia="sk-SK"/>
              </w:rPr>
            </w:pPr>
            <w:r w:rsidRPr="00514598">
              <w:rPr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60" w:type="dxa"/>
            <w:noWrap/>
            <w:vAlign w:val="center"/>
          </w:tcPr>
          <w:p w:rsidR="00FC165A" w:rsidRPr="00514598" w:rsidRDefault="00FC165A" w:rsidP="002B77CE">
            <w:pPr>
              <w:spacing w:line="240" w:lineRule="auto"/>
              <w:jc w:val="right"/>
              <w:rPr>
                <w:sz w:val="20"/>
                <w:szCs w:val="20"/>
                <w:lang w:eastAsia="sk-SK"/>
              </w:rPr>
            </w:pPr>
            <w:r w:rsidRPr="00514598">
              <w:rPr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22" w:type="dxa"/>
            <w:noWrap/>
            <w:vAlign w:val="center"/>
          </w:tcPr>
          <w:p w:rsidR="00FC165A" w:rsidRPr="00514598" w:rsidRDefault="00FC165A" w:rsidP="002B77CE">
            <w:pPr>
              <w:spacing w:line="240" w:lineRule="auto"/>
              <w:jc w:val="right"/>
              <w:rPr>
                <w:sz w:val="20"/>
                <w:szCs w:val="20"/>
                <w:lang w:eastAsia="sk-SK"/>
              </w:rPr>
            </w:pPr>
            <w:r w:rsidRPr="00514598">
              <w:rPr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03" w:type="dxa"/>
            <w:noWrap/>
            <w:vAlign w:val="center"/>
          </w:tcPr>
          <w:p w:rsidR="00FC165A" w:rsidRPr="00514598" w:rsidRDefault="00FC165A" w:rsidP="002B77CE">
            <w:pPr>
              <w:spacing w:line="240" w:lineRule="auto"/>
              <w:jc w:val="right"/>
              <w:rPr>
                <w:sz w:val="20"/>
                <w:szCs w:val="20"/>
                <w:lang w:eastAsia="sk-SK"/>
              </w:rPr>
            </w:pPr>
            <w:r w:rsidRPr="00514598">
              <w:rPr>
                <w:sz w:val="20"/>
                <w:szCs w:val="20"/>
                <w:lang w:eastAsia="sk-SK"/>
              </w:rPr>
              <w:t>0</w:t>
            </w:r>
          </w:p>
        </w:tc>
      </w:tr>
      <w:tr w:rsidR="00FC165A" w:rsidRPr="004550C4" w:rsidTr="00D732AE">
        <w:trPr>
          <w:trHeight w:val="70"/>
          <w:jc w:val="center"/>
        </w:trPr>
        <w:tc>
          <w:tcPr>
            <w:tcW w:w="4444" w:type="dxa"/>
            <w:noWrap/>
            <w:vAlign w:val="center"/>
          </w:tcPr>
          <w:p w:rsidR="00FC165A" w:rsidRPr="004550C4" w:rsidRDefault="00FC165A" w:rsidP="002B77CE">
            <w:pPr>
              <w:spacing w:line="240" w:lineRule="auto"/>
              <w:rPr>
                <w:b/>
                <w:bCs/>
                <w:i/>
                <w:iCs/>
                <w:szCs w:val="24"/>
                <w:lang w:eastAsia="sk-SK"/>
              </w:rPr>
            </w:pPr>
            <w:r w:rsidRPr="004550C4">
              <w:rPr>
                <w:b/>
                <w:bCs/>
                <w:i/>
                <w:iCs/>
                <w:szCs w:val="24"/>
                <w:lang w:eastAsia="sk-SK"/>
              </w:rPr>
              <w:t xml:space="preserve">z toho:  </w:t>
            </w:r>
          </w:p>
        </w:tc>
        <w:tc>
          <w:tcPr>
            <w:tcW w:w="1400" w:type="dxa"/>
            <w:noWrap/>
            <w:vAlign w:val="center"/>
          </w:tcPr>
          <w:p w:rsidR="00FC165A" w:rsidRPr="00514598" w:rsidRDefault="00FC165A" w:rsidP="002B77CE">
            <w:pPr>
              <w:spacing w:line="240" w:lineRule="auto"/>
              <w:jc w:val="right"/>
              <w:rPr>
                <w:b/>
                <w:bCs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noWrap/>
            <w:vAlign w:val="center"/>
          </w:tcPr>
          <w:p w:rsidR="00FC165A" w:rsidRPr="00514598" w:rsidRDefault="00FC165A" w:rsidP="002B77CE">
            <w:pPr>
              <w:spacing w:line="240" w:lineRule="auto"/>
              <w:jc w:val="right"/>
              <w:rPr>
                <w:b/>
                <w:bCs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1422" w:type="dxa"/>
            <w:noWrap/>
            <w:vAlign w:val="center"/>
          </w:tcPr>
          <w:p w:rsidR="00FC165A" w:rsidRPr="00514598" w:rsidRDefault="00FC165A" w:rsidP="002B77CE">
            <w:pPr>
              <w:spacing w:line="240" w:lineRule="auto"/>
              <w:jc w:val="right"/>
              <w:rPr>
                <w:b/>
                <w:bCs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1603" w:type="dxa"/>
            <w:noWrap/>
            <w:vAlign w:val="center"/>
          </w:tcPr>
          <w:p w:rsidR="00FC165A" w:rsidRPr="00514598" w:rsidRDefault="00FC165A" w:rsidP="002B77CE">
            <w:pPr>
              <w:spacing w:line="240" w:lineRule="auto"/>
              <w:jc w:val="right"/>
              <w:rPr>
                <w:b/>
                <w:bCs/>
                <w:iCs/>
                <w:sz w:val="20"/>
                <w:szCs w:val="20"/>
                <w:lang w:eastAsia="sk-SK"/>
              </w:rPr>
            </w:pPr>
          </w:p>
        </w:tc>
      </w:tr>
      <w:tr w:rsidR="006A4080" w:rsidRPr="004550C4" w:rsidTr="00DF6F74">
        <w:trPr>
          <w:trHeight w:val="125"/>
          <w:jc w:val="center"/>
        </w:trPr>
        <w:tc>
          <w:tcPr>
            <w:tcW w:w="4444" w:type="dxa"/>
            <w:noWrap/>
            <w:vAlign w:val="center"/>
          </w:tcPr>
          <w:p w:rsidR="006A4080" w:rsidRPr="004550C4" w:rsidRDefault="006A4080" w:rsidP="006A4080">
            <w:pPr>
              <w:spacing w:line="240" w:lineRule="auto"/>
              <w:rPr>
                <w:b/>
                <w:bCs/>
                <w:i/>
                <w:iCs/>
                <w:szCs w:val="24"/>
                <w:lang w:eastAsia="sk-SK"/>
              </w:rPr>
            </w:pPr>
            <w:r w:rsidRPr="004550C4">
              <w:rPr>
                <w:b/>
                <w:bCs/>
                <w:i/>
                <w:iCs/>
                <w:szCs w:val="24"/>
                <w:lang w:eastAsia="sk-SK"/>
              </w:rPr>
              <w:t>- vplyv na ŠR</w:t>
            </w:r>
          </w:p>
        </w:tc>
        <w:tc>
          <w:tcPr>
            <w:tcW w:w="1400" w:type="dxa"/>
            <w:noWrap/>
          </w:tcPr>
          <w:p w:rsidR="006A4080" w:rsidRPr="00514598" w:rsidRDefault="007E10F1" w:rsidP="006A4080">
            <w:pPr>
              <w:spacing w:line="240" w:lineRule="auto"/>
              <w:jc w:val="right"/>
              <w:rPr>
                <w:bCs/>
                <w:iCs/>
                <w:sz w:val="20"/>
                <w:szCs w:val="20"/>
                <w:lang w:eastAsia="sk-SK"/>
              </w:rPr>
            </w:pPr>
            <w:r w:rsidRPr="00514598">
              <w:rPr>
                <w:bCs/>
                <w:iCs/>
                <w:sz w:val="20"/>
                <w:szCs w:val="20"/>
                <w:lang w:eastAsia="sk-SK"/>
              </w:rPr>
              <w:t> -145 000</w:t>
            </w:r>
          </w:p>
        </w:tc>
        <w:tc>
          <w:tcPr>
            <w:tcW w:w="1560" w:type="dxa"/>
            <w:noWrap/>
          </w:tcPr>
          <w:p w:rsidR="006A4080" w:rsidRPr="00514598" w:rsidRDefault="007E10F1" w:rsidP="006A4080">
            <w:pPr>
              <w:spacing w:line="240" w:lineRule="auto"/>
              <w:jc w:val="right"/>
              <w:rPr>
                <w:bCs/>
                <w:iCs/>
                <w:sz w:val="20"/>
                <w:szCs w:val="20"/>
                <w:lang w:eastAsia="sk-SK"/>
              </w:rPr>
            </w:pPr>
            <w:r w:rsidRPr="00514598">
              <w:rPr>
                <w:bCs/>
                <w:iCs/>
                <w:sz w:val="20"/>
                <w:szCs w:val="20"/>
                <w:lang w:eastAsia="sk-SK"/>
              </w:rPr>
              <w:t> -725 000</w:t>
            </w:r>
          </w:p>
        </w:tc>
        <w:tc>
          <w:tcPr>
            <w:tcW w:w="1422" w:type="dxa"/>
            <w:noWrap/>
          </w:tcPr>
          <w:p w:rsidR="006A4080" w:rsidRPr="00514598" w:rsidRDefault="007E10F1" w:rsidP="006A4080">
            <w:pPr>
              <w:spacing w:line="240" w:lineRule="auto"/>
              <w:jc w:val="right"/>
              <w:rPr>
                <w:bCs/>
                <w:iCs/>
                <w:sz w:val="20"/>
                <w:szCs w:val="20"/>
                <w:lang w:eastAsia="sk-SK"/>
              </w:rPr>
            </w:pPr>
            <w:r w:rsidRPr="00514598">
              <w:rPr>
                <w:bCs/>
                <w:iCs/>
                <w:sz w:val="20"/>
                <w:szCs w:val="20"/>
                <w:lang w:eastAsia="sk-SK"/>
              </w:rPr>
              <w:t> -580 000</w:t>
            </w:r>
          </w:p>
        </w:tc>
        <w:tc>
          <w:tcPr>
            <w:tcW w:w="1603" w:type="dxa"/>
            <w:noWrap/>
            <w:vAlign w:val="center"/>
          </w:tcPr>
          <w:p w:rsidR="006A4080" w:rsidRPr="00514598" w:rsidRDefault="006A4080" w:rsidP="006A4080">
            <w:pPr>
              <w:spacing w:line="240" w:lineRule="auto"/>
              <w:jc w:val="right"/>
              <w:rPr>
                <w:bCs/>
                <w:iCs/>
                <w:sz w:val="20"/>
                <w:szCs w:val="20"/>
                <w:lang w:eastAsia="sk-SK"/>
              </w:rPr>
            </w:pPr>
            <w:r w:rsidRPr="00514598">
              <w:rPr>
                <w:bCs/>
                <w:iCs/>
                <w:sz w:val="20"/>
                <w:szCs w:val="20"/>
                <w:lang w:eastAsia="sk-SK"/>
              </w:rPr>
              <w:t>0</w:t>
            </w:r>
          </w:p>
        </w:tc>
      </w:tr>
      <w:tr w:rsidR="00FC165A" w:rsidRPr="004550C4" w:rsidTr="00D732AE">
        <w:trPr>
          <w:trHeight w:val="125"/>
          <w:jc w:val="center"/>
        </w:trPr>
        <w:tc>
          <w:tcPr>
            <w:tcW w:w="4444" w:type="dxa"/>
            <w:noWrap/>
            <w:vAlign w:val="center"/>
          </w:tcPr>
          <w:p w:rsidR="00FC165A" w:rsidRPr="004550C4" w:rsidRDefault="00FC165A" w:rsidP="002B77CE">
            <w:pPr>
              <w:spacing w:line="240" w:lineRule="auto"/>
              <w:ind w:left="259"/>
              <w:rPr>
                <w:b/>
                <w:bCs/>
                <w:i/>
                <w:iCs/>
                <w:szCs w:val="24"/>
                <w:lang w:eastAsia="sk-SK"/>
              </w:rPr>
            </w:pPr>
            <w:r w:rsidRPr="004550C4">
              <w:rPr>
                <w:bCs/>
                <w:i/>
                <w:iCs/>
                <w:szCs w:val="24"/>
                <w:lang w:eastAsia="sk-SK"/>
              </w:rPr>
              <w:t>Rozpočtové prostriedky</w:t>
            </w:r>
          </w:p>
        </w:tc>
        <w:tc>
          <w:tcPr>
            <w:tcW w:w="1400" w:type="dxa"/>
            <w:noWrap/>
            <w:vAlign w:val="center"/>
          </w:tcPr>
          <w:p w:rsidR="00FC165A" w:rsidRPr="00514598" w:rsidRDefault="00FC165A" w:rsidP="002B77CE">
            <w:pPr>
              <w:spacing w:line="240" w:lineRule="auto"/>
              <w:jc w:val="right"/>
              <w:rPr>
                <w:b/>
                <w:bCs/>
                <w:iCs/>
                <w:sz w:val="20"/>
                <w:szCs w:val="20"/>
                <w:lang w:eastAsia="sk-SK"/>
              </w:rPr>
            </w:pPr>
            <w:r w:rsidRPr="00514598">
              <w:rPr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60" w:type="dxa"/>
            <w:noWrap/>
            <w:vAlign w:val="center"/>
          </w:tcPr>
          <w:p w:rsidR="00FC165A" w:rsidRPr="00514598" w:rsidRDefault="00FC165A" w:rsidP="002B77CE">
            <w:pPr>
              <w:spacing w:line="240" w:lineRule="auto"/>
              <w:jc w:val="right"/>
              <w:rPr>
                <w:b/>
                <w:bCs/>
                <w:iCs/>
                <w:sz w:val="20"/>
                <w:szCs w:val="20"/>
                <w:lang w:eastAsia="sk-SK"/>
              </w:rPr>
            </w:pPr>
            <w:r w:rsidRPr="00514598">
              <w:rPr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22" w:type="dxa"/>
            <w:noWrap/>
            <w:vAlign w:val="center"/>
          </w:tcPr>
          <w:p w:rsidR="00FC165A" w:rsidRPr="00514598" w:rsidRDefault="00FC165A" w:rsidP="002B77CE">
            <w:pPr>
              <w:spacing w:line="240" w:lineRule="auto"/>
              <w:jc w:val="right"/>
              <w:rPr>
                <w:b/>
                <w:bCs/>
                <w:iCs/>
                <w:sz w:val="20"/>
                <w:szCs w:val="20"/>
                <w:lang w:eastAsia="sk-SK"/>
              </w:rPr>
            </w:pPr>
            <w:r w:rsidRPr="00514598">
              <w:rPr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03" w:type="dxa"/>
            <w:noWrap/>
            <w:vAlign w:val="center"/>
          </w:tcPr>
          <w:p w:rsidR="00FC165A" w:rsidRPr="00514598" w:rsidRDefault="00FC165A" w:rsidP="002B77CE">
            <w:pPr>
              <w:spacing w:line="240" w:lineRule="auto"/>
              <w:jc w:val="right"/>
              <w:rPr>
                <w:b/>
                <w:bCs/>
                <w:iCs/>
                <w:sz w:val="20"/>
                <w:szCs w:val="20"/>
                <w:lang w:eastAsia="sk-SK"/>
              </w:rPr>
            </w:pPr>
            <w:r w:rsidRPr="00514598">
              <w:rPr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</w:tr>
      <w:tr w:rsidR="00FC165A" w:rsidRPr="004550C4" w:rsidTr="00D732AE">
        <w:trPr>
          <w:trHeight w:val="125"/>
          <w:jc w:val="center"/>
        </w:trPr>
        <w:tc>
          <w:tcPr>
            <w:tcW w:w="4444" w:type="dxa"/>
            <w:noWrap/>
            <w:vAlign w:val="center"/>
          </w:tcPr>
          <w:p w:rsidR="00FC165A" w:rsidRPr="004550C4" w:rsidRDefault="00FC165A" w:rsidP="002B77CE">
            <w:pPr>
              <w:spacing w:line="240" w:lineRule="auto"/>
              <w:ind w:left="259"/>
              <w:rPr>
                <w:bCs/>
                <w:i/>
                <w:iCs/>
                <w:szCs w:val="24"/>
                <w:lang w:eastAsia="sk-SK"/>
              </w:rPr>
            </w:pPr>
            <w:r w:rsidRPr="004550C4">
              <w:rPr>
                <w:bCs/>
                <w:i/>
                <w:iCs/>
                <w:szCs w:val="24"/>
                <w:lang w:eastAsia="sk-SK"/>
              </w:rPr>
              <w:t>EÚ zdroje</w:t>
            </w:r>
          </w:p>
        </w:tc>
        <w:tc>
          <w:tcPr>
            <w:tcW w:w="1400" w:type="dxa"/>
            <w:noWrap/>
            <w:vAlign w:val="center"/>
          </w:tcPr>
          <w:p w:rsidR="00FC165A" w:rsidRPr="00514598" w:rsidRDefault="00FC165A" w:rsidP="002B77CE">
            <w:pPr>
              <w:spacing w:line="240" w:lineRule="auto"/>
              <w:jc w:val="right"/>
              <w:rPr>
                <w:sz w:val="20"/>
                <w:szCs w:val="20"/>
                <w:lang w:eastAsia="sk-SK"/>
              </w:rPr>
            </w:pPr>
            <w:r w:rsidRPr="00514598">
              <w:rPr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60" w:type="dxa"/>
            <w:noWrap/>
            <w:vAlign w:val="center"/>
          </w:tcPr>
          <w:p w:rsidR="00FC165A" w:rsidRPr="00514598" w:rsidRDefault="00FC165A" w:rsidP="002B77CE">
            <w:pPr>
              <w:spacing w:line="240" w:lineRule="auto"/>
              <w:jc w:val="right"/>
              <w:rPr>
                <w:sz w:val="20"/>
                <w:szCs w:val="20"/>
                <w:lang w:eastAsia="sk-SK"/>
              </w:rPr>
            </w:pPr>
            <w:r w:rsidRPr="00514598">
              <w:rPr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22" w:type="dxa"/>
            <w:noWrap/>
            <w:vAlign w:val="center"/>
          </w:tcPr>
          <w:p w:rsidR="00FC165A" w:rsidRPr="00514598" w:rsidRDefault="00FC165A" w:rsidP="002B77CE">
            <w:pPr>
              <w:spacing w:line="240" w:lineRule="auto"/>
              <w:jc w:val="right"/>
              <w:rPr>
                <w:sz w:val="20"/>
                <w:szCs w:val="20"/>
                <w:lang w:eastAsia="sk-SK"/>
              </w:rPr>
            </w:pPr>
            <w:r w:rsidRPr="00514598">
              <w:rPr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03" w:type="dxa"/>
            <w:noWrap/>
            <w:vAlign w:val="center"/>
          </w:tcPr>
          <w:p w:rsidR="00FC165A" w:rsidRPr="00514598" w:rsidRDefault="00FC165A" w:rsidP="002B77CE">
            <w:pPr>
              <w:spacing w:line="240" w:lineRule="auto"/>
              <w:jc w:val="right"/>
              <w:rPr>
                <w:sz w:val="20"/>
                <w:szCs w:val="20"/>
                <w:lang w:eastAsia="sk-SK"/>
              </w:rPr>
            </w:pPr>
            <w:r w:rsidRPr="00514598">
              <w:rPr>
                <w:sz w:val="20"/>
                <w:szCs w:val="20"/>
                <w:lang w:eastAsia="sk-SK"/>
              </w:rPr>
              <w:t>0</w:t>
            </w:r>
          </w:p>
        </w:tc>
      </w:tr>
      <w:tr w:rsidR="00FC165A" w:rsidRPr="004550C4" w:rsidTr="00D732AE">
        <w:trPr>
          <w:trHeight w:val="125"/>
          <w:jc w:val="center"/>
        </w:trPr>
        <w:tc>
          <w:tcPr>
            <w:tcW w:w="4444" w:type="dxa"/>
            <w:noWrap/>
            <w:vAlign w:val="center"/>
          </w:tcPr>
          <w:p w:rsidR="00FC165A" w:rsidRPr="004550C4" w:rsidRDefault="00FC165A" w:rsidP="002B77CE">
            <w:pPr>
              <w:spacing w:line="240" w:lineRule="auto"/>
              <w:rPr>
                <w:b/>
                <w:bCs/>
                <w:i/>
                <w:iCs/>
                <w:szCs w:val="24"/>
                <w:lang w:eastAsia="sk-SK"/>
              </w:rPr>
            </w:pPr>
            <w:r w:rsidRPr="004550C4">
              <w:rPr>
                <w:b/>
                <w:bCs/>
                <w:i/>
                <w:iCs/>
                <w:szCs w:val="24"/>
                <w:lang w:eastAsia="sk-SK"/>
              </w:rPr>
              <w:t>- vplyv na obce</w:t>
            </w:r>
          </w:p>
        </w:tc>
        <w:tc>
          <w:tcPr>
            <w:tcW w:w="1400" w:type="dxa"/>
            <w:noWrap/>
            <w:vAlign w:val="center"/>
          </w:tcPr>
          <w:p w:rsidR="00FC165A" w:rsidRPr="00514598" w:rsidRDefault="00FC165A" w:rsidP="002B77CE">
            <w:pPr>
              <w:spacing w:line="240" w:lineRule="auto"/>
              <w:jc w:val="right"/>
              <w:rPr>
                <w:b/>
                <w:bCs/>
                <w:iCs/>
                <w:sz w:val="20"/>
                <w:szCs w:val="20"/>
                <w:lang w:eastAsia="sk-SK"/>
              </w:rPr>
            </w:pPr>
            <w:r w:rsidRPr="00514598">
              <w:rPr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60" w:type="dxa"/>
            <w:noWrap/>
            <w:vAlign w:val="center"/>
          </w:tcPr>
          <w:p w:rsidR="00FC165A" w:rsidRPr="00514598" w:rsidRDefault="00FC165A" w:rsidP="002B77CE">
            <w:pPr>
              <w:spacing w:line="240" w:lineRule="auto"/>
              <w:jc w:val="right"/>
              <w:rPr>
                <w:b/>
                <w:bCs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1422" w:type="dxa"/>
            <w:noWrap/>
            <w:vAlign w:val="center"/>
          </w:tcPr>
          <w:p w:rsidR="00FC165A" w:rsidRPr="00514598" w:rsidRDefault="00FC165A" w:rsidP="002B77CE">
            <w:pPr>
              <w:spacing w:line="240" w:lineRule="auto"/>
              <w:jc w:val="right"/>
              <w:rPr>
                <w:b/>
                <w:bCs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1603" w:type="dxa"/>
            <w:noWrap/>
            <w:vAlign w:val="center"/>
          </w:tcPr>
          <w:p w:rsidR="00FC165A" w:rsidRPr="00514598" w:rsidRDefault="00FC165A" w:rsidP="002B77CE">
            <w:pPr>
              <w:spacing w:line="240" w:lineRule="auto"/>
              <w:jc w:val="right"/>
              <w:rPr>
                <w:b/>
                <w:bCs/>
                <w:iCs/>
                <w:sz w:val="20"/>
                <w:szCs w:val="20"/>
                <w:lang w:eastAsia="sk-SK"/>
              </w:rPr>
            </w:pPr>
          </w:p>
        </w:tc>
      </w:tr>
      <w:tr w:rsidR="00FC165A" w:rsidRPr="004550C4" w:rsidTr="00D732AE">
        <w:trPr>
          <w:trHeight w:val="125"/>
          <w:jc w:val="center"/>
        </w:trPr>
        <w:tc>
          <w:tcPr>
            <w:tcW w:w="4444" w:type="dxa"/>
            <w:noWrap/>
            <w:vAlign w:val="center"/>
          </w:tcPr>
          <w:p w:rsidR="00FC165A" w:rsidRPr="004550C4" w:rsidRDefault="00FC165A" w:rsidP="002B77CE">
            <w:pPr>
              <w:spacing w:line="240" w:lineRule="auto"/>
              <w:rPr>
                <w:b/>
                <w:bCs/>
                <w:i/>
                <w:iCs/>
                <w:szCs w:val="24"/>
                <w:lang w:eastAsia="sk-SK"/>
              </w:rPr>
            </w:pPr>
            <w:r w:rsidRPr="004550C4">
              <w:rPr>
                <w:b/>
                <w:bCs/>
                <w:i/>
                <w:iCs/>
                <w:szCs w:val="24"/>
                <w:lang w:eastAsia="sk-SK"/>
              </w:rPr>
              <w:t>- vplyv na vyššie územné celky</w:t>
            </w:r>
          </w:p>
        </w:tc>
        <w:tc>
          <w:tcPr>
            <w:tcW w:w="1400" w:type="dxa"/>
            <w:noWrap/>
            <w:vAlign w:val="center"/>
          </w:tcPr>
          <w:p w:rsidR="00FC165A" w:rsidRPr="00514598" w:rsidRDefault="00FC165A" w:rsidP="002B77CE">
            <w:pPr>
              <w:spacing w:line="240" w:lineRule="auto"/>
              <w:jc w:val="right"/>
              <w:rPr>
                <w:b/>
                <w:bCs/>
                <w:iCs/>
                <w:sz w:val="20"/>
                <w:szCs w:val="20"/>
                <w:lang w:eastAsia="sk-SK"/>
              </w:rPr>
            </w:pPr>
            <w:r w:rsidRPr="00514598">
              <w:rPr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60" w:type="dxa"/>
            <w:noWrap/>
            <w:vAlign w:val="center"/>
          </w:tcPr>
          <w:p w:rsidR="00FC165A" w:rsidRPr="00514598" w:rsidRDefault="00FC165A" w:rsidP="002B77CE">
            <w:pPr>
              <w:spacing w:line="240" w:lineRule="auto"/>
              <w:jc w:val="right"/>
              <w:rPr>
                <w:b/>
                <w:bCs/>
                <w:iCs/>
                <w:sz w:val="20"/>
                <w:szCs w:val="20"/>
                <w:lang w:eastAsia="sk-SK"/>
              </w:rPr>
            </w:pPr>
            <w:r w:rsidRPr="00514598">
              <w:rPr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22" w:type="dxa"/>
            <w:noWrap/>
            <w:vAlign w:val="center"/>
          </w:tcPr>
          <w:p w:rsidR="00FC165A" w:rsidRPr="00514598" w:rsidRDefault="00FC165A" w:rsidP="002B77CE">
            <w:pPr>
              <w:spacing w:line="240" w:lineRule="auto"/>
              <w:jc w:val="right"/>
              <w:rPr>
                <w:b/>
                <w:bCs/>
                <w:iCs/>
                <w:sz w:val="20"/>
                <w:szCs w:val="20"/>
                <w:lang w:eastAsia="sk-SK"/>
              </w:rPr>
            </w:pPr>
            <w:r w:rsidRPr="00514598">
              <w:rPr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03" w:type="dxa"/>
            <w:noWrap/>
            <w:vAlign w:val="center"/>
          </w:tcPr>
          <w:p w:rsidR="00FC165A" w:rsidRPr="00514598" w:rsidRDefault="00FC165A" w:rsidP="002B77CE">
            <w:pPr>
              <w:spacing w:line="240" w:lineRule="auto"/>
              <w:jc w:val="right"/>
              <w:rPr>
                <w:b/>
                <w:bCs/>
                <w:iCs/>
                <w:sz w:val="20"/>
                <w:szCs w:val="20"/>
                <w:lang w:eastAsia="sk-SK"/>
              </w:rPr>
            </w:pPr>
            <w:r w:rsidRPr="00514598">
              <w:rPr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</w:tr>
      <w:tr w:rsidR="00FC165A" w:rsidRPr="004550C4" w:rsidTr="00D732AE">
        <w:trPr>
          <w:trHeight w:val="125"/>
          <w:jc w:val="center"/>
        </w:trPr>
        <w:tc>
          <w:tcPr>
            <w:tcW w:w="4444" w:type="dxa"/>
            <w:noWrap/>
            <w:vAlign w:val="center"/>
          </w:tcPr>
          <w:p w:rsidR="00FC165A" w:rsidRPr="004550C4" w:rsidRDefault="00FC165A" w:rsidP="002B77CE">
            <w:pPr>
              <w:spacing w:line="240" w:lineRule="auto"/>
              <w:rPr>
                <w:b/>
                <w:bCs/>
                <w:i/>
                <w:iCs/>
                <w:szCs w:val="24"/>
                <w:lang w:eastAsia="sk-SK"/>
              </w:rPr>
            </w:pPr>
            <w:r w:rsidRPr="004550C4">
              <w:rPr>
                <w:b/>
                <w:bCs/>
                <w:i/>
                <w:iCs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400" w:type="dxa"/>
            <w:noWrap/>
            <w:vAlign w:val="center"/>
          </w:tcPr>
          <w:p w:rsidR="00FC165A" w:rsidRPr="00514598" w:rsidRDefault="00FC165A" w:rsidP="002B77CE">
            <w:pPr>
              <w:spacing w:line="240" w:lineRule="auto"/>
              <w:jc w:val="right"/>
              <w:rPr>
                <w:b/>
                <w:bCs/>
                <w:iCs/>
                <w:sz w:val="20"/>
                <w:szCs w:val="20"/>
                <w:lang w:eastAsia="sk-SK"/>
              </w:rPr>
            </w:pPr>
            <w:r w:rsidRPr="00514598">
              <w:rPr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60" w:type="dxa"/>
            <w:noWrap/>
            <w:vAlign w:val="center"/>
          </w:tcPr>
          <w:p w:rsidR="00FC165A" w:rsidRPr="00514598" w:rsidRDefault="00FC165A" w:rsidP="002B77CE">
            <w:pPr>
              <w:spacing w:line="240" w:lineRule="auto"/>
              <w:jc w:val="right"/>
              <w:rPr>
                <w:b/>
                <w:bCs/>
                <w:iCs/>
                <w:sz w:val="20"/>
                <w:szCs w:val="20"/>
                <w:lang w:eastAsia="sk-SK"/>
              </w:rPr>
            </w:pPr>
            <w:r w:rsidRPr="00514598">
              <w:rPr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22" w:type="dxa"/>
            <w:noWrap/>
            <w:vAlign w:val="center"/>
          </w:tcPr>
          <w:p w:rsidR="00FC165A" w:rsidRPr="00514598" w:rsidRDefault="00FC165A" w:rsidP="002B77CE">
            <w:pPr>
              <w:spacing w:line="240" w:lineRule="auto"/>
              <w:jc w:val="right"/>
              <w:rPr>
                <w:b/>
                <w:bCs/>
                <w:iCs/>
                <w:sz w:val="20"/>
                <w:szCs w:val="20"/>
                <w:lang w:eastAsia="sk-SK"/>
              </w:rPr>
            </w:pPr>
            <w:r w:rsidRPr="00514598">
              <w:rPr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03" w:type="dxa"/>
            <w:noWrap/>
            <w:vAlign w:val="center"/>
          </w:tcPr>
          <w:p w:rsidR="00FC165A" w:rsidRPr="00514598" w:rsidRDefault="00FC165A" w:rsidP="002B77CE">
            <w:pPr>
              <w:spacing w:line="240" w:lineRule="auto"/>
              <w:jc w:val="right"/>
              <w:rPr>
                <w:b/>
                <w:bCs/>
                <w:iCs/>
                <w:sz w:val="20"/>
                <w:szCs w:val="20"/>
                <w:lang w:eastAsia="sk-SK"/>
              </w:rPr>
            </w:pPr>
            <w:r w:rsidRPr="00514598">
              <w:rPr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</w:tr>
      <w:tr w:rsidR="006A4080" w:rsidRPr="004550C4" w:rsidTr="00E53B2E">
        <w:trPr>
          <w:trHeight w:val="338"/>
          <w:jc w:val="center"/>
        </w:trPr>
        <w:tc>
          <w:tcPr>
            <w:tcW w:w="4444" w:type="dxa"/>
            <w:shd w:val="clear" w:color="auto" w:fill="C0C0C0"/>
            <w:noWrap/>
            <w:vAlign w:val="center"/>
          </w:tcPr>
          <w:p w:rsidR="006A4080" w:rsidRPr="004550C4" w:rsidRDefault="006A4080" w:rsidP="006A4080">
            <w:pPr>
              <w:spacing w:line="240" w:lineRule="auto"/>
              <w:rPr>
                <w:b/>
                <w:bCs/>
                <w:szCs w:val="24"/>
                <w:lang w:eastAsia="sk-SK"/>
              </w:rPr>
            </w:pPr>
            <w:r w:rsidRPr="004550C4">
              <w:rPr>
                <w:b/>
                <w:bCs/>
                <w:szCs w:val="24"/>
                <w:lang w:eastAsia="sk-SK"/>
              </w:rPr>
              <w:t>Výdavky verejnej správy celkom</w:t>
            </w:r>
            <w:r>
              <w:rPr>
                <w:b/>
                <w:bCs/>
                <w:szCs w:val="24"/>
                <w:lang w:eastAsia="sk-SK"/>
              </w:rPr>
              <w:t xml:space="preserve"> </w:t>
            </w:r>
          </w:p>
        </w:tc>
        <w:tc>
          <w:tcPr>
            <w:tcW w:w="1400" w:type="dxa"/>
            <w:shd w:val="clear" w:color="auto" w:fill="C0C0C0"/>
            <w:noWrap/>
          </w:tcPr>
          <w:p w:rsidR="006A4080" w:rsidRPr="00514598" w:rsidRDefault="00770462" w:rsidP="00770462">
            <w:pPr>
              <w:jc w:val="right"/>
              <w:rPr>
                <w:sz w:val="20"/>
                <w:szCs w:val="20"/>
              </w:rPr>
            </w:pPr>
            <w:r w:rsidRPr="00514598">
              <w:rPr>
                <w:sz w:val="20"/>
                <w:szCs w:val="20"/>
              </w:rPr>
              <w:t>54 824,25</w:t>
            </w:r>
          </w:p>
        </w:tc>
        <w:tc>
          <w:tcPr>
            <w:tcW w:w="1560" w:type="dxa"/>
            <w:shd w:val="clear" w:color="auto" w:fill="C0C0C0"/>
            <w:noWrap/>
          </w:tcPr>
          <w:p w:rsidR="006A4080" w:rsidRPr="00514598" w:rsidRDefault="00770462" w:rsidP="006A4080">
            <w:pPr>
              <w:jc w:val="right"/>
              <w:rPr>
                <w:sz w:val="20"/>
                <w:szCs w:val="20"/>
              </w:rPr>
            </w:pPr>
            <w:r w:rsidRPr="00514598">
              <w:rPr>
                <w:sz w:val="20"/>
                <w:szCs w:val="20"/>
              </w:rPr>
              <w:t>1 353 453, 11</w:t>
            </w:r>
          </w:p>
        </w:tc>
        <w:tc>
          <w:tcPr>
            <w:tcW w:w="1422" w:type="dxa"/>
            <w:shd w:val="clear" w:color="auto" w:fill="C0C0C0"/>
            <w:noWrap/>
          </w:tcPr>
          <w:p w:rsidR="006A4080" w:rsidRPr="00514598" w:rsidRDefault="00770462" w:rsidP="006A4080">
            <w:pPr>
              <w:jc w:val="right"/>
              <w:rPr>
                <w:sz w:val="20"/>
                <w:szCs w:val="20"/>
              </w:rPr>
            </w:pPr>
            <w:r w:rsidRPr="00514598">
              <w:rPr>
                <w:sz w:val="20"/>
                <w:szCs w:val="20"/>
              </w:rPr>
              <w:t>1 338 730, 07</w:t>
            </w:r>
          </w:p>
        </w:tc>
        <w:tc>
          <w:tcPr>
            <w:tcW w:w="1603" w:type="dxa"/>
            <w:shd w:val="clear" w:color="auto" w:fill="C0C0C0"/>
            <w:noWrap/>
          </w:tcPr>
          <w:p w:rsidR="006A4080" w:rsidRPr="00514598" w:rsidRDefault="00770462" w:rsidP="006A4080">
            <w:pPr>
              <w:jc w:val="right"/>
              <w:rPr>
                <w:sz w:val="20"/>
                <w:szCs w:val="20"/>
              </w:rPr>
            </w:pPr>
            <w:r w:rsidRPr="00514598">
              <w:rPr>
                <w:sz w:val="20"/>
                <w:szCs w:val="20"/>
              </w:rPr>
              <w:t>1 359 587, 50</w:t>
            </w:r>
          </w:p>
        </w:tc>
      </w:tr>
      <w:tr w:rsidR="004F3D65" w:rsidRPr="004550C4" w:rsidTr="00D732AE">
        <w:trPr>
          <w:trHeight w:val="70"/>
          <w:jc w:val="center"/>
        </w:trPr>
        <w:tc>
          <w:tcPr>
            <w:tcW w:w="4444" w:type="dxa"/>
            <w:noWrap/>
            <w:vAlign w:val="center"/>
          </w:tcPr>
          <w:p w:rsidR="004F3D65" w:rsidRPr="004F3D65" w:rsidRDefault="004F3D65" w:rsidP="00BC4A81">
            <w:pPr>
              <w:spacing w:line="240" w:lineRule="auto"/>
              <w:rPr>
                <w:szCs w:val="24"/>
                <w:lang w:eastAsia="sk-SK"/>
              </w:rPr>
            </w:pPr>
            <w:r w:rsidRPr="004F3D65">
              <w:rPr>
                <w:szCs w:val="24"/>
                <w:lang w:eastAsia="sk-SK"/>
              </w:rPr>
              <w:t xml:space="preserve">v tom: </w:t>
            </w:r>
            <w:r w:rsidR="00BC4A81">
              <w:rPr>
                <w:szCs w:val="24"/>
                <w:lang w:eastAsia="sk-SK"/>
              </w:rPr>
              <w:t>MH Invest, s.r.o.</w:t>
            </w:r>
          </w:p>
        </w:tc>
        <w:tc>
          <w:tcPr>
            <w:tcW w:w="1400" w:type="dxa"/>
            <w:noWrap/>
            <w:vAlign w:val="center"/>
          </w:tcPr>
          <w:p w:rsidR="004F3D65" w:rsidRPr="00514598" w:rsidRDefault="004F3D65" w:rsidP="004F3D65">
            <w:pPr>
              <w:spacing w:line="240" w:lineRule="auto"/>
              <w:jc w:val="right"/>
              <w:rPr>
                <w:bCs/>
                <w:iCs/>
                <w:sz w:val="20"/>
                <w:szCs w:val="20"/>
                <w:lang w:eastAsia="sk-SK"/>
              </w:rPr>
            </w:pPr>
            <w:r w:rsidRPr="00514598">
              <w:rPr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60" w:type="dxa"/>
            <w:noWrap/>
            <w:vAlign w:val="center"/>
          </w:tcPr>
          <w:p w:rsidR="004F3D65" w:rsidRPr="00514598" w:rsidRDefault="004F3D65" w:rsidP="004F3D65">
            <w:pPr>
              <w:spacing w:line="240" w:lineRule="auto"/>
              <w:jc w:val="right"/>
              <w:rPr>
                <w:bCs/>
                <w:iCs/>
                <w:sz w:val="20"/>
                <w:szCs w:val="20"/>
                <w:lang w:eastAsia="sk-SK"/>
              </w:rPr>
            </w:pPr>
            <w:r w:rsidRPr="00514598">
              <w:rPr>
                <w:bCs/>
                <w:iCs/>
                <w:sz w:val="20"/>
                <w:szCs w:val="20"/>
                <w:lang w:eastAsia="sk-SK"/>
              </w:rPr>
              <w:t>1 283 060, 11</w:t>
            </w:r>
          </w:p>
        </w:tc>
        <w:tc>
          <w:tcPr>
            <w:tcW w:w="1422" w:type="dxa"/>
            <w:noWrap/>
            <w:vAlign w:val="center"/>
          </w:tcPr>
          <w:p w:rsidR="004F3D65" w:rsidRPr="00514598" w:rsidRDefault="004F3D65" w:rsidP="004F3D65">
            <w:pPr>
              <w:spacing w:line="240" w:lineRule="auto"/>
              <w:jc w:val="right"/>
              <w:rPr>
                <w:bCs/>
                <w:iCs/>
                <w:sz w:val="20"/>
                <w:szCs w:val="20"/>
                <w:lang w:eastAsia="sk-SK"/>
              </w:rPr>
            </w:pPr>
            <w:r w:rsidRPr="00514598">
              <w:rPr>
                <w:bCs/>
                <w:iCs/>
                <w:sz w:val="20"/>
                <w:szCs w:val="20"/>
                <w:lang w:eastAsia="sk-SK"/>
              </w:rPr>
              <w:t>1 303 589, 07</w:t>
            </w:r>
          </w:p>
        </w:tc>
        <w:tc>
          <w:tcPr>
            <w:tcW w:w="1603" w:type="dxa"/>
            <w:noWrap/>
            <w:vAlign w:val="center"/>
          </w:tcPr>
          <w:p w:rsidR="004F3D65" w:rsidRPr="00514598" w:rsidRDefault="004F3D65" w:rsidP="004F3D65">
            <w:pPr>
              <w:spacing w:line="240" w:lineRule="auto"/>
              <w:jc w:val="right"/>
              <w:rPr>
                <w:bCs/>
                <w:iCs/>
                <w:sz w:val="20"/>
                <w:szCs w:val="20"/>
                <w:lang w:eastAsia="sk-SK"/>
              </w:rPr>
            </w:pPr>
            <w:r w:rsidRPr="00514598">
              <w:rPr>
                <w:bCs/>
                <w:iCs/>
                <w:sz w:val="20"/>
                <w:szCs w:val="20"/>
                <w:lang w:eastAsia="sk-SK"/>
              </w:rPr>
              <w:t>1 324 446, 50</w:t>
            </w:r>
          </w:p>
        </w:tc>
      </w:tr>
      <w:tr w:rsidR="006A4080" w:rsidRPr="004550C4" w:rsidTr="00D732AE">
        <w:trPr>
          <w:trHeight w:val="70"/>
          <w:jc w:val="center"/>
        </w:trPr>
        <w:tc>
          <w:tcPr>
            <w:tcW w:w="4444" w:type="dxa"/>
            <w:noWrap/>
            <w:vAlign w:val="center"/>
          </w:tcPr>
          <w:p w:rsidR="006A4080" w:rsidRPr="004550C4" w:rsidRDefault="006A4080" w:rsidP="006A4080">
            <w:pPr>
              <w:spacing w:line="240" w:lineRule="auto"/>
              <w:rPr>
                <w:b/>
                <w:bCs/>
                <w:i/>
                <w:iCs/>
                <w:szCs w:val="24"/>
                <w:lang w:eastAsia="sk-SK"/>
              </w:rPr>
            </w:pPr>
            <w:r w:rsidRPr="004F3D65">
              <w:rPr>
                <w:szCs w:val="24"/>
                <w:lang w:eastAsia="sk-SK"/>
              </w:rPr>
              <w:t xml:space="preserve">v tom: </w:t>
            </w:r>
            <w:r>
              <w:rPr>
                <w:szCs w:val="24"/>
                <w:lang w:eastAsia="sk-SK"/>
              </w:rPr>
              <w:t>MPSVR</w:t>
            </w:r>
            <w:r w:rsidRPr="004F3D65">
              <w:rPr>
                <w:szCs w:val="24"/>
                <w:lang w:eastAsia="sk-SK"/>
              </w:rPr>
              <w:t xml:space="preserve"> SR</w:t>
            </w:r>
          </w:p>
        </w:tc>
        <w:tc>
          <w:tcPr>
            <w:tcW w:w="1400" w:type="dxa"/>
            <w:noWrap/>
            <w:vAlign w:val="center"/>
          </w:tcPr>
          <w:p w:rsidR="006A4080" w:rsidRPr="00514598" w:rsidRDefault="006A4080" w:rsidP="006A4080">
            <w:pPr>
              <w:spacing w:line="240" w:lineRule="auto"/>
              <w:jc w:val="right"/>
              <w:rPr>
                <w:bCs/>
                <w:iCs/>
                <w:sz w:val="20"/>
                <w:szCs w:val="20"/>
                <w:lang w:eastAsia="sk-SK"/>
              </w:rPr>
            </w:pPr>
            <w:r w:rsidRPr="00514598">
              <w:rPr>
                <w:bCs/>
                <w:iCs/>
                <w:sz w:val="20"/>
                <w:szCs w:val="20"/>
                <w:lang w:eastAsia="sk-SK"/>
              </w:rPr>
              <w:t>46 039</w:t>
            </w:r>
          </w:p>
        </w:tc>
        <w:tc>
          <w:tcPr>
            <w:tcW w:w="1560" w:type="dxa"/>
            <w:noWrap/>
            <w:vAlign w:val="center"/>
          </w:tcPr>
          <w:p w:rsidR="006A4080" w:rsidRPr="00514598" w:rsidRDefault="006A4080" w:rsidP="006A4080">
            <w:pPr>
              <w:spacing w:line="240" w:lineRule="auto"/>
              <w:jc w:val="right"/>
              <w:rPr>
                <w:bCs/>
                <w:iCs/>
                <w:sz w:val="20"/>
                <w:szCs w:val="20"/>
                <w:lang w:eastAsia="sk-SK"/>
              </w:rPr>
            </w:pPr>
            <w:r w:rsidRPr="00514598">
              <w:rPr>
                <w:bCs/>
                <w:iCs/>
                <w:sz w:val="20"/>
                <w:szCs w:val="20"/>
                <w:lang w:eastAsia="sk-SK"/>
              </w:rPr>
              <w:t>35 252</w:t>
            </w:r>
          </w:p>
        </w:tc>
        <w:tc>
          <w:tcPr>
            <w:tcW w:w="1422" w:type="dxa"/>
            <w:noWrap/>
            <w:vAlign w:val="center"/>
          </w:tcPr>
          <w:p w:rsidR="006A4080" w:rsidRPr="00514598" w:rsidRDefault="006A4080" w:rsidP="006A4080">
            <w:pPr>
              <w:spacing w:line="240" w:lineRule="auto"/>
              <w:jc w:val="right"/>
              <w:rPr>
                <w:bCs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1603" w:type="dxa"/>
            <w:noWrap/>
            <w:vAlign w:val="center"/>
          </w:tcPr>
          <w:p w:rsidR="006A4080" w:rsidRPr="00514598" w:rsidRDefault="006A4080" w:rsidP="006A4080">
            <w:pPr>
              <w:spacing w:line="240" w:lineRule="auto"/>
              <w:jc w:val="right"/>
              <w:rPr>
                <w:bCs/>
                <w:iCs/>
                <w:sz w:val="20"/>
                <w:szCs w:val="20"/>
                <w:lang w:eastAsia="sk-SK"/>
              </w:rPr>
            </w:pPr>
          </w:p>
        </w:tc>
      </w:tr>
      <w:tr w:rsidR="005A57F0" w:rsidRPr="004550C4" w:rsidTr="00D732AE">
        <w:trPr>
          <w:trHeight w:val="70"/>
          <w:jc w:val="center"/>
        </w:trPr>
        <w:tc>
          <w:tcPr>
            <w:tcW w:w="4444" w:type="dxa"/>
            <w:noWrap/>
            <w:vAlign w:val="center"/>
          </w:tcPr>
          <w:p w:rsidR="005A57F0" w:rsidRPr="004F3D65" w:rsidRDefault="005A57F0" w:rsidP="006A4080">
            <w:pPr>
              <w:spacing w:line="240" w:lineRule="auto"/>
              <w:rPr>
                <w:szCs w:val="24"/>
                <w:lang w:eastAsia="sk-SK"/>
              </w:rPr>
            </w:pPr>
            <w:r>
              <w:rPr>
                <w:szCs w:val="24"/>
                <w:lang w:eastAsia="sk-SK"/>
              </w:rPr>
              <w:t>v tom: MZVaEZ SR</w:t>
            </w:r>
          </w:p>
        </w:tc>
        <w:tc>
          <w:tcPr>
            <w:tcW w:w="1400" w:type="dxa"/>
            <w:noWrap/>
            <w:vAlign w:val="center"/>
          </w:tcPr>
          <w:p w:rsidR="005A57F0" w:rsidRPr="00514598" w:rsidRDefault="00770462" w:rsidP="006A4080">
            <w:pPr>
              <w:spacing w:line="240" w:lineRule="auto"/>
              <w:jc w:val="right"/>
              <w:rPr>
                <w:bCs/>
                <w:iCs/>
                <w:sz w:val="20"/>
                <w:szCs w:val="20"/>
                <w:lang w:eastAsia="sk-SK"/>
              </w:rPr>
            </w:pPr>
            <w:r w:rsidRPr="00514598">
              <w:rPr>
                <w:bCs/>
                <w:iCs/>
                <w:sz w:val="20"/>
                <w:szCs w:val="20"/>
                <w:lang w:eastAsia="sk-SK"/>
              </w:rPr>
              <w:t>8 785,25</w:t>
            </w:r>
          </w:p>
        </w:tc>
        <w:tc>
          <w:tcPr>
            <w:tcW w:w="1560" w:type="dxa"/>
            <w:noWrap/>
            <w:vAlign w:val="center"/>
          </w:tcPr>
          <w:p w:rsidR="005A57F0" w:rsidRPr="00514598" w:rsidRDefault="00770462" w:rsidP="006A4080">
            <w:pPr>
              <w:spacing w:line="240" w:lineRule="auto"/>
              <w:jc w:val="right"/>
              <w:rPr>
                <w:bCs/>
                <w:iCs/>
                <w:sz w:val="20"/>
                <w:szCs w:val="20"/>
                <w:lang w:eastAsia="sk-SK"/>
              </w:rPr>
            </w:pPr>
            <w:r w:rsidRPr="00514598">
              <w:rPr>
                <w:bCs/>
                <w:iCs/>
                <w:sz w:val="20"/>
                <w:szCs w:val="20"/>
                <w:lang w:eastAsia="sk-SK"/>
              </w:rPr>
              <w:t>35 141</w:t>
            </w:r>
          </w:p>
        </w:tc>
        <w:tc>
          <w:tcPr>
            <w:tcW w:w="1422" w:type="dxa"/>
            <w:noWrap/>
            <w:vAlign w:val="center"/>
          </w:tcPr>
          <w:p w:rsidR="005A57F0" w:rsidRPr="00514598" w:rsidRDefault="00770462" w:rsidP="006A4080">
            <w:pPr>
              <w:spacing w:line="240" w:lineRule="auto"/>
              <w:jc w:val="right"/>
              <w:rPr>
                <w:bCs/>
                <w:iCs/>
                <w:sz w:val="20"/>
                <w:szCs w:val="20"/>
                <w:lang w:eastAsia="sk-SK"/>
              </w:rPr>
            </w:pPr>
            <w:r w:rsidRPr="00514598">
              <w:rPr>
                <w:bCs/>
                <w:iCs/>
                <w:sz w:val="20"/>
                <w:szCs w:val="20"/>
                <w:lang w:eastAsia="sk-SK"/>
              </w:rPr>
              <w:t>35 141</w:t>
            </w:r>
          </w:p>
        </w:tc>
        <w:tc>
          <w:tcPr>
            <w:tcW w:w="1603" w:type="dxa"/>
            <w:noWrap/>
            <w:vAlign w:val="center"/>
          </w:tcPr>
          <w:p w:rsidR="005A57F0" w:rsidRPr="00514598" w:rsidRDefault="00770462" w:rsidP="006A4080">
            <w:pPr>
              <w:spacing w:line="240" w:lineRule="auto"/>
              <w:jc w:val="right"/>
              <w:rPr>
                <w:bCs/>
                <w:iCs/>
                <w:sz w:val="20"/>
                <w:szCs w:val="20"/>
                <w:lang w:eastAsia="sk-SK"/>
              </w:rPr>
            </w:pPr>
            <w:r w:rsidRPr="00514598">
              <w:rPr>
                <w:bCs/>
                <w:iCs/>
                <w:sz w:val="20"/>
                <w:szCs w:val="20"/>
                <w:lang w:eastAsia="sk-SK"/>
              </w:rPr>
              <w:t>35 141</w:t>
            </w:r>
          </w:p>
        </w:tc>
      </w:tr>
      <w:tr w:rsidR="006A4080" w:rsidRPr="004550C4" w:rsidTr="00D732AE">
        <w:trPr>
          <w:trHeight w:val="70"/>
          <w:jc w:val="center"/>
        </w:trPr>
        <w:tc>
          <w:tcPr>
            <w:tcW w:w="4444" w:type="dxa"/>
            <w:noWrap/>
            <w:vAlign w:val="center"/>
          </w:tcPr>
          <w:p w:rsidR="006A4080" w:rsidRPr="004550C4" w:rsidRDefault="006A4080" w:rsidP="006A4080">
            <w:pPr>
              <w:spacing w:line="240" w:lineRule="auto"/>
              <w:rPr>
                <w:b/>
                <w:bCs/>
                <w:i/>
                <w:iCs/>
                <w:szCs w:val="24"/>
                <w:lang w:eastAsia="sk-SK"/>
              </w:rPr>
            </w:pPr>
            <w:r w:rsidRPr="004550C4">
              <w:rPr>
                <w:b/>
                <w:bCs/>
                <w:i/>
                <w:iCs/>
                <w:szCs w:val="24"/>
                <w:lang w:eastAsia="sk-SK"/>
              </w:rPr>
              <w:t xml:space="preserve">z toho: </w:t>
            </w:r>
          </w:p>
        </w:tc>
        <w:tc>
          <w:tcPr>
            <w:tcW w:w="1400" w:type="dxa"/>
            <w:noWrap/>
            <w:vAlign w:val="center"/>
          </w:tcPr>
          <w:p w:rsidR="006A4080" w:rsidRPr="00514598" w:rsidRDefault="006A4080" w:rsidP="006A4080">
            <w:pPr>
              <w:spacing w:line="240" w:lineRule="auto"/>
              <w:jc w:val="right"/>
              <w:rPr>
                <w:b/>
                <w:bCs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noWrap/>
            <w:vAlign w:val="center"/>
          </w:tcPr>
          <w:p w:rsidR="006A4080" w:rsidRPr="00514598" w:rsidRDefault="006A4080" w:rsidP="006A4080">
            <w:pPr>
              <w:spacing w:line="240" w:lineRule="auto"/>
              <w:jc w:val="right"/>
              <w:rPr>
                <w:bCs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1422" w:type="dxa"/>
            <w:noWrap/>
            <w:vAlign w:val="center"/>
          </w:tcPr>
          <w:p w:rsidR="006A4080" w:rsidRPr="00514598" w:rsidRDefault="006A4080" w:rsidP="006A4080">
            <w:pPr>
              <w:spacing w:line="240" w:lineRule="auto"/>
              <w:jc w:val="right"/>
              <w:rPr>
                <w:bCs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1603" w:type="dxa"/>
            <w:noWrap/>
            <w:vAlign w:val="center"/>
          </w:tcPr>
          <w:p w:rsidR="006A4080" w:rsidRPr="00514598" w:rsidRDefault="006A4080" w:rsidP="006A4080">
            <w:pPr>
              <w:spacing w:line="240" w:lineRule="auto"/>
              <w:jc w:val="right"/>
              <w:rPr>
                <w:bCs/>
                <w:iCs/>
                <w:sz w:val="20"/>
                <w:szCs w:val="20"/>
                <w:lang w:eastAsia="sk-SK"/>
              </w:rPr>
            </w:pPr>
          </w:p>
        </w:tc>
      </w:tr>
      <w:tr w:rsidR="006A4080" w:rsidRPr="004550C4" w:rsidTr="00816FDB">
        <w:trPr>
          <w:trHeight w:val="70"/>
          <w:jc w:val="center"/>
        </w:trPr>
        <w:tc>
          <w:tcPr>
            <w:tcW w:w="4444" w:type="dxa"/>
            <w:noWrap/>
            <w:vAlign w:val="center"/>
          </w:tcPr>
          <w:p w:rsidR="006A4080" w:rsidRPr="004550C4" w:rsidRDefault="006A4080" w:rsidP="006A4080">
            <w:pPr>
              <w:spacing w:line="240" w:lineRule="auto"/>
              <w:rPr>
                <w:b/>
                <w:bCs/>
                <w:i/>
                <w:iCs/>
                <w:szCs w:val="24"/>
                <w:lang w:eastAsia="sk-SK"/>
              </w:rPr>
            </w:pPr>
            <w:r w:rsidRPr="004550C4">
              <w:rPr>
                <w:b/>
                <w:bCs/>
                <w:i/>
                <w:iCs/>
                <w:szCs w:val="24"/>
                <w:lang w:eastAsia="sk-SK"/>
              </w:rPr>
              <w:t>- vplyv na ŠR</w:t>
            </w:r>
          </w:p>
        </w:tc>
        <w:tc>
          <w:tcPr>
            <w:tcW w:w="1400" w:type="dxa"/>
            <w:noWrap/>
          </w:tcPr>
          <w:p w:rsidR="006A4080" w:rsidRPr="00514598" w:rsidRDefault="00770462" w:rsidP="006A4080">
            <w:pPr>
              <w:jc w:val="right"/>
              <w:rPr>
                <w:sz w:val="20"/>
                <w:szCs w:val="20"/>
              </w:rPr>
            </w:pPr>
            <w:r w:rsidRPr="00514598">
              <w:rPr>
                <w:sz w:val="20"/>
                <w:szCs w:val="20"/>
              </w:rPr>
              <w:t>54 824,25</w:t>
            </w:r>
          </w:p>
        </w:tc>
        <w:tc>
          <w:tcPr>
            <w:tcW w:w="1560" w:type="dxa"/>
            <w:noWrap/>
          </w:tcPr>
          <w:p w:rsidR="006A4080" w:rsidRPr="00514598" w:rsidRDefault="00770462" w:rsidP="006A4080">
            <w:pPr>
              <w:jc w:val="right"/>
              <w:rPr>
                <w:sz w:val="20"/>
                <w:szCs w:val="20"/>
              </w:rPr>
            </w:pPr>
            <w:r w:rsidRPr="00514598">
              <w:rPr>
                <w:sz w:val="20"/>
                <w:szCs w:val="20"/>
              </w:rPr>
              <w:t>70 393</w:t>
            </w:r>
          </w:p>
        </w:tc>
        <w:tc>
          <w:tcPr>
            <w:tcW w:w="1422" w:type="dxa"/>
            <w:noWrap/>
          </w:tcPr>
          <w:p w:rsidR="006A4080" w:rsidRPr="00514598" w:rsidRDefault="00770462" w:rsidP="006A4080">
            <w:pPr>
              <w:jc w:val="right"/>
              <w:rPr>
                <w:sz w:val="20"/>
                <w:szCs w:val="20"/>
              </w:rPr>
            </w:pPr>
            <w:r w:rsidRPr="00514598">
              <w:rPr>
                <w:bCs/>
                <w:iCs/>
                <w:sz w:val="20"/>
                <w:szCs w:val="20"/>
                <w:lang w:eastAsia="sk-SK"/>
              </w:rPr>
              <w:t>35 141</w:t>
            </w:r>
          </w:p>
        </w:tc>
        <w:tc>
          <w:tcPr>
            <w:tcW w:w="1603" w:type="dxa"/>
            <w:noWrap/>
          </w:tcPr>
          <w:p w:rsidR="006A4080" w:rsidRPr="00514598" w:rsidRDefault="00770462" w:rsidP="006A4080">
            <w:pPr>
              <w:jc w:val="right"/>
              <w:rPr>
                <w:sz w:val="20"/>
                <w:szCs w:val="20"/>
              </w:rPr>
            </w:pPr>
            <w:r w:rsidRPr="00514598">
              <w:rPr>
                <w:bCs/>
                <w:iCs/>
                <w:sz w:val="20"/>
                <w:szCs w:val="20"/>
                <w:lang w:eastAsia="sk-SK"/>
              </w:rPr>
              <w:t>35 141</w:t>
            </w:r>
          </w:p>
        </w:tc>
      </w:tr>
      <w:tr w:rsidR="006A4080" w:rsidRPr="004550C4" w:rsidTr="00D732AE">
        <w:trPr>
          <w:trHeight w:val="70"/>
          <w:jc w:val="center"/>
        </w:trPr>
        <w:tc>
          <w:tcPr>
            <w:tcW w:w="4444" w:type="dxa"/>
            <w:noWrap/>
            <w:vAlign w:val="center"/>
          </w:tcPr>
          <w:p w:rsidR="006A4080" w:rsidRPr="004550C4" w:rsidRDefault="006A4080" w:rsidP="006A4080">
            <w:pPr>
              <w:spacing w:line="240" w:lineRule="auto"/>
              <w:ind w:left="259"/>
              <w:rPr>
                <w:b/>
                <w:bCs/>
                <w:i/>
                <w:iCs/>
                <w:szCs w:val="24"/>
                <w:lang w:eastAsia="sk-SK"/>
              </w:rPr>
            </w:pPr>
            <w:r w:rsidRPr="004550C4">
              <w:rPr>
                <w:bCs/>
                <w:i/>
                <w:iCs/>
                <w:szCs w:val="24"/>
                <w:lang w:eastAsia="sk-SK"/>
              </w:rPr>
              <w:t>Rozpočtové prostriedky</w:t>
            </w:r>
          </w:p>
        </w:tc>
        <w:tc>
          <w:tcPr>
            <w:tcW w:w="1400" w:type="dxa"/>
            <w:noWrap/>
            <w:vAlign w:val="center"/>
          </w:tcPr>
          <w:p w:rsidR="006A4080" w:rsidRPr="00514598" w:rsidRDefault="006A4080" w:rsidP="006A4080">
            <w:pPr>
              <w:spacing w:line="240" w:lineRule="auto"/>
              <w:jc w:val="right"/>
              <w:rPr>
                <w:bCs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noWrap/>
            <w:vAlign w:val="center"/>
          </w:tcPr>
          <w:p w:rsidR="006A4080" w:rsidRPr="00514598" w:rsidRDefault="006A4080" w:rsidP="006A4080">
            <w:pPr>
              <w:spacing w:line="240" w:lineRule="auto"/>
              <w:jc w:val="right"/>
              <w:rPr>
                <w:b/>
                <w:bCs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1422" w:type="dxa"/>
            <w:noWrap/>
            <w:vAlign w:val="center"/>
          </w:tcPr>
          <w:p w:rsidR="006A4080" w:rsidRPr="00514598" w:rsidRDefault="006A4080" w:rsidP="006A4080">
            <w:pPr>
              <w:spacing w:line="240" w:lineRule="auto"/>
              <w:jc w:val="right"/>
              <w:rPr>
                <w:b/>
                <w:bCs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1603" w:type="dxa"/>
            <w:noWrap/>
            <w:vAlign w:val="center"/>
          </w:tcPr>
          <w:p w:rsidR="006A4080" w:rsidRPr="00514598" w:rsidRDefault="006A4080" w:rsidP="006A4080">
            <w:pPr>
              <w:spacing w:line="240" w:lineRule="auto"/>
              <w:jc w:val="right"/>
              <w:rPr>
                <w:b/>
                <w:bCs/>
                <w:iCs/>
                <w:sz w:val="20"/>
                <w:szCs w:val="20"/>
                <w:lang w:eastAsia="sk-SK"/>
              </w:rPr>
            </w:pPr>
          </w:p>
        </w:tc>
      </w:tr>
      <w:tr w:rsidR="006A4080" w:rsidRPr="004550C4" w:rsidTr="00D732AE">
        <w:trPr>
          <w:trHeight w:val="70"/>
          <w:jc w:val="center"/>
        </w:trPr>
        <w:tc>
          <w:tcPr>
            <w:tcW w:w="4444" w:type="dxa"/>
            <w:noWrap/>
            <w:vAlign w:val="center"/>
          </w:tcPr>
          <w:p w:rsidR="006A4080" w:rsidRPr="004550C4" w:rsidRDefault="006A4080" w:rsidP="006A4080">
            <w:pPr>
              <w:spacing w:line="240" w:lineRule="auto"/>
              <w:rPr>
                <w:bCs/>
                <w:i/>
                <w:iCs/>
                <w:szCs w:val="24"/>
                <w:lang w:eastAsia="sk-SK"/>
              </w:rPr>
            </w:pPr>
            <w:r w:rsidRPr="004550C4">
              <w:rPr>
                <w:bCs/>
                <w:i/>
                <w:iCs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400" w:type="dxa"/>
            <w:noWrap/>
            <w:vAlign w:val="center"/>
          </w:tcPr>
          <w:p w:rsidR="006A4080" w:rsidRPr="00514598" w:rsidRDefault="006A4080" w:rsidP="006A4080">
            <w:pPr>
              <w:spacing w:line="240" w:lineRule="auto"/>
              <w:jc w:val="right"/>
              <w:rPr>
                <w:sz w:val="20"/>
                <w:szCs w:val="20"/>
                <w:lang w:eastAsia="sk-SK"/>
              </w:rPr>
            </w:pPr>
            <w:r w:rsidRPr="00514598">
              <w:rPr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60" w:type="dxa"/>
            <w:noWrap/>
            <w:vAlign w:val="center"/>
          </w:tcPr>
          <w:p w:rsidR="006A4080" w:rsidRPr="00514598" w:rsidRDefault="006A4080" w:rsidP="006A4080">
            <w:pPr>
              <w:spacing w:line="240" w:lineRule="auto"/>
              <w:jc w:val="right"/>
              <w:rPr>
                <w:sz w:val="20"/>
                <w:szCs w:val="20"/>
                <w:lang w:eastAsia="sk-SK"/>
              </w:rPr>
            </w:pPr>
            <w:r w:rsidRPr="00514598">
              <w:rPr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22" w:type="dxa"/>
            <w:noWrap/>
            <w:vAlign w:val="center"/>
          </w:tcPr>
          <w:p w:rsidR="006A4080" w:rsidRPr="00514598" w:rsidRDefault="006A4080" w:rsidP="006A4080">
            <w:pPr>
              <w:spacing w:line="240" w:lineRule="auto"/>
              <w:jc w:val="right"/>
              <w:rPr>
                <w:sz w:val="20"/>
                <w:szCs w:val="20"/>
                <w:lang w:eastAsia="sk-SK"/>
              </w:rPr>
            </w:pPr>
            <w:r w:rsidRPr="00514598">
              <w:rPr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03" w:type="dxa"/>
            <w:noWrap/>
            <w:vAlign w:val="center"/>
          </w:tcPr>
          <w:p w:rsidR="006A4080" w:rsidRPr="00514598" w:rsidRDefault="006A4080" w:rsidP="006A4080">
            <w:pPr>
              <w:spacing w:line="240" w:lineRule="auto"/>
              <w:jc w:val="right"/>
              <w:rPr>
                <w:sz w:val="20"/>
                <w:szCs w:val="20"/>
                <w:lang w:eastAsia="sk-SK"/>
              </w:rPr>
            </w:pPr>
            <w:r w:rsidRPr="00514598">
              <w:rPr>
                <w:sz w:val="20"/>
                <w:szCs w:val="20"/>
                <w:lang w:eastAsia="sk-SK"/>
              </w:rPr>
              <w:t>0</w:t>
            </w:r>
          </w:p>
        </w:tc>
      </w:tr>
      <w:tr w:rsidR="006A4080" w:rsidRPr="004550C4" w:rsidTr="00D732AE">
        <w:trPr>
          <w:trHeight w:val="70"/>
          <w:jc w:val="center"/>
        </w:trPr>
        <w:tc>
          <w:tcPr>
            <w:tcW w:w="4444" w:type="dxa"/>
            <w:noWrap/>
            <w:vAlign w:val="center"/>
          </w:tcPr>
          <w:p w:rsidR="006A4080" w:rsidRPr="004550C4" w:rsidRDefault="006A4080" w:rsidP="006A4080">
            <w:pPr>
              <w:spacing w:line="240" w:lineRule="auto"/>
              <w:rPr>
                <w:bCs/>
                <w:i/>
                <w:iCs/>
                <w:szCs w:val="24"/>
                <w:lang w:eastAsia="sk-SK"/>
              </w:rPr>
            </w:pPr>
            <w:r w:rsidRPr="004550C4">
              <w:rPr>
                <w:bCs/>
                <w:i/>
                <w:iCs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400" w:type="dxa"/>
            <w:noWrap/>
            <w:vAlign w:val="center"/>
          </w:tcPr>
          <w:p w:rsidR="006A4080" w:rsidRPr="00514598" w:rsidRDefault="006A4080" w:rsidP="006A4080">
            <w:pPr>
              <w:spacing w:line="240" w:lineRule="auto"/>
              <w:jc w:val="right"/>
              <w:rPr>
                <w:sz w:val="20"/>
                <w:szCs w:val="20"/>
                <w:lang w:eastAsia="sk-SK"/>
              </w:rPr>
            </w:pPr>
            <w:r w:rsidRPr="00514598">
              <w:rPr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60" w:type="dxa"/>
            <w:noWrap/>
            <w:vAlign w:val="center"/>
          </w:tcPr>
          <w:p w:rsidR="006A4080" w:rsidRPr="00514598" w:rsidRDefault="006A4080" w:rsidP="006A4080">
            <w:pPr>
              <w:spacing w:line="240" w:lineRule="auto"/>
              <w:jc w:val="right"/>
              <w:rPr>
                <w:sz w:val="20"/>
                <w:szCs w:val="20"/>
                <w:lang w:eastAsia="sk-SK"/>
              </w:rPr>
            </w:pPr>
            <w:r w:rsidRPr="00514598">
              <w:rPr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22" w:type="dxa"/>
            <w:noWrap/>
            <w:vAlign w:val="center"/>
          </w:tcPr>
          <w:p w:rsidR="006A4080" w:rsidRPr="00514598" w:rsidRDefault="006A4080" w:rsidP="006A4080">
            <w:pPr>
              <w:spacing w:line="240" w:lineRule="auto"/>
              <w:jc w:val="right"/>
              <w:rPr>
                <w:sz w:val="20"/>
                <w:szCs w:val="20"/>
                <w:lang w:eastAsia="sk-SK"/>
              </w:rPr>
            </w:pPr>
            <w:r w:rsidRPr="00514598">
              <w:rPr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03" w:type="dxa"/>
            <w:noWrap/>
            <w:vAlign w:val="center"/>
          </w:tcPr>
          <w:p w:rsidR="006A4080" w:rsidRPr="00514598" w:rsidRDefault="006A4080" w:rsidP="006A4080">
            <w:pPr>
              <w:spacing w:line="240" w:lineRule="auto"/>
              <w:jc w:val="right"/>
              <w:rPr>
                <w:sz w:val="20"/>
                <w:szCs w:val="20"/>
                <w:lang w:eastAsia="sk-SK"/>
              </w:rPr>
            </w:pPr>
            <w:r w:rsidRPr="00514598">
              <w:rPr>
                <w:sz w:val="20"/>
                <w:szCs w:val="20"/>
                <w:lang w:eastAsia="sk-SK"/>
              </w:rPr>
              <w:t>0</w:t>
            </w:r>
          </w:p>
        </w:tc>
      </w:tr>
      <w:tr w:rsidR="006A4080" w:rsidRPr="004550C4" w:rsidTr="00D732AE">
        <w:trPr>
          <w:trHeight w:val="125"/>
          <w:jc w:val="center"/>
        </w:trPr>
        <w:tc>
          <w:tcPr>
            <w:tcW w:w="4444" w:type="dxa"/>
            <w:noWrap/>
            <w:vAlign w:val="center"/>
          </w:tcPr>
          <w:p w:rsidR="006A4080" w:rsidRPr="004550C4" w:rsidRDefault="006A4080" w:rsidP="006A4080">
            <w:pPr>
              <w:spacing w:line="240" w:lineRule="auto"/>
              <w:rPr>
                <w:b/>
                <w:bCs/>
                <w:i/>
                <w:iCs/>
                <w:szCs w:val="24"/>
                <w:lang w:eastAsia="sk-SK"/>
              </w:rPr>
            </w:pPr>
            <w:r w:rsidRPr="004550C4">
              <w:rPr>
                <w:b/>
                <w:bCs/>
                <w:i/>
                <w:iCs/>
                <w:szCs w:val="24"/>
                <w:lang w:eastAsia="sk-SK"/>
              </w:rPr>
              <w:t>- vplyv na obce</w:t>
            </w:r>
          </w:p>
        </w:tc>
        <w:tc>
          <w:tcPr>
            <w:tcW w:w="1400" w:type="dxa"/>
            <w:noWrap/>
            <w:vAlign w:val="center"/>
          </w:tcPr>
          <w:p w:rsidR="006A4080" w:rsidRPr="00514598" w:rsidRDefault="006A4080" w:rsidP="006A4080">
            <w:pPr>
              <w:spacing w:line="240" w:lineRule="auto"/>
              <w:jc w:val="right"/>
              <w:rPr>
                <w:b/>
                <w:bCs/>
                <w:iCs/>
                <w:sz w:val="20"/>
                <w:szCs w:val="20"/>
                <w:lang w:eastAsia="sk-SK"/>
              </w:rPr>
            </w:pPr>
            <w:r w:rsidRPr="00514598">
              <w:rPr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60" w:type="dxa"/>
            <w:noWrap/>
            <w:vAlign w:val="center"/>
          </w:tcPr>
          <w:p w:rsidR="006A4080" w:rsidRPr="00514598" w:rsidRDefault="006A4080" w:rsidP="006A4080">
            <w:pPr>
              <w:spacing w:line="240" w:lineRule="auto"/>
              <w:jc w:val="right"/>
              <w:rPr>
                <w:b/>
                <w:bCs/>
                <w:iCs/>
                <w:sz w:val="20"/>
                <w:szCs w:val="20"/>
                <w:lang w:eastAsia="sk-SK"/>
              </w:rPr>
            </w:pPr>
            <w:r w:rsidRPr="00514598">
              <w:rPr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22" w:type="dxa"/>
            <w:noWrap/>
            <w:vAlign w:val="center"/>
          </w:tcPr>
          <w:p w:rsidR="006A4080" w:rsidRPr="00514598" w:rsidRDefault="006A4080" w:rsidP="006A4080">
            <w:pPr>
              <w:spacing w:line="240" w:lineRule="auto"/>
              <w:jc w:val="right"/>
              <w:rPr>
                <w:b/>
                <w:bCs/>
                <w:iCs/>
                <w:sz w:val="20"/>
                <w:szCs w:val="20"/>
                <w:lang w:eastAsia="sk-SK"/>
              </w:rPr>
            </w:pPr>
            <w:r w:rsidRPr="00514598">
              <w:rPr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03" w:type="dxa"/>
            <w:noWrap/>
            <w:vAlign w:val="center"/>
          </w:tcPr>
          <w:p w:rsidR="006A4080" w:rsidRPr="00514598" w:rsidRDefault="006A4080" w:rsidP="006A4080">
            <w:pPr>
              <w:spacing w:line="240" w:lineRule="auto"/>
              <w:jc w:val="right"/>
              <w:rPr>
                <w:b/>
                <w:bCs/>
                <w:iCs/>
                <w:sz w:val="20"/>
                <w:szCs w:val="20"/>
                <w:lang w:eastAsia="sk-SK"/>
              </w:rPr>
            </w:pPr>
            <w:r w:rsidRPr="00514598">
              <w:rPr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</w:tr>
      <w:tr w:rsidR="006A4080" w:rsidRPr="004550C4" w:rsidTr="00D732AE">
        <w:trPr>
          <w:trHeight w:val="125"/>
          <w:jc w:val="center"/>
        </w:trPr>
        <w:tc>
          <w:tcPr>
            <w:tcW w:w="4444" w:type="dxa"/>
            <w:noWrap/>
            <w:vAlign w:val="center"/>
          </w:tcPr>
          <w:p w:rsidR="006A4080" w:rsidRPr="004550C4" w:rsidRDefault="006A4080" w:rsidP="006A4080">
            <w:pPr>
              <w:spacing w:line="240" w:lineRule="auto"/>
              <w:rPr>
                <w:b/>
                <w:bCs/>
                <w:i/>
                <w:iCs/>
                <w:szCs w:val="24"/>
                <w:lang w:eastAsia="sk-SK"/>
              </w:rPr>
            </w:pPr>
            <w:r w:rsidRPr="004550C4">
              <w:rPr>
                <w:b/>
                <w:bCs/>
                <w:i/>
                <w:iCs/>
                <w:szCs w:val="24"/>
                <w:lang w:eastAsia="sk-SK"/>
              </w:rPr>
              <w:t>- vplyv na vyššie územné celky</w:t>
            </w:r>
          </w:p>
        </w:tc>
        <w:tc>
          <w:tcPr>
            <w:tcW w:w="1400" w:type="dxa"/>
            <w:noWrap/>
            <w:vAlign w:val="center"/>
          </w:tcPr>
          <w:p w:rsidR="006A4080" w:rsidRPr="00514598" w:rsidRDefault="006A4080" w:rsidP="006A4080">
            <w:pPr>
              <w:spacing w:line="240" w:lineRule="auto"/>
              <w:jc w:val="right"/>
              <w:rPr>
                <w:b/>
                <w:bCs/>
                <w:iCs/>
                <w:sz w:val="20"/>
                <w:szCs w:val="20"/>
                <w:lang w:eastAsia="sk-SK"/>
              </w:rPr>
            </w:pPr>
            <w:r w:rsidRPr="00514598">
              <w:rPr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60" w:type="dxa"/>
            <w:noWrap/>
            <w:vAlign w:val="center"/>
          </w:tcPr>
          <w:p w:rsidR="006A4080" w:rsidRPr="00514598" w:rsidRDefault="006A4080" w:rsidP="006A4080">
            <w:pPr>
              <w:spacing w:line="240" w:lineRule="auto"/>
              <w:jc w:val="right"/>
              <w:rPr>
                <w:b/>
                <w:bCs/>
                <w:iCs/>
                <w:sz w:val="20"/>
                <w:szCs w:val="20"/>
                <w:lang w:eastAsia="sk-SK"/>
              </w:rPr>
            </w:pPr>
            <w:r w:rsidRPr="00514598">
              <w:rPr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22" w:type="dxa"/>
            <w:noWrap/>
            <w:vAlign w:val="center"/>
          </w:tcPr>
          <w:p w:rsidR="006A4080" w:rsidRPr="00514598" w:rsidRDefault="006A4080" w:rsidP="006A4080">
            <w:pPr>
              <w:spacing w:line="240" w:lineRule="auto"/>
              <w:jc w:val="right"/>
              <w:rPr>
                <w:b/>
                <w:bCs/>
                <w:iCs/>
                <w:sz w:val="20"/>
                <w:szCs w:val="20"/>
                <w:lang w:eastAsia="sk-SK"/>
              </w:rPr>
            </w:pPr>
            <w:r w:rsidRPr="00514598">
              <w:rPr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03" w:type="dxa"/>
            <w:noWrap/>
            <w:vAlign w:val="center"/>
          </w:tcPr>
          <w:p w:rsidR="006A4080" w:rsidRPr="00514598" w:rsidRDefault="006A4080" w:rsidP="006A4080">
            <w:pPr>
              <w:spacing w:line="240" w:lineRule="auto"/>
              <w:jc w:val="right"/>
              <w:rPr>
                <w:b/>
                <w:bCs/>
                <w:iCs/>
                <w:sz w:val="20"/>
                <w:szCs w:val="20"/>
                <w:lang w:eastAsia="sk-SK"/>
              </w:rPr>
            </w:pPr>
            <w:r w:rsidRPr="00514598">
              <w:rPr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</w:tr>
      <w:tr w:rsidR="006A4080" w:rsidRPr="004550C4" w:rsidTr="00D732AE">
        <w:trPr>
          <w:trHeight w:val="70"/>
          <w:jc w:val="center"/>
        </w:trPr>
        <w:tc>
          <w:tcPr>
            <w:tcW w:w="4444" w:type="dxa"/>
            <w:noWrap/>
            <w:vAlign w:val="center"/>
          </w:tcPr>
          <w:p w:rsidR="006A4080" w:rsidRPr="009A0FEC" w:rsidRDefault="006A4080" w:rsidP="006A4080">
            <w:pPr>
              <w:spacing w:line="240" w:lineRule="auto"/>
              <w:rPr>
                <w:b/>
                <w:bCs/>
                <w:szCs w:val="24"/>
                <w:lang w:eastAsia="sk-SK"/>
              </w:rPr>
            </w:pPr>
            <w:r w:rsidRPr="009A0FEC">
              <w:rPr>
                <w:b/>
                <w:bCs/>
                <w:i/>
                <w:iCs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400" w:type="dxa"/>
            <w:noWrap/>
            <w:vAlign w:val="center"/>
          </w:tcPr>
          <w:p w:rsidR="006A4080" w:rsidRPr="00514598" w:rsidRDefault="006A4080" w:rsidP="006A4080">
            <w:pPr>
              <w:spacing w:line="240" w:lineRule="auto"/>
              <w:jc w:val="right"/>
              <w:rPr>
                <w:b/>
                <w:bCs/>
                <w:iCs/>
                <w:sz w:val="20"/>
                <w:szCs w:val="20"/>
                <w:lang w:eastAsia="sk-SK"/>
              </w:rPr>
            </w:pPr>
            <w:r w:rsidRPr="00514598">
              <w:rPr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60" w:type="dxa"/>
            <w:noWrap/>
            <w:vAlign w:val="center"/>
          </w:tcPr>
          <w:p w:rsidR="006A4080" w:rsidRPr="00514598" w:rsidRDefault="006A4080" w:rsidP="006A4080">
            <w:pPr>
              <w:spacing w:line="240" w:lineRule="auto"/>
              <w:jc w:val="right"/>
              <w:rPr>
                <w:b/>
                <w:bCs/>
                <w:iCs/>
                <w:sz w:val="20"/>
                <w:szCs w:val="20"/>
                <w:lang w:eastAsia="sk-SK"/>
              </w:rPr>
            </w:pPr>
            <w:r w:rsidRPr="00514598">
              <w:rPr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22" w:type="dxa"/>
            <w:noWrap/>
            <w:vAlign w:val="center"/>
          </w:tcPr>
          <w:p w:rsidR="006A4080" w:rsidRPr="00514598" w:rsidRDefault="006A4080" w:rsidP="006A4080">
            <w:pPr>
              <w:spacing w:line="240" w:lineRule="auto"/>
              <w:jc w:val="right"/>
              <w:rPr>
                <w:b/>
                <w:bCs/>
                <w:iCs/>
                <w:sz w:val="20"/>
                <w:szCs w:val="20"/>
                <w:lang w:eastAsia="sk-SK"/>
              </w:rPr>
            </w:pPr>
            <w:r w:rsidRPr="00514598">
              <w:rPr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03" w:type="dxa"/>
            <w:noWrap/>
            <w:vAlign w:val="center"/>
          </w:tcPr>
          <w:p w:rsidR="006A4080" w:rsidRPr="00514598" w:rsidRDefault="006A4080" w:rsidP="006A4080">
            <w:pPr>
              <w:spacing w:line="240" w:lineRule="auto"/>
              <w:jc w:val="right"/>
              <w:rPr>
                <w:b/>
                <w:bCs/>
                <w:iCs/>
                <w:sz w:val="20"/>
                <w:szCs w:val="20"/>
                <w:lang w:eastAsia="sk-SK"/>
              </w:rPr>
            </w:pPr>
            <w:r w:rsidRPr="00514598">
              <w:rPr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</w:tr>
      <w:tr w:rsidR="006A4080" w:rsidRPr="004550C4" w:rsidTr="009A0FEC">
        <w:trPr>
          <w:trHeight w:val="70"/>
          <w:jc w:val="center"/>
        </w:trPr>
        <w:tc>
          <w:tcPr>
            <w:tcW w:w="4444" w:type="dxa"/>
            <w:shd w:val="clear" w:color="auto" w:fill="BFBFBF" w:themeFill="background1" w:themeFillShade="BF"/>
            <w:noWrap/>
            <w:vAlign w:val="center"/>
          </w:tcPr>
          <w:p w:rsidR="006A4080" w:rsidRPr="009A0FEC" w:rsidRDefault="006A4080" w:rsidP="006A4080">
            <w:pPr>
              <w:spacing w:line="240" w:lineRule="auto"/>
              <w:rPr>
                <w:b/>
                <w:bCs/>
                <w:szCs w:val="24"/>
                <w:lang w:eastAsia="sk-SK"/>
              </w:rPr>
            </w:pPr>
            <w:r w:rsidRPr="009A0FEC">
              <w:rPr>
                <w:b/>
                <w:bCs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400" w:type="dxa"/>
            <w:shd w:val="clear" w:color="auto" w:fill="BFBFBF" w:themeFill="background1" w:themeFillShade="BF"/>
            <w:noWrap/>
            <w:vAlign w:val="center"/>
          </w:tcPr>
          <w:p w:rsidR="006A4080" w:rsidRPr="00514598" w:rsidRDefault="0020493C" w:rsidP="006A4080">
            <w:pPr>
              <w:spacing w:line="240" w:lineRule="auto"/>
              <w:jc w:val="right"/>
              <w:rPr>
                <w:b/>
                <w:bCs/>
                <w:sz w:val="20"/>
                <w:szCs w:val="20"/>
                <w:lang w:eastAsia="sk-SK"/>
              </w:rPr>
            </w:pPr>
            <w:r w:rsidRPr="00514598">
              <w:rPr>
                <w:b/>
                <w:bCs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560" w:type="dxa"/>
            <w:shd w:val="clear" w:color="auto" w:fill="BFBFBF" w:themeFill="background1" w:themeFillShade="BF"/>
            <w:noWrap/>
            <w:vAlign w:val="center"/>
          </w:tcPr>
          <w:p w:rsidR="006A4080" w:rsidRPr="00514598" w:rsidRDefault="0020493C" w:rsidP="006A4080">
            <w:pPr>
              <w:spacing w:line="240" w:lineRule="auto"/>
              <w:jc w:val="right"/>
              <w:rPr>
                <w:b/>
                <w:bCs/>
                <w:sz w:val="20"/>
                <w:szCs w:val="20"/>
                <w:lang w:eastAsia="sk-SK"/>
              </w:rPr>
            </w:pPr>
            <w:r w:rsidRPr="00514598">
              <w:rPr>
                <w:b/>
                <w:bCs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422" w:type="dxa"/>
            <w:shd w:val="clear" w:color="auto" w:fill="BFBFBF" w:themeFill="background1" w:themeFillShade="BF"/>
            <w:noWrap/>
            <w:vAlign w:val="center"/>
          </w:tcPr>
          <w:p w:rsidR="006A4080" w:rsidRPr="00514598" w:rsidRDefault="0020493C" w:rsidP="006A4080">
            <w:pPr>
              <w:spacing w:line="240" w:lineRule="auto"/>
              <w:jc w:val="right"/>
              <w:rPr>
                <w:b/>
                <w:bCs/>
                <w:sz w:val="20"/>
                <w:szCs w:val="20"/>
                <w:lang w:eastAsia="sk-SK"/>
              </w:rPr>
            </w:pPr>
            <w:r w:rsidRPr="00514598">
              <w:rPr>
                <w:b/>
                <w:bCs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603" w:type="dxa"/>
            <w:shd w:val="clear" w:color="auto" w:fill="BFBFBF" w:themeFill="background1" w:themeFillShade="BF"/>
            <w:noWrap/>
            <w:vAlign w:val="center"/>
          </w:tcPr>
          <w:p w:rsidR="006A4080" w:rsidRPr="00514598" w:rsidRDefault="0020493C" w:rsidP="006A4080">
            <w:pPr>
              <w:spacing w:line="240" w:lineRule="auto"/>
              <w:jc w:val="right"/>
              <w:rPr>
                <w:b/>
                <w:bCs/>
                <w:sz w:val="20"/>
                <w:szCs w:val="20"/>
                <w:lang w:eastAsia="sk-SK"/>
              </w:rPr>
            </w:pPr>
            <w:r w:rsidRPr="00514598">
              <w:rPr>
                <w:b/>
                <w:bCs/>
                <w:sz w:val="20"/>
                <w:szCs w:val="20"/>
                <w:lang w:eastAsia="sk-SK"/>
              </w:rPr>
              <w:t>1</w:t>
            </w:r>
          </w:p>
        </w:tc>
      </w:tr>
      <w:tr w:rsidR="00A07D5C" w:rsidRPr="004550C4" w:rsidTr="009A0FEC">
        <w:trPr>
          <w:trHeight w:val="70"/>
          <w:jc w:val="center"/>
        </w:trPr>
        <w:tc>
          <w:tcPr>
            <w:tcW w:w="4444" w:type="dxa"/>
            <w:noWrap/>
            <w:vAlign w:val="center"/>
          </w:tcPr>
          <w:p w:rsidR="00A07D5C" w:rsidRPr="009A0FEC" w:rsidRDefault="00A07D5C" w:rsidP="00A07D5C">
            <w:pPr>
              <w:spacing w:line="240" w:lineRule="auto"/>
              <w:rPr>
                <w:b/>
                <w:bCs/>
                <w:i/>
                <w:iCs/>
                <w:szCs w:val="24"/>
                <w:lang w:eastAsia="sk-SK"/>
              </w:rPr>
            </w:pPr>
            <w:r w:rsidRPr="009A0FEC">
              <w:rPr>
                <w:b/>
                <w:bCs/>
                <w:i/>
                <w:iCs/>
                <w:szCs w:val="24"/>
                <w:lang w:eastAsia="sk-SK"/>
              </w:rPr>
              <w:t>- vplyv na ŠR</w:t>
            </w:r>
          </w:p>
        </w:tc>
        <w:tc>
          <w:tcPr>
            <w:tcW w:w="1400" w:type="dxa"/>
            <w:noWrap/>
            <w:vAlign w:val="center"/>
          </w:tcPr>
          <w:p w:rsidR="00A07D5C" w:rsidRPr="00514598" w:rsidRDefault="00A07D5C" w:rsidP="00A07D5C">
            <w:pPr>
              <w:spacing w:line="240" w:lineRule="auto"/>
              <w:jc w:val="right"/>
              <w:rPr>
                <w:b/>
                <w:bCs/>
                <w:sz w:val="20"/>
                <w:szCs w:val="20"/>
                <w:lang w:eastAsia="sk-SK"/>
              </w:rPr>
            </w:pPr>
            <w:r w:rsidRPr="00514598">
              <w:rPr>
                <w:b/>
                <w:bCs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560" w:type="dxa"/>
            <w:noWrap/>
            <w:vAlign w:val="center"/>
          </w:tcPr>
          <w:p w:rsidR="00A07D5C" w:rsidRPr="00514598" w:rsidRDefault="00A07D5C" w:rsidP="00A07D5C">
            <w:pPr>
              <w:spacing w:line="240" w:lineRule="auto"/>
              <w:jc w:val="right"/>
              <w:rPr>
                <w:b/>
                <w:bCs/>
                <w:sz w:val="20"/>
                <w:szCs w:val="20"/>
                <w:lang w:eastAsia="sk-SK"/>
              </w:rPr>
            </w:pPr>
            <w:r w:rsidRPr="00514598">
              <w:rPr>
                <w:b/>
                <w:bCs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422" w:type="dxa"/>
            <w:noWrap/>
            <w:vAlign w:val="center"/>
          </w:tcPr>
          <w:p w:rsidR="00A07D5C" w:rsidRPr="00514598" w:rsidRDefault="00A07D5C" w:rsidP="00A07D5C">
            <w:pPr>
              <w:spacing w:line="240" w:lineRule="auto"/>
              <w:jc w:val="right"/>
              <w:rPr>
                <w:b/>
                <w:bCs/>
                <w:sz w:val="20"/>
                <w:szCs w:val="20"/>
                <w:lang w:eastAsia="sk-SK"/>
              </w:rPr>
            </w:pPr>
            <w:r w:rsidRPr="00514598">
              <w:rPr>
                <w:b/>
                <w:bCs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603" w:type="dxa"/>
            <w:noWrap/>
            <w:vAlign w:val="center"/>
          </w:tcPr>
          <w:p w:rsidR="00A07D5C" w:rsidRPr="00514598" w:rsidRDefault="00A07D5C" w:rsidP="00A07D5C">
            <w:pPr>
              <w:spacing w:line="240" w:lineRule="auto"/>
              <w:jc w:val="right"/>
              <w:rPr>
                <w:b/>
                <w:bCs/>
                <w:sz w:val="20"/>
                <w:szCs w:val="20"/>
                <w:lang w:eastAsia="sk-SK"/>
              </w:rPr>
            </w:pPr>
            <w:r w:rsidRPr="00514598">
              <w:rPr>
                <w:b/>
                <w:bCs/>
                <w:sz w:val="20"/>
                <w:szCs w:val="20"/>
                <w:lang w:eastAsia="sk-SK"/>
              </w:rPr>
              <w:t>1</w:t>
            </w:r>
          </w:p>
        </w:tc>
      </w:tr>
      <w:tr w:rsidR="006A4080" w:rsidRPr="004550C4" w:rsidTr="009A0FEC">
        <w:trPr>
          <w:trHeight w:val="45"/>
          <w:jc w:val="center"/>
        </w:trPr>
        <w:tc>
          <w:tcPr>
            <w:tcW w:w="4444" w:type="dxa"/>
            <w:noWrap/>
            <w:vAlign w:val="center"/>
          </w:tcPr>
          <w:p w:rsidR="006A4080" w:rsidRPr="009A0FEC" w:rsidRDefault="006A4080" w:rsidP="006A4080">
            <w:pPr>
              <w:spacing w:line="240" w:lineRule="auto"/>
              <w:rPr>
                <w:b/>
                <w:bCs/>
                <w:i/>
                <w:iCs/>
                <w:szCs w:val="24"/>
                <w:lang w:eastAsia="sk-SK"/>
              </w:rPr>
            </w:pPr>
            <w:r w:rsidRPr="009A0FEC">
              <w:rPr>
                <w:b/>
                <w:bCs/>
                <w:i/>
                <w:iCs/>
                <w:szCs w:val="24"/>
                <w:lang w:eastAsia="sk-SK"/>
              </w:rPr>
              <w:t>- vplyv na obce</w:t>
            </w:r>
          </w:p>
        </w:tc>
        <w:tc>
          <w:tcPr>
            <w:tcW w:w="1400" w:type="dxa"/>
            <w:noWrap/>
            <w:vAlign w:val="center"/>
          </w:tcPr>
          <w:p w:rsidR="006A4080" w:rsidRPr="00514598" w:rsidRDefault="006A4080" w:rsidP="006A4080">
            <w:pPr>
              <w:spacing w:line="240" w:lineRule="auto"/>
              <w:jc w:val="right"/>
              <w:rPr>
                <w:b/>
                <w:bCs/>
                <w:iCs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1560" w:type="dxa"/>
            <w:noWrap/>
            <w:vAlign w:val="center"/>
          </w:tcPr>
          <w:p w:rsidR="006A4080" w:rsidRPr="00514598" w:rsidRDefault="006A4080" w:rsidP="006A4080">
            <w:pPr>
              <w:spacing w:line="240" w:lineRule="auto"/>
              <w:jc w:val="right"/>
              <w:rPr>
                <w:b/>
                <w:bCs/>
                <w:iCs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1422" w:type="dxa"/>
            <w:noWrap/>
            <w:vAlign w:val="center"/>
          </w:tcPr>
          <w:p w:rsidR="006A4080" w:rsidRPr="00514598" w:rsidRDefault="006A4080" w:rsidP="006A4080">
            <w:pPr>
              <w:spacing w:line="240" w:lineRule="auto"/>
              <w:jc w:val="right"/>
              <w:rPr>
                <w:b/>
                <w:bCs/>
                <w:iCs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1603" w:type="dxa"/>
            <w:noWrap/>
            <w:vAlign w:val="center"/>
          </w:tcPr>
          <w:p w:rsidR="006A4080" w:rsidRPr="00514598" w:rsidRDefault="006A4080" w:rsidP="006A4080">
            <w:pPr>
              <w:spacing w:line="240" w:lineRule="auto"/>
              <w:jc w:val="right"/>
              <w:rPr>
                <w:b/>
                <w:bCs/>
                <w:iCs/>
                <w:sz w:val="20"/>
                <w:szCs w:val="20"/>
                <w:highlight w:val="yellow"/>
                <w:lang w:eastAsia="sk-SK"/>
              </w:rPr>
            </w:pPr>
          </w:p>
        </w:tc>
      </w:tr>
      <w:tr w:rsidR="006A4080" w:rsidRPr="004550C4" w:rsidTr="00D732AE">
        <w:trPr>
          <w:trHeight w:val="70"/>
          <w:jc w:val="center"/>
        </w:trPr>
        <w:tc>
          <w:tcPr>
            <w:tcW w:w="4444" w:type="dxa"/>
            <w:noWrap/>
            <w:vAlign w:val="center"/>
          </w:tcPr>
          <w:p w:rsidR="006A4080" w:rsidRPr="009A0FEC" w:rsidRDefault="006A4080" w:rsidP="006A4080">
            <w:pPr>
              <w:spacing w:line="240" w:lineRule="auto"/>
              <w:rPr>
                <w:b/>
                <w:bCs/>
                <w:i/>
                <w:iCs/>
                <w:szCs w:val="24"/>
                <w:lang w:eastAsia="sk-SK"/>
              </w:rPr>
            </w:pPr>
            <w:r w:rsidRPr="009A0FEC">
              <w:rPr>
                <w:b/>
                <w:bCs/>
                <w:i/>
                <w:iCs/>
                <w:szCs w:val="24"/>
                <w:lang w:eastAsia="sk-SK"/>
              </w:rPr>
              <w:t>- vplyv na vyššie územné celky</w:t>
            </w:r>
          </w:p>
        </w:tc>
        <w:tc>
          <w:tcPr>
            <w:tcW w:w="1400" w:type="dxa"/>
            <w:noWrap/>
            <w:vAlign w:val="center"/>
          </w:tcPr>
          <w:p w:rsidR="006A4080" w:rsidRPr="00514598" w:rsidRDefault="006A4080" w:rsidP="006A4080">
            <w:pPr>
              <w:spacing w:line="240" w:lineRule="auto"/>
              <w:jc w:val="right"/>
              <w:rPr>
                <w:b/>
                <w:bCs/>
                <w:iCs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1560" w:type="dxa"/>
            <w:noWrap/>
            <w:vAlign w:val="center"/>
          </w:tcPr>
          <w:p w:rsidR="006A4080" w:rsidRPr="00514598" w:rsidRDefault="006A4080" w:rsidP="006A4080">
            <w:pPr>
              <w:spacing w:line="240" w:lineRule="auto"/>
              <w:jc w:val="right"/>
              <w:rPr>
                <w:b/>
                <w:bCs/>
                <w:iCs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1422" w:type="dxa"/>
            <w:noWrap/>
            <w:vAlign w:val="center"/>
          </w:tcPr>
          <w:p w:rsidR="006A4080" w:rsidRPr="00514598" w:rsidRDefault="006A4080" w:rsidP="006A4080">
            <w:pPr>
              <w:spacing w:line="240" w:lineRule="auto"/>
              <w:jc w:val="right"/>
              <w:rPr>
                <w:b/>
                <w:bCs/>
                <w:iCs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1603" w:type="dxa"/>
            <w:noWrap/>
            <w:vAlign w:val="center"/>
          </w:tcPr>
          <w:p w:rsidR="006A4080" w:rsidRPr="00514598" w:rsidRDefault="006A4080" w:rsidP="006A4080">
            <w:pPr>
              <w:spacing w:line="240" w:lineRule="auto"/>
              <w:jc w:val="right"/>
              <w:rPr>
                <w:b/>
                <w:bCs/>
                <w:iCs/>
                <w:sz w:val="20"/>
                <w:szCs w:val="20"/>
                <w:highlight w:val="yellow"/>
                <w:lang w:eastAsia="sk-SK"/>
              </w:rPr>
            </w:pPr>
          </w:p>
        </w:tc>
      </w:tr>
      <w:tr w:rsidR="006A4080" w:rsidRPr="004550C4" w:rsidTr="00D732AE">
        <w:trPr>
          <w:trHeight w:val="70"/>
          <w:jc w:val="center"/>
        </w:trPr>
        <w:tc>
          <w:tcPr>
            <w:tcW w:w="4444" w:type="dxa"/>
            <w:noWrap/>
            <w:vAlign w:val="center"/>
          </w:tcPr>
          <w:p w:rsidR="006A4080" w:rsidRPr="009A0FEC" w:rsidRDefault="006A4080" w:rsidP="006A4080">
            <w:pPr>
              <w:spacing w:line="240" w:lineRule="auto"/>
              <w:rPr>
                <w:b/>
                <w:bCs/>
                <w:i/>
                <w:iCs/>
                <w:szCs w:val="24"/>
                <w:lang w:eastAsia="sk-SK"/>
              </w:rPr>
            </w:pPr>
            <w:r w:rsidRPr="009A0FEC">
              <w:rPr>
                <w:b/>
                <w:bCs/>
                <w:i/>
                <w:iCs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400" w:type="dxa"/>
            <w:noWrap/>
            <w:vAlign w:val="center"/>
          </w:tcPr>
          <w:p w:rsidR="006A4080" w:rsidRPr="00514598" w:rsidRDefault="006A4080" w:rsidP="006A4080">
            <w:pPr>
              <w:spacing w:line="240" w:lineRule="auto"/>
              <w:jc w:val="right"/>
              <w:rPr>
                <w:b/>
                <w:bCs/>
                <w:iCs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1560" w:type="dxa"/>
            <w:noWrap/>
            <w:vAlign w:val="center"/>
          </w:tcPr>
          <w:p w:rsidR="006A4080" w:rsidRPr="00514598" w:rsidRDefault="006A4080" w:rsidP="006A4080">
            <w:pPr>
              <w:spacing w:line="240" w:lineRule="auto"/>
              <w:jc w:val="right"/>
              <w:rPr>
                <w:b/>
                <w:bCs/>
                <w:iCs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1422" w:type="dxa"/>
            <w:noWrap/>
            <w:vAlign w:val="center"/>
          </w:tcPr>
          <w:p w:rsidR="006A4080" w:rsidRPr="00514598" w:rsidRDefault="006A4080" w:rsidP="006A4080">
            <w:pPr>
              <w:spacing w:line="240" w:lineRule="auto"/>
              <w:jc w:val="right"/>
              <w:rPr>
                <w:b/>
                <w:bCs/>
                <w:iCs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1603" w:type="dxa"/>
            <w:noWrap/>
            <w:vAlign w:val="center"/>
          </w:tcPr>
          <w:p w:rsidR="006A4080" w:rsidRPr="00514598" w:rsidRDefault="006A4080" w:rsidP="006A4080">
            <w:pPr>
              <w:spacing w:line="240" w:lineRule="auto"/>
              <w:jc w:val="right"/>
              <w:rPr>
                <w:b/>
                <w:bCs/>
                <w:iCs/>
                <w:sz w:val="20"/>
                <w:szCs w:val="20"/>
                <w:highlight w:val="yellow"/>
                <w:lang w:eastAsia="sk-SK"/>
              </w:rPr>
            </w:pPr>
          </w:p>
        </w:tc>
      </w:tr>
      <w:tr w:rsidR="00A07D5C" w:rsidRPr="004550C4" w:rsidTr="009A0FEC">
        <w:trPr>
          <w:trHeight w:val="70"/>
          <w:jc w:val="center"/>
        </w:trPr>
        <w:tc>
          <w:tcPr>
            <w:tcW w:w="4444" w:type="dxa"/>
            <w:shd w:val="clear" w:color="auto" w:fill="BFBFBF" w:themeFill="background1" w:themeFillShade="BF"/>
            <w:noWrap/>
            <w:vAlign w:val="center"/>
          </w:tcPr>
          <w:p w:rsidR="00A07D5C" w:rsidRPr="009A0FEC" w:rsidRDefault="00A07D5C" w:rsidP="00A07D5C">
            <w:pPr>
              <w:spacing w:line="240" w:lineRule="auto"/>
              <w:rPr>
                <w:b/>
                <w:szCs w:val="24"/>
                <w:lang w:eastAsia="sk-SK"/>
              </w:rPr>
            </w:pPr>
            <w:r w:rsidRPr="009A0FEC">
              <w:rPr>
                <w:b/>
                <w:szCs w:val="24"/>
                <w:lang w:eastAsia="sk-SK"/>
              </w:rPr>
              <w:t>Vplyv na mzdové výdavky</w:t>
            </w:r>
          </w:p>
        </w:tc>
        <w:tc>
          <w:tcPr>
            <w:tcW w:w="1400" w:type="dxa"/>
            <w:shd w:val="clear" w:color="auto" w:fill="BFBFBF" w:themeFill="background1" w:themeFillShade="BF"/>
            <w:noWrap/>
            <w:vAlign w:val="center"/>
          </w:tcPr>
          <w:p w:rsidR="00A07D5C" w:rsidRPr="00514598" w:rsidRDefault="00A07D5C" w:rsidP="00514598">
            <w:pPr>
              <w:spacing w:line="240" w:lineRule="auto"/>
              <w:jc w:val="right"/>
              <w:rPr>
                <w:b/>
                <w:bCs/>
                <w:iCs/>
                <w:sz w:val="20"/>
                <w:szCs w:val="20"/>
                <w:lang w:eastAsia="sk-SK"/>
              </w:rPr>
            </w:pPr>
            <w:r w:rsidRPr="00514598">
              <w:rPr>
                <w:b/>
                <w:bCs/>
                <w:iCs/>
                <w:sz w:val="20"/>
                <w:szCs w:val="20"/>
                <w:lang w:eastAsia="sk-SK"/>
              </w:rPr>
              <w:t>6 510</w:t>
            </w:r>
          </w:p>
        </w:tc>
        <w:tc>
          <w:tcPr>
            <w:tcW w:w="1560" w:type="dxa"/>
            <w:shd w:val="clear" w:color="auto" w:fill="BFBFBF" w:themeFill="background1" w:themeFillShade="BF"/>
            <w:noWrap/>
            <w:vAlign w:val="center"/>
          </w:tcPr>
          <w:p w:rsidR="00A07D5C" w:rsidRPr="00514598" w:rsidRDefault="00A07D5C" w:rsidP="00514598">
            <w:pPr>
              <w:spacing w:line="240" w:lineRule="auto"/>
              <w:jc w:val="right"/>
              <w:rPr>
                <w:b/>
                <w:bCs/>
                <w:iCs/>
                <w:sz w:val="20"/>
                <w:szCs w:val="20"/>
                <w:lang w:eastAsia="sk-SK"/>
              </w:rPr>
            </w:pPr>
            <w:r w:rsidRPr="00514598">
              <w:rPr>
                <w:b/>
                <w:bCs/>
                <w:iCs/>
                <w:sz w:val="20"/>
                <w:szCs w:val="20"/>
                <w:lang w:eastAsia="sk-SK"/>
              </w:rPr>
              <w:t>26 040</w:t>
            </w:r>
          </w:p>
        </w:tc>
        <w:tc>
          <w:tcPr>
            <w:tcW w:w="1422" w:type="dxa"/>
            <w:shd w:val="clear" w:color="auto" w:fill="BFBFBF" w:themeFill="background1" w:themeFillShade="BF"/>
            <w:noWrap/>
            <w:vAlign w:val="center"/>
          </w:tcPr>
          <w:p w:rsidR="00A07D5C" w:rsidRPr="00514598" w:rsidRDefault="00A07D5C" w:rsidP="00514598">
            <w:pPr>
              <w:spacing w:line="240" w:lineRule="auto"/>
              <w:jc w:val="right"/>
              <w:rPr>
                <w:b/>
                <w:bCs/>
                <w:iCs/>
                <w:sz w:val="20"/>
                <w:szCs w:val="20"/>
                <w:lang w:eastAsia="sk-SK"/>
              </w:rPr>
            </w:pPr>
            <w:r w:rsidRPr="00514598">
              <w:rPr>
                <w:b/>
                <w:bCs/>
                <w:iCs/>
                <w:sz w:val="20"/>
                <w:szCs w:val="20"/>
                <w:lang w:eastAsia="sk-SK"/>
              </w:rPr>
              <w:t>26 040</w:t>
            </w:r>
          </w:p>
        </w:tc>
        <w:tc>
          <w:tcPr>
            <w:tcW w:w="1603" w:type="dxa"/>
            <w:shd w:val="clear" w:color="auto" w:fill="BFBFBF" w:themeFill="background1" w:themeFillShade="BF"/>
            <w:noWrap/>
            <w:vAlign w:val="center"/>
          </w:tcPr>
          <w:p w:rsidR="00A07D5C" w:rsidRPr="00514598" w:rsidRDefault="00A07D5C" w:rsidP="00514598">
            <w:pPr>
              <w:spacing w:line="240" w:lineRule="auto"/>
              <w:jc w:val="right"/>
              <w:rPr>
                <w:b/>
                <w:bCs/>
                <w:iCs/>
                <w:sz w:val="20"/>
                <w:szCs w:val="20"/>
                <w:lang w:eastAsia="sk-SK"/>
              </w:rPr>
            </w:pPr>
            <w:r w:rsidRPr="00514598">
              <w:rPr>
                <w:b/>
                <w:bCs/>
                <w:iCs/>
                <w:sz w:val="20"/>
                <w:szCs w:val="20"/>
                <w:lang w:eastAsia="sk-SK"/>
              </w:rPr>
              <w:t>26 040</w:t>
            </w:r>
          </w:p>
        </w:tc>
      </w:tr>
      <w:tr w:rsidR="00A07D5C" w:rsidRPr="004550C4" w:rsidTr="00143362">
        <w:trPr>
          <w:trHeight w:val="70"/>
          <w:jc w:val="center"/>
        </w:trPr>
        <w:tc>
          <w:tcPr>
            <w:tcW w:w="4444" w:type="dxa"/>
            <w:noWrap/>
            <w:vAlign w:val="center"/>
          </w:tcPr>
          <w:p w:rsidR="00A07D5C" w:rsidRPr="009A0FEC" w:rsidRDefault="00A07D5C" w:rsidP="00A07D5C">
            <w:pPr>
              <w:spacing w:line="240" w:lineRule="auto"/>
              <w:rPr>
                <w:b/>
                <w:bCs/>
                <w:i/>
                <w:iCs/>
                <w:szCs w:val="24"/>
                <w:lang w:eastAsia="sk-SK"/>
              </w:rPr>
            </w:pPr>
            <w:r w:rsidRPr="009A0FEC">
              <w:rPr>
                <w:b/>
                <w:bCs/>
                <w:i/>
                <w:iCs/>
                <w:szCs w:val="24"/>
                <w:lang w:eastAsia="sk-SK"/>
              </w:rPr>
              <w:t>- vplyv na ŠR</w:t>
            </w:r>
          </w:p>
        </w:tc>
        <w:tc>
          <w:tcPr>
            <w:tcW w:w="1400" w:type="dxa"/>
            <w:shd w:val="clear" w:color="auto" w:fill="FFFFFF" w:themeFill="background1"/>
            <w:noWrap/>
            <w:vAlign w:val="center"/>
          </w:tcPr>
          <w:p w:rsidR="00A07D5C" w:rsidRPr="00514598" w:rsidRDefault="00A07D5C" w:rsidP="00514598">
            <w:pPr>
              <w:spacing w:line="240" w:lineRule="auto"/>
              <w:jc w:val="right"/>
              <w:rPr>
                <w:b/>
                <w:bCs/>
                <w:iCs/>
                <w:sz w:val="20"/>
                <w:szCs w:val="20"/>
                <w:lang w:eastAsia="sk-SK"/>
              </w:rPr>
            </w:pPr>
            <w:r w:rsidRPr="00514598">
              <w:rPr>
                <w:b/>
                <w:bCs/>
                <w:iCs/>
                <w:sz w:val="20"/>
                <w:szCs w:val="20"/>
                <w:lang w:eastAsia="sk-SK"/>
              </w:rPr>
              <w:t>6 510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 w:rsidR="00A07D5C" w:rsidRPr="00514598" w:rsidRDefault="00A07D5C" w:rsidP="00514598">
            <w:pPr>
              <w:spacing w:line="240" w:lineRule="auto"/>
              <w:jc w:val="right"/>
              <w:rPr>
                <w:b/>
                <w:bCs/>
                <w:iCs/>
                <w:sz w:val="20"/>
                <w:szCs w:val="20"/>
                <w:lang w:eastAsia="sk-SK"/>
              </w:rPr>
            </w:pPr>
            <w:r w:rsidRPr="00514598">
              <w:rPr>
                <w:b/>
                <w:bCs/>
                <w:iCs/>
                <w:sz w:val="20"/>
                <w:szCs w:val="20"/>
                <w:lang w:eastAsia="sk-SK"/>
              </w:rPr>
              <w:t>26 040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</w:tcPr>
          <w:p w:rsidR="00A07D5C" w:rsidRPr="00514598" w:rsidRDefault="00A07D5C" w:rsidP="00514598">
            <w:pPr>
              <w:spacing w:line="240" w:lineRule="auto"/>
              <w:jc w:val="right"/>
              <w:rPr>
                <w:b/>
                <w:bCs/>
                <w:iCs/>
                <w:sz w:val="20"/>
                <w:szCs w:val="20"/>
                <w:lang w:eastAsia="sk-SK"/>
              </w:rPr>
            </w:pPr>
            <w:r w:rsidRPr="00514598">
              <w:rPr>
                <w:b/>
                <w:bCs/>
                <w:iCs/>
                <w:sz w:val="20"/>
                <w:szCs w:val="20"/>
                <w:lang w:eastAsia="sk-SK"/>
              </w:rPr>
              <w:t>26 040</w:t>
            </w:r>
          </w:p>
        </w:tc>
        <w:tc>
          <w:tcPr>
            <w:tcW w:w="1603" w:type="dxa"/>
            <w:noWrap/>
            <w:vAlign w:val="center"/>
          </w:tcPr>
          <w:p w:rsidR="00A07D5C" w:rsidRPr="00514598" w:rsidRDefault="00A07D5C" w:rsidP="00514598">
            <w:pPr>
              <w:spacing w:line="240" w:lineRule="auto"/>
              <w:jc w:val="right"/>
              <w:rPr>
                <w:b/>
                <w:bCs/>
                <w:iCs/>
                <w:sz w:val="20"/>
                <w:szCs w:val="20"/>
                <w:lang w:eastAsia="sk-SK"/>
              </w:rPr>
            </w:pPr>
            <w:r w:rsidRPr="00514598">
              <w:rPr>
                <w:b/>
                <w:bCs/>
                <w:iCs/>
                <w:sz w:val="20"/>
                <w:szCs w:val="20"/>
                <w:lang w:eastAsia="sk-SK"/>
              </w:rPr>
              <w:t>26 040</w:t>
            </w:r>
          </w:p>
        </w:tc>
      </w:tr>
      <w:tr w:rsidR="006A4080" w:rsidRPr="004550C4" w:rsidTr="00D732AE">
        <w:trPr>
          <w:trHeight w:val="70"/>
          <w:jc w:val="center"/>
        </w:trPr>
        <w:tc>
          <w:tcPr>
            <w:tcW w:w="4444" w:type="dxa"/>
            <w:noWrap/>
            <w:vAlign w:val="center"/>
          </w:tcPr>
          <w:p w:rsidR="006A4080" w:rsidRPr="009A0FEC" w:rsidRDefault="006A4080" w:rsidP="006A4080">
            <w:pPr>
              <w:spacing w:line="240" w:lineRule="auto"/>
              <w:rPr>
                <w:b/>
                <w:bCs/>
                <w:i/>
                <w:iCs/>
                <w:szCs w:val="24"/>
                <w:lang w:eastAsia="sk-SK"/>
              </w:rPr>
            </w:pPr>
            <w:r w:rsidRPr="009A0FEC">
              <w:rPr>
                <w:b/>
                <w:bCs/>
                <w:i/>
                <w:iCs/>
                <w:szCs w:val="24"/>
                <w:lang w:eastAsia="sk-SK"/>
              </w:rPr>
              <w:t>- vplyv na obce</w:t>
            </w:r>
          </w:p>
        </w:tc>
        <w:tc>
          <w:tcPr>
            <w:tcW w:w="1400" w:type="dxa"/>
            <w:noWrap/>
            <w:vAlign w:val="center"/>
          </w:tcPr>
          <w:p w:rsidR="006A4080" w:rsidRPr="00514598" w:rsidRDefault="006A4080" w:rsidP="006A4080">
            <w:pPr>
              <w:spacing w:line="240" w:lineRule="auto"/>
              <w:jc w:val="right"/>
              <w:rPr>
                <w:b/>
                <w:bCs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noWrap/>
            <w:vAlign w:val="center"/>
          </w:tcPr>
          <w:p w:rsidR="006A4080" w:rsidRPr="00514598" w:rsidRDefault="006A4080" w:rsidP="006A4080">
            <w:pPr>
              <w:spacing w:line="240" w:lineRule="auto"/>
              <w:jc w:val="right"/>
              <w:rPr>
                <w:b/>
                <w:bCs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1422" w:type="dxa"/>
            <w:noWrap/>
            <w:vAlign w:val="center"/>
          </w:tcPr>
          <w:p w:rsidR="006A4080" w:rsidRPr="00514598" w:rsidRDefault="006A4080" w:rsidP="006A4080">
            <w:pPr>
              <w:spacing w:line="240" w:lineRule="auto"/>
              <w:jc w:val="right"/>
              <w:rPr>
                <w:b/>
                <w:bCs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1603" w:type="dxa"/>
            <w:noWrap/>
            <w:vAlign w:val="center"/>
          </w:tcPr>
          <w:p w:rsidR="006A4080" w:rsidRPr="00514598" w:rsidRDefault="006A4080" w:rsidP="006A4080">
            <w:pPr>
              <w:spacing w:line="240" w:lineRule="auto"/>
              <w:jc w:val="right"/>
              <w:rPr>
                <w:b/>
                <w:bCs/>
                <w:iCs/>
                <w:sz w:val="20"/>
                <w:szCs w:val="20"/>
                <w:lang w:eastAsia="sk-SK"/>
              </w:rPr>
            </w:pPr>
          </w:p>
        </w:tc>
      </w:tr>
      <w:tr w:rsidR="006A4080" w:rsidRPr="004550C4" w:rsidTr="00D732AE">
        <w:trPr>
          <w:trHeight w:val="70"/>
          <w:jc w:val="center"/>
        </w:trPr>
        <w:tc>
          <w:tcPr>
            <w:tcW w:w="4444" w:type="dxa"/>
            <w:noWrap/>
            <w:vAlign w:val="center"/>
          </w:tcPr>
          <w:p w:rsidR="006A4080" w:rsidRPr="004550C4" w:rsidRDefault="006A4080" w:rsidP="006A4080">
            <w:pPr>
              <w:spacing w:line="240" w:lineRule="auto"/>
              <w:rPr>
                <w:b/>
                <w:bCs/>
                <w:i/>
                <w:iCs/>
                <w:szCs w:val="24"/>
                <w:lang w:eastAsia="sk-SK"/>
              </w:rPr>
            </w:pPr>
            <w:r w:rsidRPr="004550C4">
              <w:rPr>
                <w:b/>
                <w:bCs/>
                <w:i/>
                <w:iCs/>
                <w:szCs w:val="24"/>
                <w:lang w:eastAsia="sk-SK"/>
              </w:rPr>
              <w:t>- vplyv na vyššie územné celky</w:t>
            </w:r>
          </w:p>
        </w:tc>
        <w:tc>
          <w:tcPr>
            <w:tcW w:w="1400" w:type="dxa"/>
            <w:noWrap/>
            <w:vAlign w:val="center"/>
          </w:tcPr>
          <w:p w:rsidR="006A4080" w:rsidRPr="00514598" w:rsidRDefault="006A4080" w:rsidP="006A4080">
            <w:pPr>
              <w:spacing w:line="240" w:lineRule="auto"/>
              <w:jc w:val="right"/>
              <w:rPr>
                <w:b/>
                <w:bCs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noWrap/>
            <w:vAlign w:val="center"/>
          </w:tcPr>
          <w:p w:rsidR="006A4080" w:rsidRPr="00514598" w:rsidRDefault="006A4080" w:rsidP="006A4080">
            <w:pPr>
              <w:spacing w:line="240" w:lineRule="auto"/>
              <w:jc w:val="right"/>
              <w:rPr>
                <w:b/>
                <w:bCs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1422" w:type="dxa"/>
            <w:noWrap/>
            <w:vAlign w:val="center"/>
          </w:tcPr>
          <w:p w:rsidR="006A4080" w:rsidRPr="00514598" w:rsidRDefault="006A4080" w:rsidP="006A4080">
            <w:pPr>
              <w:spacing w:line="240" w:lineRule="auto"/>
              <w:jc w:val="right"/>
              <w:rPr>
                <w:b/>
                <w:bCs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1603" w:type="dxa"/>
            <w:noWrap/>
            <w:vAlign w:val="center"/>
          </w:tcPr>
          <w:p w:rsidR="006A4080" w:rsidRPr="00514598" w:rsidRDefault="006A4080" w:rsidP="006A4080">
            <w:pPr>
              <w:spacing w:line="240" w:lineRule="auto"/>
              <w:jc w:val="right"/>
              <w:rPr>
                <w:b/>
                <w:bCs/>
                <w:iCs/>
                <w:sz w:val="20"/>
                <w:szCs w:val="20"/>
                <w:lang w:eastAsia="sk-SK"/>
              </w:rPr>
            </w:pPr>
          </w:p>
        </w:tc>
      </w:tr>
      <w:tr w:rsidR="006A4080" w:rsidRPr="004550C4" w:rsidTr="00D732AE">
        <w:trPr>
          <w:trHeight w:val="70"/>
          <w:jc w:val="center"/>
        </w:trPr>
        <w:tc>
          <w:tcPr>
            <w:tcW w:w="4444" w:type="dxa"/>
            <w:noWrap/>
            <w:vAlign w:val="center"/>
          </w:tcPr>
          <w:p w:rsidR="006A4080" w:rsidRPr="004550C4" w:rsidRDefault="006A4080" w:rsidP="006A4080">
            <w:pPr>
              <w:spacing w:line="240" w:lineRule="auto"/>
              <w:rPr>
                <w:b/>
                <w:bCs/>
                <w:szCs w:val="24"/>
                <w:lang w:eastAsia="sk-SK"/>
              </w:rPr>
            </w:pPr>
            <w:r w:rsidRPr="004550C4">
              <w:rPr>
                <w:b/>
                <w:bCs/>
                <w:i/>
                <w:iCs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400" w:type="dxa"/>
            <w:noWrap/>
            <w:vAlign w:val="center"/>
          </w:tcPr>
          <w:p w:rsidR="006A4080" w:rsidRPr="00514598" w:rsidRDefault="006A4080" w:rsidP="006A4080">
            <w:pPr>
              <w:spacing w:line="240" w:lineRule="auto"/>
              <w:jc w:val="right"/>
              <w:rPr>
                <w:b/>
                <w:bCs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noWrap/>
            <w:vAlign w:val="center"/>
          </w:tcPr>
          <w:p w:rsidR="006A4080" w:rsidRPr="00514598" w:rsidRDefault="006A4080" w:rsidP="006A4080">
            <w:pPr>
              <w:spacing w:line="240" w:lineRule="auto"/>
              <w:jc w:val="right"/>
              <w:rPr>
                <w:b/>
                <w:bCs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1422" w:type="dxa"/>
            <w:noWrap/>
            <w:vAlign w:val="center"/>
          </w:tcPr>
          <w:p w:rsidR="006A4080" w:rsidRPr="00514598" w:rsidRDefault="006A4080" w:rsidP="006A4080">
            <w:pPr>
              <w:spacing w:line="240" w:lineRule="auto"/>
              <w:jc w:val="right"/>
              <w:rPr>
                <w:b/>
                <w:bCs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1603" w:type="dxa"/>
            <w:noWrap/>
            <w:vAlign w:val="center"/>
          </w:tcPr>
          <w:p w:rsidR="006A4080" w:rsidRPr="00514598" w:rsidRDefault="006A4080" w:rsidP="006A4080">
            <w:pPr>
              <w:spacing w:line="240" w:lineRule="auto"/>
              <w:jc w:val="right"/>
              <w:rPr>
                <w:b/>
                <w:bCs/>
                <w:iCs/>
                <w:sz w:val="20"/>
                <w:szCs w:val="20"/>
                <w:lang w:eastAsia="sk-SK"/>
              </w:rPr>
            </w:pPr>
          </w:p>
        </w:tc>
      </w:tr>
      <w:tr w:rsidR="00054F62" w:rsidRPr="004550C4" w:rsidTr="00054F62">
        <w:trPr>
          <w:trHeight w:val="70"/>
          <w:jc w:val="center"/>
        </w:trPr>
        <w:tc>
          <w:tcPr>
            <w:tcW w:w="4444" w:type="dxa"/>
            <w:shd w:val="clear" w:color="auto" w:fill="C0C0C0"/>
            <w:noWrap/>
            <w:vAlign w:val="center"/>
          </w:tcPr>
          <w:p w:rsidR="00054F62" w:rsidRPr="004F3D65" w:rsidRDefault="00054F62" w:rsidP="00054F62">
            <w:pPr>
              <w:spacing w:line="240" w:lineRule="auto"/>
              <w:rPr>
                <w:b/>
                <w:bCs/>
                <w:szCs w:val="24"/>
                <w:lang w:eastAsia="sk-SK"/>
              </w:rPr>
            </w:pPr>
            <w:r w:rsidRPr="004F3D65">
              <w:rPr>
                <w:b/>
                <w:bCs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400" w:type="dxa"/>
            <w:shd w:val="clear" w:color="auto" w:fill="C0C0C0"/>
            <w:noWrap/>
          </w:tcPr>
          <w:p w:rsidR="00054F62" w:rsidRPr="00514598" w:rsidRDefault="00054F62" w:rsidP="00054F62">
            <w:pPr>
              <w:spacing w:line="240" w:lineRule="auto"/>
              <w:jc w:val="right"/>
              <w:rPr>
                <w:b/>
                <w:sz w:val="20"/>
                <w:szCs w:val="20"/>
                <w:lang w:eastAsia="sk-SK"/>
              </w:rPr>
            </w:pPr>
            <w:r w:rsidRPr="00514598">
              <w:rPr>
                <w:sz w:val="20"/>
                <w:szCs w:val="20"/>
              </w:rPr>
              <w:t>46 039</w:t>
            </w:r>
          </w:p>
        </w:tc>
        <w:tc>
          <w:tcPr>
            <w:tcW w:w="1560" w:type="dxa"/>
            <w:shd w:val="clear" w:color="auto" w:fill="C0C0C0"/>
            <w:noWrap/>
          </w:tcPr>
          <w:p w:rsidR="00054F62" w:rsidRPr="00514598" w:rsidRDefault="00054F62" w:rsidP="00054F62">
            <w:pPr>
              <w:spacing w:line="240" w:lineRule="auto"/>
              <w:jc w:val="right"/>
              <w:rPr>
                <w:b/>
                <w:bCs/>
                <w:iCs/>
                <w:sz w:val="20"/>
                <w:szCs w:val="20"/>
                <w:lang w:eastAsia="sk-SK"/>
              </w:rPr>
            </w:pPr>
            <w:r w:rsidRPr="00514598">
              <w:rPr>
                <w:sz w:val="20"/>
                <w:szCs w:val="20"/>
              </w:rPr>
              <w:t>1 318 312, 11</w:t>
            </w:r>
          </w:p>
        </w:tc>
        <w:tc>
          <w:tcPr>
            <w:tcW w:w="1422" w:type="dxa"/>
            <w:shd w:val="clear" w:color="auto" w:fill="C0C0C0"/>
            <w:noWrap/>
          </w:tcPr>
          <w:p w:rsidR="00054F62" w:rsidRPr="00514598" w:rsidRDefault="00054F62" w:rsidP="00054F62">
            <w:pPr>
              <w:spacing w:line="240" w:lineRule="auto"/>
              <w:jc w:val="right"/>
              <w:rPr>
                <w:b/>
                <w:bCs/>
                <w:iCs/>
                <w:sz w:val="20"/>
                <w:szCs w:val="20"/>
                <w:lang w:eastAsia="sk-SK"/>
              </w:rPr>
            </w:pPr>
            <w:r w:rsidRPr="00514598">
              <w:rPr>
                <w:sz w:val="20"/>
                <w:szCs w:val="20"/>
              </w:rPr>
              <w:t>1 303 589, 07</w:t>
            </w:r>
          </w:p>
        </w:tc>
        <w:tc>
          <w:tcPr>
            <w:tcW w:w="1603" w:type="dxa"/>
            <w:shd w:val="clear" w:color="auto" w:fill="C0C0C0"/>
            <w:noWrap/>
          </w:tcPr>
          <w:p w:rsidR="00054F62" w:rsidRPr="00514598" w:rsidRDefault="00054F62" w:rsidP="00054F62">
            <w:pPr>
              <w:spacing w:line="240" w:lineRule="auto"/>
              <w:jc w:val="right"/>
              <w:rPr>
                <w:b/>
                <w:bCs/>
                <w:iCs/>
                <w:sz w:val="20"/>
                <w:szCs w:val="20"/>
                <w:lang w:eastAsia="sk-SK"/>
              </w:rPr>
            </w:pPr>
            <w:r w:rsidRPr="00514598">
              <w:rPr>
                <w:sz w:val="20"/>
                <w:szCs w:val="20"/>
              </w:rPr>
              <w:t>1 324 446, 50</w:t>
            </w:r>
          </w:p>
        </w:tc>
      </w:tr>
      <w:tr w:rsidR="006A4080" w:rsidRPr="004550C4" w:rsidTr="00E30A89">
        <w:trPr>
          <w:trHeight w:val="70"/>
          <w:jc w:val="center"/>
        </w:trPr>
        <w:tc>
          <w:tcPr>
            <w:tcW w:w="4444" w:type="dxa"/>
            <w:noWrap/>
            <w:vAlign w:val="center"/>
          </w:tcPr>
          <w:p w:rsidR="006A4080" w:rsidRPr="004F3D65" w:rsidRDefault="006A4080" w:rsidP="006A4080">
            <w:pPr>
              <w:spacing w:line="240" w:lineRule="auto"/>
              <w:rPr>
                <w:szCs w:val="24"/>
                <w:lang w:eastAsia="sk-SK"/>
              </w:rPr>
            </w:pPr>
            <w:r w:rsidRPr="004F3D65">
              <w:rPr>
                <w:szCs w:val="24"/>
                <w:lang w:eastAsia="sk-SK"/>
              </w:rPr>
              <w:t>v tom: MPSVR SR</w:t>
            </w:r>
          </w:p>
        </w:tc>
        <w:tc>
          <w:tcPr>
            <w:tcW w:w="1400" w:type="dxa"/>
            <w:noWrap/>
          </w:tcPr>
          <w:p w:rsidR="006A4080" w:rsidRPr="00514598" w:rsidRDefault="006A4080" w:rsidP="006A4080">
            <w:pPr>
              <w:jc w:val="right"/>
              <w:rPr>
                <w:sz w:val="20"/>
                <w:szCs w:val="20"/>
              </w:rPr>
            </w:pPr>
            <w:r w:rsidRPr="00514598">
              <w:rPr>
                <w:sz w:val="20"/>
                <w:szCs w:val="20"/>
              </w:rPr>
              <w:t>46 039</w:t>
            </w:r>
          </w:p>
        </w:tc>
        <w:tc>
          <w:tcPr>
            <w:tcW w:w="1560" w:type="dxa"/>
            <w:noWrap/>
          </w:tcPr>
          <w:p w:rsidR="006A4080" w:rsidRPr="00514598" w:rsidRDefault="006A4080" w:rsidP="006A4080">
            <w:pPr>
              <w:jc w:val="right"/>
              <w:rPr>
                <w:sz w:val="20"/>
                <w:szCs w:val="20"/>
              </w:rPr>
            </w:pPr>
            <w:r w:rsidRPr="00514598">
              <w:rPr>
                <w:sz w:val="20"/>
                <w:szCs w:val="20"/>
              </w:rPr>
              <w:t>35 252</w:t>
            </w:r>
          </w:p>
        </w:tc>
        <w:tc>
          <w:tcPr>
            <w:tcW w:w="1422" w:type="dxa"/>
            <w:noWrap/>
            <w:vAlign w:val="center"/>
          </w:tcPr>
          <w:p w:rsidR="006A4080" w:rsidRPr="00514598" w:rsidRDefault="006A4080" w:rsidP="006A4080">
            <w:pPr>
              <w:spacing w:line="240" w:lineRule="auto"/>
              <w:jc w:val="right"/>
              <w:rPr>
                <w:sz w:val="20"/>
                <w:szCs w:val="20"/>
                <w:lang w:eastAsia="sk-SK"/>
              </w:rPr>
            </w:pPr>
            <w:r w:rsidRPr="00514598">
              <w:rPr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03" w:type="dxa"/>
            <w:noWrap/>
            <w:vAlign w:val="center"/>
          </w:tcPr>
          <w:p w:rsidR="006A4080" w:rsidRPr="00514598" w:rsidRDefault="006A4080" w:rsidP="006A4080">
            <w:pPr>
              <w:spacing w:line="240" w:lineRule="auto"/>
              <w:jc w:val="right"/>
              <w:rPr>
                <w:sz w:val="20"/>
                <w:szCs w:val="20"/>
                <w:lang w:eastAsia="sk-SK"/>
              </w:rPr>
            </w:pPr>
            <w:r w:rsidRPr="00514598">
              <w:rPr>
                <w:sz w:val="20"/>
                <w:szCs w:val="20"/>
                <w:lang w:eastAsia="sk-SK"/>
              </w:rPr>
              <w:t>0</w:t>
            </w:r>
          </w:p>
        </w:tc>
      </w:tr>
      <w:tr w:rsidR="00BC4A81" w:rsidRPr="004550C4" w:rsidTr="00BC4A81">
        <w:trPr>
          <w:trHeight w:val="70"/>
          <w:jc w:val="center"/>
        </w:trPr>
        <w:tc>
          <w:tcPr>
            <w:tcW w:w="4444" w:type="dxa"/>
            <w:noWrap/>
            <w:vAlign w:val="center"/>
          </w:tcPr>
          <w:p w:rsidR="00BC4A81" w:rsidRPr="004F3D65" w:rsidRDefault="00BC4A81" w:rsidP="00BC4A81">
            <w:pPr>
              <w:spacing w:line="240" w:lineRule="auto"/>
              <w:rPr>
                <w:szCs w:val="24"/>
                <w:lang w:eastAsia="sk-SK"/>
              </w:rPr>
            </w:pPr>
            <w:r>
              <w:rPr>
                <w:szCs w:val="24"/>
                <w:lang w:eastAsia="sk-SK"/>
              </w:rPr>
              <w:t>v tom: MH Invest, s.r.o.</w:t>
            </w:r>
          </w:p>
        </w:tc>
        <w:tc>
          <w:tcPr>
            <w:tcW w:w="1400" w:type="dxa"/>
            <w:noWrap/>
          </w:tcPr>
          <w:p w:rsidR="00BC4A81" w:rsidRPr="00514598" w:rsidRDefault="00BC4A81" w:rsidP="00BC4A8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noWrap/>
          </w:tcPr>
          <w:p w:rsidR="00BC4A81" w:rsidRPr="00514598" w:rsidRDefault="00BC4A81" w:rsidP="00BC4A81">
            <w:pPr>
              <w:jc w:val="right"/>
              <w:rPr>
                <w:sz w:val="20"/>
                <w:szCs w:val="20"/>
              </w:rPr>
            </w:pPr>
            <w:r w:rsidRPr="00514598">
              <w:rPr>
                <w:bCs/>
                <w:iCs/>
                <w:sz w:val="20"/>
                <w:szCs w:val="20"/>
                <w:lang w:eastAsia="sk-SK"/>
              </w:rPr>
              <w:t>1 283 060, 11</w:t>
            </w:r>
          </w:p>
        </w:tc>
        <w:tc>
          <w:tcPr>
            <w:tcW w:w="1422" w:type="dxa"/>
            <w:noWrap/>
            <w:vAlign w:val="center"/>
          </w:tcPr>
          <w:p w:rsidR="00BC4A81" w:rsidRPr="00514598" w:rsidRDefault="00BC4A81" w:rsidP="00BC4A81">
            <w:pPr>
              <w:spacing w:line="240" w:lineRule="auto"/>
              <w:jc w:val="right"/>
              <w:rPr>
                <w:sz w:val="20"/>
                <w:szCs w:val="20"/>
                <w:lang w:eastAsia="sk-SK"/>
              </w:rPr>
            </w:pPr>
            <w:r w:rsidRPr="00514598">
              <w:rPr>
                <w:bCs/>
                <w:iCs/>
                <w:sz w:val="20"/>
                <w:szCs w:val="20"/>
                <w:lang w:eastAsia="sk-SK"/>
              </w:rPr>
              <w:t>1 303 589, 07</w:t>
            </w:r>
          </w:p>
        </w:tc>
        <w:tc>
          <w:tcPr>
            <w:tcW w:w="1603" w:type="dxa"/>
            <w:noWrap/>
            <w:vAlign w:val="center"/>
          </w:tcPr>
          <w:p w:rsidR="00BC4A81" w:rsidRPr="00514598" w:rsidRDefault="00BC4A81" w:rsidP="00BC4A81">
            <w:pPr>
              <w:spacing w:line="240" w:lineRule="auto"/>
              <w:jc w:val="right"/>
              <w:rPr>
                <w:sz w:val="20"/>
                <w:szCs w:val="20"/>
                <w:lang w:eastAsia="sk-SK"/>
              </w:rPr>
            </w:pPr>
            <w:r w:rsidRPr="00514598">
              <w:rPr>
                <w:bCs/>
                <w:iCs/>
                <w:sz w:val="20"/>
                <w:szCs w:val="20"/>
                <w:lang w:eastAsia="sk-SK"/>
              </w:rPr>
              <w:t>1 324 446, 50</w:t>
            </w:r>
          </w:p>
        </w:tc>
      </w:tr>
      <w:tr w:rsidR="00BC4A81" w:rsidRPr="004550C4" w:rsidTr="00D732AE">
        <w:trPr>
          <w:trHeight w:val="70"/>
          <w:jc w:val="center"/>
        </w:trPr>
        <w:tc>
          <w:tcPr>
            <w:tcW w:w="4444" w:type="dxa"/>
            <w:shd w:val="clear" w:color="auto" w:fill="BFBFBF" w:themeFill="background1" w:themeFillShade="BF"/>
            <w:noWrap/>
            <w:vAlign w:val="center"/>
          </w:tcPr>
          <w:p w:rsidR="00BC4A81" w:rsidRPr="004550C4" w:rsidRDefault="00BC4A81" w:rsidP="00BC4A81">
            <w:pPr>
              <w:spacing w:line="240" w:lineRule="auto"/>
              <w:rPr>
                <w:b/>
                <w:szCs w:val="24"/>
                <w:lang w:eastAsia="sk-SK"/>
              </w:rPr>
            </w:pPr>
            <w:r w:rsidRPr="004550C4">
              <w:rPr>
                <w:b/>
                <w:szCs w:val="24"/>
                <w:lang w:eastAsia="sk-SK"/>
              </w:rPr>
              <w:t>Iné ako rozpočtové zdroje</w:t>
            </w:r>
            <w:r w:rsidRPr="004550C4">
              <w:rPr>
                <w:szCs w:val="24"/>
                <w:lang w:eastAsia="sk-SK"/>
              </w:rPr>
              <w:t xml:space="preserve">      </w:t>
            </w:r>
          </w:p>
        </w:tc>
        <w:tc>
          <w:tcPr>
            <w:tcW w:w="1400" w:type="dxa"/>
            <w:shd w:val="clear" w:color="auto" w:fill="BFBFBF" w:themeFill="background1" w:themeFillShade="BF"/>
            <w:noWrap/>
            <w:vAlign w:val="center"/>
          </w:tcPr>
          <w:p w:rsidR="00BC4A81" w:rsidRPr="00514598" w:rsidRDefault="00BC4A81" w:rsidP="00BC4A81">
            <w:pPr>
              <w:spacing w:line="240" w:lineRule="auto"/>
              <w:jc w:val="right"/>
              <w:rPr>
                <w:b/>
                <w:bCs/>
                <w:sz w:val="20"/>
                <w:szCs w:val="20"/>
                <w:lang w:eastAsia="sk-SK"/>
              </w:rPr>
            </w:pPr>
            <w:r w:rsidRPr="00514598">
              <w:rPr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60" w:type="dxa"/>
            <w:shd w:val="clear" w:color="auto" w:fill="BFBFBF" w:themeFill="background1" w:themeFillShade="BF"/>
            <w:noWrap/>
            <w:vAlign w:val="center"/>
          </w:tcPr>
          <w:p w:rsidR="00BC4A81" w:rsidRPr="00514598" w:rsidRDefault="00BC4A81" w:rsidP="00BC4A81">
            <w:pPr>
              <w:spacing w:line="240" w:lineRule="auto"/>
              <w:jc w:val="right"/>
              <w:rPr>
                <w:b/>
                <w:bCs/>
                <w:sz w:val="20"/>
                <w:szCs w:val="20"/>
                <w:lang w:eastAsia="sk-SK"/>
              </w:rPr>
            </w:pPr>
            <w:r w:rsidRPr="00514598">
              <w:rPr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22" w:type="dxa"/>
            <w:shd w:val="clear" w:color="auto" w:fill="BFBFBF" w:themeFill="background1" w:themeFillShade="BF"/>
            <w:noWrap/>
            <w:vAlign w:val="center"/>
          </w:tcPr>
          <w:p w:rsidR="00BC4A81" w:rsidRPr="00514598" w:rsidRDefault="00BC4A81" w:rsidP="00BC4A81">
            <w:pPr>
              <w:spacing w:line="240" w:lineRule="auto"/>
              <w:jc w:val="right"/>
              <w:rPr>
                <w:b/>
                <w:bCs/>
                <w:sz w:val="20"/>
                <w:szCs w:val="20"/>
                <w:lang w:eastAsia="sk-SK"/>
              </w:rPr>
            </w:pPr>
            <w:r w:rsidRPr="00514598">
              <w:rPr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03" w:type="dxa"/>
            <w:shd w:val="clear" w:color="auto" w:fill="BFBFBF" w:themeFill="background1" w:themeFillShade="BF"/>
            <w:noWrap/>
            <w:vAlign w:val="center"/>
          </w:tcPr>
          <w:p w:rsidR="00BC4A81" w:rsidRPr="00514598" w:rsidRDefault="00BC4A81" w:rsidP="00BC4A81">
            <w:pPr>
              <w:spacing w:line="240" w:lineRule="auto"/>
              <w:jc w:val="right"/>
              <w:rPr>
                <w:b/>
                <w:bCs/>
                <w:sz w:val="20"/>
                <w:szCs w:val="20"/>
                <w:lang w:eastAsia="sk-SK"/>
              </w:rPr>
            </w:pPr>
            <w:r w:rsidRPr="00514598">
              <w:rPr>
                <w:bCs/>
                <w:iCs/>
                <w:sz w:val="20"/>
                <w:szCs w:val="20"/>
                <w:lang w:eastAsia="sk-SK"/>
              </w:rPr>
              <w:t>0</w:t>
            </w:r>
          </w:p>
        </w:tc>
      </w:tr>
      <w:tr w:rsidR="00BC4A81" w:rsidRPr="004550C4" w:rsidTr="00D732AE">
        <w:trPr>
          <w:trHeight w:val="360"/>
          <w:jc w:val="center"/>
        </w:trPr>
        <w:tc>
          <w:tcPr>
            <w:tcW w:w="4444" w:type="dxa"/>
            <w:shd w:val="clear" w:color="auto" w:fill="A6A6A6" w:themeFill="background1" w:themeFillShade="A6"/>
            <w:noWrap/>
            <w:vAlign w:val="center"/>
          </w:tcPr>
          <w:p w:rsidR="00BC4A81" w:rsidRPr="004550C4" w:rsidRDefault="00BC4A81" w:rsidP="00BC4A81">
            <w:pPr>
              <w:spacing w:line="240" w:lineRule="auto"/>
              <w:rPr>
                <w:b/>
                <w:bCs/>
                <w:szCs w:val="24"/>
                <w:lang w:eastAsia="sk-SK"/>
              </w:rPr>
            </w:pPr>
            <w:r w:rsidRPr="004550C4">
              <w:rPr>
                <w:b/>
                <w:bCs/>
                <w:szCs w:val="24"/>
                <w:lang w:eastAsia="sk-SK"/>
              </w:rPr>
              <w:t>Rozpočtovo nekrytý vplyv / úspora</w:t>
            </w:r>
            <w:r>
              <w:rPr>
                <w:b/>
                <w:bCs/>
                <w:szCs w:val="24"/>
                <w:lang w:eastAsia="sk-SK"/>
              </w:rPr>
              <w:t xml:space="preserve"> –</w:t>
            </w:r>
          </w:p>
        </w:tc>
        <w:tc>
          <w:tcPr>
            <w:tcW w:w="1400" w:type="dxa"/>
            <w:shd w:val="clear" w:color="auto" w:fill="A6A6A6" w:themeFill="background1" w:themeFillShade="A6"/>
            <w:noWrap/>
            <w:vAlign w:val="center"/>
          </w:tcPr>
          <w:p w:rsidR="00BC4A81" w:rsidRPr="00514598" w:rsidRDefault="001E56BF" w:rsidP="00BC4A81">
            <w:pPr>
              <w:spacing w:line="240" w:lineRule="auto"/>
              <w:jc w:val="right"/>
              <w:rPr>
                <w:b/>
                <w:bCs/>
                <w:sz w:val="20"/>
                <w:szCs w:val="20"/>
                <w:lang w:eastAsia="sk-SK"/>
              </w:rPr>
            </w:pPr>
            <w:r w:rsidRPr="00514598">
              <w:rPr>
                <w:bCs/>
                <w:iCs/>
                <w:sz w:val="20"/>
                <w:szCs w:val="20"/>
                <w:lang w:eastAsia="sk-SK"/>
              </w:rPr>
              <w:t>8 785,25</w:t>
            </w:r>
          </w:p>
        </w:tc>
        <w:tc>
          <w:tcPr>
            <w:tcW w:w="1560" w:type="dxa"/>
            <w:shd w:val="clear" w:color="auto" w:fill="A6A6A6" w:themeFill="background1" w:themeFillShade="A6"/>
            <w:noWrap/>
            <w:vAlign w:val="center"/>
          </w:tcPr>
          <w:p w:rsidR="00BC4A81" w:rsidRPr="00514598" w:rsidRDefault="001E56BF" w:rsidP="00BC4A81">
            <w:pPr>
              <w:spacing w:line="240" w:lineRule="auto"/>
              <w:jc w:val="right"/>
              <w:rPr>
                <w:b/>
                <w:bCs/>
                <w:sz w:val="20"/>
                <w:szCs w:val="20"/>
                <w:lang w:eastAsia="sk-SK"/>
              </w:rPr>
            </w:pPr>
            <w:r w:rsidRPr="00514598">
              <w:rPr>
                <w:bCs/>
                <w:iCs/>
                <w:sz w:val="20"/>
                <w:szCs w:val="20"/>
                <w:lang w:eastAsia="sk-SK"/>
              </w:rPr>
              <w:t>35 141</w:t>
            </w:r>
          </w:p>
        </w:tc>
        <w:tc>
          <w:tcPr>
            <w:tcW w:w="1422" w:type="dxa"/>
            <w:shd w:val="clear" w:color="auto" w:fill="A6A6A6" w:themeFill="background1" w:themeFillShade="A6"/>
            <w:noWrap/>
            <w:vAlign w:val="center"/>
          </w:tcPr>
          <w:p w:rsidR="00BC4A81" w:rsidRPr="00514598" w:rsidRDefault="001E56BF" w:rsidP="00BC4A81">
            <w:pPr>
              <w:spacing w:line="240" w:lineRule="auto"/>
              <w:jc w:val="right"/>
              <w:rPr>
                <w:b/>
                <w:bCs/>
                <w:sz w:val="20"/>
                <w:szCs w:val="20"/>
                <w:lang w:eastAsia="sk-SK"/>
              </w:rPr>
            </w:pPr>
            <w:r w:rsidRPr="00514598">
              <w:rPr>
                <w:bCs/>
                <w:iCs/>
                <w:sz w:val="20"/>
                <w:szCs w:val="20"/>
                <w:lang w:eastAsia="sk-SK"/>
              </w:rPr>
              <w:t>35 141</w:t>
            </w:r>
          </w:p>
        </w:tc>
        <w:tc>
          <w:tcPr>
            <w:tcW w:w="1603" w:type="dxa"/>
            <w:shd w:val="clear" w:color="auto" w:fill="A6A6A6" w:themeFill="background1" w:themeFillShade="A6"/>
            <w:noWrap/>
            <w:vAlign w:val="center"/>
          </w:tcPr>
          <w:p w:rsidR="00BC4A81" w:rsidRPr="00514598" w:rsidRDefault="001E56BF" w:rsidP="00BC4A81">
            <w:pPr>
              <w:spacing w:line="240" w:lineRule="auto"/>
              <w:jc w:val="right"/>
              <w:rPr>
                <w:b/>
                <w:bCs/>
                <w:sz w:val="20"/>
                <w:szCs w:val="20"/>
                <w:lang w:eastAsia="sk-SK"/>
              </w:rPr>
            </w:pPr>
            <w:r w:rsidRPr="00514598">
              <w:rPr>
                <w:bCs/>
                <w:iCs/>
                <w:sz w:val="20"/>
                <w:szCs w:val="20"/>
                <w:lang w:eastAsia="sk-SK"/>
              </w:rPr>
              <w:t>35 141</w:t>
            </w:r>
          </w:p>
        </w:tc>
      </w:tr>
      <w:tr w:rsidR="001E56BF" w:rsidRPr="004550C4" w:rsidTr="00D732AE">
        <w:trPr>
          <w:trHeight w:val="360"/>
          <w:jc w:val="center"/>
        </w:trPr>
        <w:tc>
          <w:tcPr>
            <w:tcW w:w="4444" w:type="dxa"/>
            <w:shd w:val="clear" w:color="auto" w:fill="A6A6A6" w:themeFill="background1" w:themeFillShade="A6"/>
            <w:noWrap/>
            <w:vAlign w:val="center"/>
          </w:tcPr>
          <w:p w:rsidR="001E56BF" w:rsidRPr="004550C4" w:rsidRDefault="001E56BF" w:rsidP="001E56BF">
            <w:pPr>
              <w:spacing w:line="240" w:lineRule="auto"/>
              <w:rPr>
                <w:b/>
                <w:bCs/>
                <w:szCs w:val="24"/>
                <w:lang w:eastAsia="sk-SK"/>
              </w:rPr>
            </w:pPr>
            <w:r>
              <w:rPr>
                <w:b/>
                <w:bCs/>
                <w:szCs w:val="24"/>
                <w:lang w:eastAsia="sk-SK"/>
              </w:rPr>
              <w:t>v tom MZVaEZ SR</w:t>
            </w:r>
          </w:p>
        </w:tc>
        <w:tc>
          <w:tcPr>
            <w:tcW w:w="1400" w:type="dxa"/>
            <w:shd w:val="clear" w:color="auto" w:fill="A6A6A6" w:themeFill="background1" w:themeFillShade="A6"/>
            <w:noWrap/>
            <w:vAlign w:val="center"/>
          </w:tcPr>
          <w:p w:rsidR="001E56BF" w:rsidRPr="00514598" w:rsidRDefault="001E56BF" w:rsidP="001E56BF">
            <w:pPr>
              <w:spacing w:line="240" w:lineRule="auto"/>
              <w:jc w:val="right"/>
              <w:rPr>
                <w:b/>
                <w:bCs/>
                <w:sz w:val="20"/>
                <w:szCs w:val="20"/>
                <w:lang w:eastAsia="sk-SK"/>
              </w:rPr>
            </w:pPr>
            <w:r w:rsidRPr="00514598">
              <w:rPr>
                <w:bCs/>
                <w:iCs/>
                <w:sz w:val="20"/>
                <w:szCs w:val="20"/>
                <w:lang w:eastAsia="sk-SK"/>
              </w:rPr>
              <w:t>8 785,25</w:t>
            </w:r>
          </w:p>
        </w:tc>
        <w:tc>
          <w:tcPr>
            <w:tcW w:w="1560" w:type="dxa"/>
            <w:shd w:val="clear" w:color="auto" w:fill="A6A6A6" w:themeFill="background1" w:themeFillShade="A6"/>
            <w:noWrap/>
            <w:vAlign w:val="center"/>
          </w:tcPr>
          <w:p w:rsidR="001E56BF" w:rsidRPr="00514598" w:rsidRDefault="001E56BF" w:rsidP="001E56BF">
            <w:pPr>
              <w:spacing w:line="240" w:lineRule="auto"/>
              <w:jc w:val="right"/>
              <w:rPr>
                <w:b/>
                <w:bCs/>
                <w:sz w:val="20"/>
                <w:szCs w:val="20"/>
                <w:lang w:eastAsia="sk-SK"/>
              </w:rPr>
            </w:pPr>
            <w:r w:rsidRPr="00514598">
              <w:rPr>
                <w:bCs/>
                <w:iCs/>
                <w:sz w:val="20"/>
                <w:szCs w:val="20"/>
                <w:lang w:eastAsia="sk-SK"/>
              </w:rPr>
              <w:t>35 141</w:t>
            </w:r>
          </w:p>
        </w:tc>
        <w:tc>
          <w:tcPr>
            <w:tcW w:w="1422" w:type="dxa"/>
            <w:shd w:val="clear" w:color="auto" w:fill="A6A6A6" w:themeFill="background1" w:themeFillShade="A6"/>
            <w:noWrap/>
            <w:vAlign w:val="center"/>
          </w:tcPr>
          <w:p w:rsidR="001E56BF" w:rsidRPr="00514598" w:rsidRDefault="001E56BF" w:rsidP="001E56BF">
            <w:pPr>
              <w:spacing w:line="240" w:lineRule="auto"/>
              <w:jc w:val="right"/>
              <w:rPr>
                <w:b/>
                <w:bCs/>
                <w:sz w:val="20"/>
                <w:szCs w:val="20"/>
                <w:lang w:eastAsia="sk-SK"/>
              </w:rPr>
            </w:pPr>
            <w:r w:rsidRPr="00514598">
              <w:rPr>
                <w:bCs/>
                <w:iCs/>
                <w:sz w:val="20"/>
                <w:szCs w:val="20"/>
                <w:lang w:eastAsia="sk-SK"/>
              </w:rPr>
              <w:t>35 141</w:t>
            </w:r>
          </w:p>
        </w:tc>
        <w:tc>
          <w:tcPr>
            <w:tcW w:w="1603" w:type="dxa"/>
            <w:shd w:val="clear" w:color="auto" w:fill="A6A6A6" w:themeFill="background1" w:themeFillShade="A6"/>
            <w:noWrap/>
            <w:vAlign w:val="center"/>
          </w:tcPr>
          <w:p w:rsidR="001E56BF" w:rsidRPr="00514598" w:rsidRDefault="001E56BF" w:rsidP="001E56BF">
            <w:pPr>
              <w:spacing w:line="240" w:lineRule="auto"/>
              <w:jc w:val="right"/>
              <w:rPr>
                <w:b/>
                <w:bCs/>
                <w:sz w:val="20"/>
                <w:szCs w:val="20"/>
                <w:lang w:eastAsia="sk-SK"/>
              </w:rPr>
            </w:pPr>
            <w:r w:rsidRPr="00514598">
              <w:rPr>
                <w:bCs/>
                <w:iCs/>
                <w:sz w:val="20"/>
                <w:szCs w:val="20"/>
                <w:lang w:eastAsia="sk-SK"/>
              </w:rPr>
              <w:t>35 141</w:t>
            </w:r>
          </w:p>
        </w:tc>
      </w:tr>
      <w:bookmarkEnd w:id="1"/>
    </w:tbl>
    <w:p w:rsidR="00FC165A" w:rsidRPr="004550C4" w:rsidRDefault="00FC165A" w:rsidP="00FC165A">
      <w:pPr>
        <w:spacing w:line="240" w:lineRule="auto"/>
        <w:jc w:val="both"/>
        <w:rPr>
          <w:b/>
          <w:bCs/>
          <w:szCs w:val="24"/>
          <w:lang w:eastAsia="sk-SK"/>
        </w:rPr>
      </w:pPr>
    </w:p>
    <w:p w:rsidR="00FC165A" w:rsidRDefault="00FC165A" w:rsidP="00FC165A">
      <w:pPr>
        <w:spacing w:line="240" w:lineRule="auto"/>
        <w:jc w:val="both"/>
        <w:rPr>
          <w:b/>
          <w:bCs/>
          <w:szCs w:val="24"/>
          <w:lang w:eastAsia="sk-SK"/>
        </w:rPr>
      </w:pPr>
      <w:r w:rsidRPr="004550C4">
        <w:rPr>
          <w:b/>
          <w:bCs/>
          <w:szCs w:val="24"/>
          <w:lang w:eastAsia="sk-SK"/>
        </w:rPr>
        <w:lastRenderedPageBreak/>
        <w:t>2.1.1. Financovanie návrhu - Návrh na riešenie úbytku príjmov alebo zvýšených výdavkov podľa § 33 ods. 1 zákona č. 523/2004 Z. z. o rozpočtových pravidlách verejnej správy:</w:t>
      </w:r>
    </w:p>
    <w:p w:rsidR="00FC165A" w:rsidRDefault="00FC165A" w:rsidP="00FC165A">
      <w:pPr>
        <w:spacing w:line="240" w:lineRule="auto"/>
        <w:jc w:val="both"/>
        <w:rPr>
          <w:b/>
          <w:bCs/>
          <w:szCs w:val="24"/>
          <w:lang w:eastAsia="sk-SK"/>
        </w:rPr>
      </w:pPr>
    </w:p>
    <w:p w:rsidR="00296D03" w:rsidRDefault="004A2C7D" w:rsidP="00C71670">
      <w:pPr>
        <w:pStyle w:val="Normlnyweb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r>
        <w:rPr>
          <w:bCs/>
        </w:rPr>
        <w:t>Predmetným návrhom sa nezvyšuje celková suma výdavkov na podporu ELA počas prvých 10 rokov jej fungovania na Slovensku, ktorá bola schválená v sume 18,4 mil. eur</w:t>
      </w:r>
      <w:r w:rsidR="00296D03">
        <w:rPr>
          <w:color w:val="000000"/>
        </w:rPr>
        <w:t xml:space="preserve"> </w:t>
      </w:r>
      <w:r>
        <w:rPr>
          <w:color w:val="000000"/>
        </w:rPr>
        <w:t xml:space="preserve">(záväzok vlády SR). </w:t>
      </w:r>
    </w:p>
    <w:p w:rsidR="00457D53" w:rsidRDefault="00457D53" w:rsidP="00C71670">
      <w:pPr>
        <w:pStyle w:val="Normlnyweb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</w:p>
    <w:p w:rsidR="00457D53" w:rsidRDefault="00457D53" w:rsidP="00C71670">
      <w:pPr>
        <w:pStyle w:val="Normlnyweb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r>
        <w:rPr>
          <w:color w:val="000000"/>
        </w:rPr>
        <w:t>Pokiaľ ide o finančné prostriedky potrebné na zastabilizovanie sídla ELA v SR v rozsahu vyplývajúcom z nájomnej zmluvy</w:t>
      </w:r>
      <w:r w:rsidR="00C4013B">
        <w:rPr>
          <w:color w:val="000000"/>
        </w:rPr>
        <w:t>, v roku 2021 budú tieto zabezpečené zo zdrojov nájomcu</w:t>
      </w:r>
      <w:r w:rsidR="00BC4A81">
        <w:rPr>
          <w:color w:val="000000"/>
        </w:rPr>
        <w:t xml:space="preserve">. </w:t>
      </w:r>
      <w:r w:rsidR="00C4013B">
        <w:rPr>
          <w:color w:val="000000"/>
        </w:rPr>
        <w:t xml:space="preserve"> </w:t>
      </w:r>
      <w:r w:rsidR="00BC4A81">
        <w:rPr>
          <w:color w:val="000000"/>
        </w:rPr>
        <w:t xml:space="preserve">Výdavky na nájomné na roky 2022 – 2024 </w:t>
      </w:r>
      <w:r w:rsidR="00A52AAC">
        <w:rPr>
          <w:color w:val="000000"/>
        </w:rPr>
        <w:t>sú zahrnuté v návrhu rozpočtu verejnej správy na roky 2022 – 2024 v rámci výdavkov nájomcu, spoločnosti MH Invest, s.r.o.</w:t>
      </w:r>
    </w:p>
    <w:p w:rsidR="00267323" w:rsidRDefault="00267323" w:rsidP="00C71670">
      <w:pPr>
        <w:pStyle w:val="Normlnyweb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</w:p>
    <w:p w:rsidR="00267323" w:rsidRDefault="00267323" w:rsidP="00C71670">
      <w:pPr>
        <w:pStyle w:val="Normlnyweb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r>
        <w:rPr>
          <w:color w:val="000000"/>
        </w:rPr>
        <w:t>V</w:t>
      </w:r>
      <w:r w:rsidRPr="00267323">
        <w:rPr>
          <w:color w:val="000000"/>
        </w:rPr>
        <w:t>ýdavky</w:t>
      </w:r>
      <w:r>
        <w:rPr>
          <w:color w:val="000000"/>
        </w:rPr>
        <w:t xml:space="preserve"> na asistenčnú službu</w:t>
      </w:r>
      <w:r w:rsidRPr="00267323">
        <w:rPr>
          <w:color w:val="000000"/>
        </w:rPr>
        <w:t xml:space="preserve"> sú zabezpečené v rámci rozpočtových limitov MPSVR SR.</w:t>
      </w:r>
    </w:p>
    <w:p w:rsidR="00DB4444" w:rsidRDefault="00DB4444" w:rsidP="00C71670">
      <w:pPr>
        <w:pStyle w:val="Normlnyweb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</w:p>
    <w:p w:rsidR="00DB4444" w:rsidRDefault="00DB4444" w:rsidP="00C71670">
      <w:pPr>
        <w:pStyle w:val="Normlnyweb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r>
        <w:rPr>
          <w:color w:val="000000"/>
        </w:rPr>
        <w:t xml:space="preserve">Úbytok príjmov štátneho rozpočtu </w:t>
      </w:r>
      <w:r w:rsidR="002B3357">
        <w:rPr>
          <w:color w:val="000000"/>
        </w:rPr>
        <w:t xml:space="preserve">v rokoch 2021 – 2023 </w:t>
      </w:r>
      <w:r>
        <w:rPr>
          <w:color w:val="000000"/>
        </w:rPr>
        <w:t>súvisí</w:t>
      </w:r>
      <w:r w:rsidR="002B3357">
        <w:rPr>
          <w:color w:val="000000"/>
        </w:rPr>
        <w:t xml:space="preserve"> s vrátením DPH pri nákupoch na osobnú spotrebu zamestnancov a výkonného riaditeľa ELA v sume 10 000 eur na osobu, tento benefit je možné uplatniť len do konca roka 2023.</w:t>
      </w:r>
    </w:p>
    <w:p w:rsidR="005761A5" w:rsidRDefault="005761A5" w:rsidP="00C71670">
      <w:pPr>
        <w:pStyle w:val="Normlnyweb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</w:p>
    <w:p w:rsidR="005761A5" w:rsidRDefault="005E28CB" w:rsidP="00C71670">
      <w:pPr>
        <w:pStyle w:val="Normlnyweb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r w:rsidRPr="005E28CB">
        <w:rPr>
          <w:color w:val="000000"/>
        </w:rPr>
        <w:t>Návratnosť finančného benefitu poskytnutého pre prvých 144 zamestnancov ELA a výkonného riaditeľa v podobe nároku na vrátenie DPH sa predpokladá po 42</w:t>
      </w:r>
      <w:r w:rsidR="00255D8A">
        <w:rPr>
          <w:color w:val="000000"/>
        </w:rPr>
        <w:t>.</w:t>
      </w:r>
      <w:r w:rsidRPr="005E28CB">
        <w:rPr>
          <w:color w:val="000000"/>
        </w:rPr>
        <w:t xml:space="preserve"> mesiaci</w:t>
      </w:r>
      <w:r>
        <w:rPr>
          <w:color w:val="000000"/>
        </w:rPr>
        <w:t xml:space="preserve"> nasledujúcom od mesiaca, v ktorom bol zamestnanec v ELA zamestnaný a začal poberať plat</w:t>
      </w:r>
      <w:r w:rsidRPr="005E28CB">
        <w:rPr>
          <w:color w:val="000000"/>
        </w:rPr>
        <w:t>.</w:t>
      </w:r>
      <w:r>
        <w:rPr>
          <w:color w:val="000000"/>
        </w:rPr>
        <w:t xml:space="preserve"> Analýza návratnosti finančného benefitu vychádza z predpokladu, že keby nebol DPH benefit poskytnutý, ELA by v SR </w:t>
      </w:r>
      <w:r w:rsidR="002040E1">
        <w:rPr>
          <w:color w:val="000000"/>
        </w:rPr>
        <w:t xml:space="preserve">nesídlila, </w:t>
      </w:r>
      <w:r>
        <w:rPr>
          <w:color w:val="000000"/>
        </w:rPr>
        <w:t>zamestnanci by nepoberal</w:t>
      </w:r>
      <w:r w:rsidR="002040E1">
        <w:rPr>
          <w:color w:val="000000"/>
        </w:rPr>
        <w:t xml:space="preserve">i plat a ich spotreba by v SR nebola realizovaná. Na základe predpokladaných príjmov zamestnancov ELA a ich predpokladanom sklone k spotrebe 0,5, je 42. mesiac približne obdobím, kedy sa diskontovaný výnos DPH do rozpočtu zo spotreby neoslobodenej benefitom DPH vyrovná výpadku DPH, ktorý vyplýva </w:t>
      </w:r>
      <w:r w:rsidR="00255D8A">
        <w:rPr>
          <w:color w:val="000000"/>
        </w:rPr>
        <w:t>zo spotreby oslobodenej od DPH. Predpokladá sa, že zamestnanci vyčerpajú benef</w:t>
      </w:r>
      <w:r w:rsidR="007D7465">
        <w:rPr>
          <w:color w:val="000000"/>
        </w:rPr>
        <w:t>it DPH približne počas prvých 18</w:t>
      </w:r>
      <w:r w:rsidR="00255D8A">
        <w:rPr>
          <w:color w:val="000000"/>
        </w:rPr>
        <w:t xml:space="preserve"> mesiacov od zamestnania v ELA a v nasledujúcich mesiacoch už z ich spotreby bude plynúť výnos DPH do štátneho rozpočtu.</w:t>
      </w:r>
    </w:p>
    <w:p w:rsidR="00B22536" w:rsidRDefault="00B22536" w:rsidP="00C71670">
      <w:pPr>
        <w:pStyle w:val="Normlnyweb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</w:p>
    <w:p w:rsidR="00B22536" w:rsidRDefault="00B22536" w:rsidP="00C71670">
      <w:pPr>
        <w:pStyle w:val="Normlnyweb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r>
        <w:rPr>
          <w:color w:val="000000"/>
        </w:rPr>
        <w:t>Výdavky na n</w:t>
      </w:r>
      <w:r w:rsidRPr="00B22536">
        <w:rPr>
          <w:color w:val="000000"/>
        </w:rPr>
        <w:t>avýšenie počtu štátnozamestnaneckých miest o</w:t>
      </w:r>
      <w:r w:rsidR="001E56BF">
        <w:rPr>
          <w:color w:val="000000"/>
        </w:rPr>
        <w:t> </w:t>
      </w:r>
      <w:r w:rsidRPr="00B22536">
        <w:rPr>
          <w:color w:val="000000"/>
        </w:rPr>
        <w:t>1</w:t>
      </w:r>
      <w:r w:rsidR="001E56BF">
        <w:rPr>
          <w:color w:val="000000"/>
        </w:rPr>
        <w:t xml:space="preserve"> od 1. októbra 2021 v</w:t>
      </w:r>
      <w:r w:rsidRPr="00B22536">
        <w:rPr>
          <w:color w:val="000000"/>
        </w:rPr>
        <w:t xml:space="preserve"> rámci kapitoly MZVEZ SR nie sú zabezpečené.</w:t>
      </w:r>
    </w:p>
    <w:p w:rsidR="00B22536" w:rsidRDefault="00B22536" w:rsidP="00C71670">
      <w:pPr>
        <w:pStyle w:val="Normlnyweb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</w:p>
    <w:p w:rsidR="007C023A" w:rsidRDefault="007C023A" w:rsidP="00FC165A">
      <w:pPr>
        <w:spacing w:line="240" w:lineRule="auto"/>
        <w:jc w:val="both"/>
        <w:rPr>
          <w:bCs/>
          <w:szCs w:val="24"/>
          <w:lang w:eastAsia="sk-SK"/>
        </w:rPr>
      </w:pPr>
    </w:p>
    <w:p w:rsidR="004A2C7D" w:rsidRDefault="004A2C7D" w:rsidP="00FC165A">
      <w:pPr>
        <w:spacing w:line="240" w:lineRule="auto"/>
        <w:jc w:val="both"/>
        <w:rPr>
          <w:bCs/>
          <w:szCs w:val="24"/>
          <w:lang w:eastAsia="sk-SK"/>
        </w:rPr>
      </w:pPr>
    </w:p>
    <w:p w:rsidR="00FC165A" w:rsidRPr="004550C4" w:rsidRDefault="00FC165A" w:rsidP="00FC165A">
      <w:pPr>
        <w:spacing w:line="240" w:lineRule="auto"/>
        <w:rPr>
          <w:b/>
          <w:bCs/>
          <w:szCs w:val="24"/>
          <w:lang w:eastAsia="sk-SK"/>
        </w:rPr>
      </w:pPr>
      <w:r w:rsidRPr="004550C4">
        <w:rPr>
          <w:b/>
          <w:bCs/>
          <w:szCs w:val="24"/>
          <w:lang w:eastAsia="sk-SK"/>
        </w:rPr>
        <w:t>2.2. Popis a charakteristika návrhu</w:t>
      </w:r>
    </w:p>
    <w:p w:rsidR="00FC165A" w:rsidRPr="004550C4" w:rsidRDefault="00FC165A" w:rsidP="00FC165A">
      <w:pPr>
        <w:spacing w:line="240" w:lineRule="auto"/>
        <w:rPr>
          <w:szCs w:val="24"/>
          <w:lang w:eastAsia="sk-SK"/>
        </w:rPr>
      </w:pPr>
    </w:p>
    <w:p w:rsidR="00FC165A" w:rsidRPr="004550C4" w:rsidRDefault="00FC165A" w:rsidP="00FC165A">
      <w:pPr>
        <w:spacing w:line="240" w:lineRule="auto"/>
        <w:jc w:val="both"/>
        <w:rPr>
          <w:b/>
          <w:bCs/>
          <w:szCs w:val="24"/>
          <w:lang w:eastAsia="sk-SK"/>
        </w:rPr>
      </w:pPr>
      <w:r w:rsidRPr="004550C4">
        <w:rPr>
          <w:b/>
          <w:bCs/>
          <w:szCs w:val="24"/>
          <w:lang w:eastAsia="sk-SK"/>
        </w:rPr>
        <w:t>2.2.1. Popis návrhu:</w:t>
      </w:r>
    </w:p>
    <w:p w:rsidR="00FC165A" w:rsidRPr="004550C4" w:rsidRDefault="00FC165A" w:rsidP="00FC165A">
      <w:pPr>
        <w:spacing w:line="240" w:lineRule="auto"/>
        <w:jc w:val="both"/>
        <w:rPr>
          <w:b/>
          <w:bCs/>
          <w:szCs w:val="24"/>
          <w:lang w:eastAsia="sk-SK"/>
        </w:rPr>
      </w:pPr>
    </w:p>
    <w:p w:rsidR="00FC165A" w:rsidRPr="004550C4" w:rsidRDefault="00FC165A" w:rsidP="00FC165A">
      <w:pPr>
        <w:spacing w:line="240" w:lineRule="auto"/>
        <w:ind w:firstLine="708"/>
        <w:jc w:val="both"/>
        <w:rPr>
          <w:szCs w:val="24"/>
          <w:lang w:eastAsia="sk-SK"/>
        </w:rPr>
      </w:pPr>
      <w:r w:rsidRPr="004550C4">
        <w:rPr>
          <w:szCs w:val="24"/>
          <w:lang w:eastAsia="sk-SK"/>
        </w:rPr>
        <w:t>Akú problematiku návrh rieši? Kto bude návrh implementovať? Kde sa budú služby poskytovať?</w:t>
      </w:r>
    </w:p>
    <w:p w:rsidR="00FC165A" w:rsidRDefault="00FC165A" w:rsidP="00286A6A">
      <w:pPr>
        <w:pStyle w:val="Default"/>
        <w:jc w:val="both"/>
      </w:pPr>
    </w:p>
    <w:p w:rsidR="00FC165A" w:rsidRPr="004550C4" w:rsidRDefault="00FC165A" w:rsidP="00FC165A">
      <w:pPr>
        <w:spacing w:line="240" w:lineRule="auto"/>
        <w:rPr>
          <w:b/>
          <w:bCs/>
          <w:szCs w:val="24"/>
          <w:lang w:eastAsia="sk-SK"/>
        </w:rPr>
      </w:pPr>
      <w:r w:rsidRPr="004550C4">
        <w:rPr>
          <w:b/>
          <w:bCs/>
          <w:szCs w:val="24"/>
          <w:lang w:eastAsia="sk-SK"/>
        </w:rPr>
        <w:t>2.2.2. Charakteristika návrhu:</w:t>
      </w:r>
    </w:p>
    <w:p w:rsidR="00FC165A" w:rsidRPr="004550C4" w:rsidRDefault="00FC165A" w:rsidP="00FC165A">
      <w:pPr>
        <w:spacing w:line="240" w:lineRule="auto"/>
        <w:rPr>
          <w:szCs w:val="24"/>
          <w:lang w:eastAsia="sk-SK"/>
        </w:rPr>
      </w:pPr>
    </w:p>
    <w:p w:rsidR="00FC165A" w:rsidRPr="004550C4" w:rsidRDefault="00FC165A" w:rsidP="00FC165A">
      <w:pPr>
        <w:spacing w:line="240" w:lineRule="auto"/>
        <w:rPr>
          <w:szCs w:val="24"/>
          <w:lang w:eastAsia="sk-SK"/>
        </w:rPr>
      </w:pPr>
      <w:r w:rsidRPr="004550C4">
        <w:rPr>
          <w:b/>
          <w:szCs w:val="24"/>
          <w:bdr w:val="single" w:sz="4" w:space="0" w:color="auto"/>
          <w:lang w:eastAsia="sk-SK"/>
        </w:rPr>
        <w:t xml:space="preserve">     </w:t>
      </w:r>
      <w:r w:rsidRPr="004550C4">
        <w:rPr>
          <w:b/>
          <w:szCs w:val="24"/>
          <w:lang w:eastAsia="sk-SK"/>
        </w:rPr>
        <w:t xml:space="preserve">  </w:t>
      </w:r>
      <w:r w:rsidRPr="004550C4">
        <w:rPr>
          <w:szCs w:val="24"/>
          <w:lang w:eastAsia="sk-SK"/>
        </w:rPr>
        <w:t>zmena sadzby</w:t>
      </w:r>
    </w:p>
    <w:p w:rsidR="00FC165A" w:rsidRPr="004550C4" w:rsidRDefault="00FC165A" w:rsidP="00FC165A">
      <w:pPr>
        <w:spacing w:line="240" w:lineRule="auto"/>
        <w:rPr>
          <w:szCs w:val="24"/>
          <w:lang w:eastAsia="sk-SK"/>
        </w:rPr>
      </w:pPr>
      <w:r w:rsidRPr="004550C4">
        <w:rPr>
          <w:szCs w:val="24"/>
          <w:bdr w:val="single" w:sz="4" w:space="0" w:color="auto"/>
          <w:lang w:eastAsia="sk-SK"/>
        </w:rPr>
        <w:t xml:space="preserve">     </w:t>
      </w:r>
      <w:r w:rsidRPr="004550C4">
        <w:rPr>
          <w:szCs w:val="24"/>
          <w:lang w:eastAsia="sk-SK"/>
        </w:rPr>
        <w:t xml:space="preserve">  zmena v nároku</w:t>
      </w:r>
    </w:p>
    <w:p w:rsidR="007E10F1" w:rsidRDefault="007E10F1" w:rsidP="00FC165A">
      <w:pPr>
        <w:spacing w:line="240" w:lineRule="auto"/>
        <w:rPr>
          <w:szCs w:val="24"/>
          <w:bdr w:val="single" w:sz="4" w:space="0" w:color="auto"/>
          <w:lang w:eastAsia="sk-SK"/>
        </w:rPr>
      </w:pPr>
    </w:p>
    <w:p w:rsidR="007E10F1" w:rsidRDefault="007E10F1" w:rsidP="00FC165A">
      <w:pPr>
        <w:spacing w:line="240" w:lineRule="auto"/>
        <w:rPr>
          <w:szCs w:val="24"/>
          <w:bdr w:val="single" w:sz="4" w:space="0" w:color="auto"/>
          <w:lang w:eastAsia="sk-SK"/>
        </w:rPr>
      </w:pPr>
    </w:p>
    <w:p w:rsidR="007E10F1" w:rsidRDefault="007E10F1" w:rsidP="00FC165A">
      <w:pPr>
        <w:spacing w:line="240" w:lineRule="auto"/>
        <w:rPr>
          <w:szCs w:val="24"/>
          <w:bdr w:val="single" w:sz="4" w:space="0" w:color="auto"/>
          <w:lang w:eastAsia="sk-SK"/>
        </w:rPr>
      </w:pPr>
    </w:p>
    <w:p w:rsidR="007E10F1" w:rsidRDefault="007E10F1" w:rsidP="00FC165A">
      <w:pPr>
        <w:spacing w:line="240" w:lineRule="auto"/>
        <w:rPr>
          <w:szCs w:val="24"/>
          <w:bdr w:val="single" w:sz="4" w:space="0" w:color="auto"/>
          <w:lang w:eastAsia="sk-SK"/>
        </w:rPr>
      </w:pPr>
    </w:p>
    <w:p w:rsidR="00FC165A" w:rsidRPr="004550C4" w:rsidRDefault="00FC165A" w:rsidP="00FC165A">
      <w:pPr>
        <w:spacing w:line="240" w:lineRule="auto"/>
        <w:rPr>
          <w:szCs w:val="24"/>
          <w:lang w:eastAsia="sk-SK"/>
        </w:rPr>
      </w:pPr>
      <w:r w:rsidRPr="004550C4">
        <w:rPr>
          <w:szCs w:val="24"/>
          <w:bdr w:val="single" w:sz="4" w:space="0" w:color="auto"/>
          <w:lang w:eastAsia="sk-SK"/>
        </w:rPr>
        <w:t xml:space="preserve">     </w:t>
      </w:r>
      <w:r w:rsidRPr="004550C4">
        <w:rPr>
          <w:szCs w:val="24"/>
          <w:lang w:eastAsia="sk-SK"/>
        </w:rPr>
        <w:t xml:space="preserve">  nová služba alebo nariadenie (alebo ich zrušenie)</w:t>
      </w:r>
    </w:p>
    <w:p w:rsidR="00FC165A" w:rsidRDefault="00FC165A" w:rsidP="00FC165A">
      <w:pPr>
        <w:spacing w:line="240" w:lineRule="auto"/>
        <w:rPr>
          <w:szCs w:val="24"/>
          <w:lang w:eastAsia="sk-SK"/>
        </w:rPr>
      </w:pPr>
      <w:r w:rsidRPr="004550C4">
        <w:rPr>
          <w:szCs w:val="24"/>
          <w:bdr w:val="single" w:sz="4" w:space="0" w:color="auto"/>
          <w:lang w:eastAsia="sk-SK"/>
        </w:rPr>
        <w:t xml:space="preserve">  </w:t>
      </w:r>
      <w:r w:rsidRPr="004550C4">
        <w:rPr>
          <w:szCs w:val="24"/>
          <w:lang w:eastAsia="sk-SK"/>
        </w:rPr>
        <w:t xml:space="preserve"> </w:t>
      </w:r>
      <w:r w:rsidR="00502C1F">
        <w:rPr>
          <w:szCs w:val="24"/>
          <w:lang w:eastAsia="sk-SK"/>
        </w:rPr>
        <w:t xml:space="preserve">   </w:t>
      </w:r>
      <w:r w:rsidRPr="004550C4">
        <w:rPr>
          <w:szCs w:val="24"/>
          <w:lang w:eastAsia="sk-SK"/>
        </w:rPr>
        <w:t xml:space="preserve"> kombinovaný návrh</w:t>
      </w:r>
    </w:p>
    <w:p w:rsidR="005B5539" w:rsidRPr="004550C4" w:rsidRDefault="005B5539" w:rsidP="00FC165A">
      <w:pPr>
        <w:spacing w:line="240" w:lineRule="auto"/>
        <w:rPr>
          <w:szCs w:val="24"/>
          <w:lang w:eastAsia="sk-SK"/>
        </w:rPr>
      </w:pPr>
    </w:p>
    <w:p w:rsidR="00FC165A" w:rsidRPr="00DC0042" w:rsidRDefault="00FC165A" w:rsidP="00FC165A">
      <w:pPr>
        <w:spacing w:line="240" w:lineRule="auto"/>
        <w:rPr>
          <w:szCs w:val="24"/>
          <w:lang w:eastAsia="sk-SK"/>
        </w:rPr>
      </w:pPr>
      <w:r w:rsidRPr="004550C4">
        <w:rPr>
          <w:szCs w:val="24"/>
          <w:bdr w:val="single" w:sz="4" w:space="0" w:color="auto"/>
          <w:lang w:eastAsia="sk-SK"/>
        </w:rPr>
        <w:t xml:space="preserve">   </w:t>
      </w:r>
      <w:r w:rsidR="00C23E06">
        <w:rPr>
          <w:szCs w:val="24"/>
          <w:bdr w:val="single" w:sz="4" w:space="0" w:color="auto"/>
          <w:lang w:eastAsia="sk-SK"/>
        </w:rPr>
        <w:t>x</w:t>
      </w:r>
      <w:r w:rsidRPr="004550C4">
        <w:rPr>
          <w:szCs w:val="24"/>
          <w:bdr w:val="single" w:sz="4" w:space="0" w:color="auto"/>
          <w:lang w:eastAsia="sk-SK"/>
        </w:rPr>
        <w:t xml:space="preserve">  </w:t>
      </w:r>
      <w:r w:rsidRPr="004550C4">
        <w:rPr>
          <w:szCs w:val="24"/>
          <w:lang w:eastAsia="sk-SK"/>
        </w:rPr>
        <w:t xml:space="preserve">  </w:t>
      </w:r>
      <w:r w:rsidR="00DC0042">
        <w:rPr>
          <w:szCs w:val="24"/>
          <w:lang w:eastAsia="sk-SK"/>
        </w:rPr>
        <w:t xml:space="preserve">iné </w:t>
      </w:r>
    </w:p>
    <w:p w:rsidR="00FD430A" w:rsidRDefault="00FD430A" w:rsidP="00FC165A">
      <w:pPr>
        <w:spacing w:line="240" w:lineRule="auto"/>
        <w:rPr>
          <w:b/>
          <w:bCs/>
          <w:szCs w:val="24"/>
          <w:lang w:eastAsia="sk-SK"/>
        </w:rPr>
      </w:pPr>
    </w:p>
    <w:p w:rsidR="00FD430A" w:rsidRDefault="00FD430A" w:rsidP="00FC165A">
      <w:pPr>
        <w:spacing w:line="240" w:lineRule="auto"/>
        <w:rPr>
          <w:b/>
          <w:bCs/>
          <w:szCs w:val="24"/>
          <w:lang w:eastAsia="sk-SK"/>
        </w:rPr>
      </w:pPr>
    </w:p>
    <w:p w:rsidR="00FC165A" w:rsidRPr="004550C4" w:rsidRDefault="00FC165A" w:rsidP="00FC165A">
      <w:pPr>
        <w:spacing w:line="240" w:lineRule="auto"/>
        <w:rPr>
          <w:szCs w:val="24"/>
          <w:lang w:eastAsia="sk-SK"/>
        </w:rPr>
      </w:pPr>
      <w:r w:rsidRPr="004550C4">
        <w:rPr>
          <w:b/>
          <w:bCs/>
          <w:szCs w:val="24"/>
          <w:lang w:eastAsia="sk-SK"/>
        </w:rPr>
        <w:t>2.2.3. Predpoklady vývoja objemu aktivít:</w:t>
      </w:r>
    </w:p>
    <w:p w:rsidR="00FC165A" w:rsidRPr="004550C4" w:rsidRDefault="00FC165A" w:rsidP="00FC165A">
      <w:pPr>
        <w:spacing w:line="240" w:lineRule="auto"/>
        <w:rPr>
          <w:szCs w:val="24"/>
          <w:lang w:eastAsia="sk-SK"/>
        </w:rPr>
      </w:pPr>
    </w:p>
    <w:p w:rsidR="00333EC3" w:rsidRPr="004550C4" w:rsidRDefault="00FC165A" w:rsidP="00DC0042">
      <w:pPr>
        <w:spacing w:line="240" w:lineRule="auto"/>
        <w:ind w:firstLine="708"/>
        <w:jc w:val="both"/>
        <w:rPr>
          <w:szCs w:val="24"/>
          <w:lang w:eastAsia="sk-SK"/>
        </w:rPr>
      </w:pPr>
      <w:r w:rsidRPr="004550C4">
        <w:rPr>
          <w:szCs w:val="24"/>
          <w:lang w:eastAsia="sk-SK"/>
        </w:rPr>
        <w:t>Jasne popíšte, v prípade potreby použite nižšie uvedenú tabuľku. Uveďte aj odhady základov daní a/alebo poplatkov, ak sa ich táto zmena týka.</w:t>
      </w:r>
    </w:p>
    <w:p w:rsidR="00FC165A" w:rsidRPr="004550C4" w:rsidRDefault="00FC165A" w:rsidP="00FC165A">
      <w:pPr>
        <w:spacing w:line="240" w:lineRule="auto"/>
        <w:jc w:val="right"/>
        <w:rPr>
          <w:sz w:val="20"/>
          <w:szCs w:val="20"/>
          <w:lang w:eastAsia="sk-SK"/>
        </w:rPr>
      </w:pPr>
      <w:r w:rsidRPr="004550C4">
        <w:rPr>
          <w:sz w:val="20"/>
          <w:szCs w:val="20"/>
          <w:lang w:eastAsia="sk-SK"/>
        </w:rPr>
        <w:t xml:space="preserve">Tabuľka č. 2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FC165A" w:rsidRPr="004550C4" w:rsidTr="002B77CE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:rsidR="00FC165A" w:rsidRPr="004550C4" w:rsidRDefault="00FC165A" w:rsidP="002B77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Cs w:val="24"/>
                <w:lang w:eastAsia="sk-SK"/>
              </w:rPr>
            </w:pPr>
            <w:r w:rsidRPr="004550C4">
              <w:rPr>
                <w:b/>
                <w:bCs/>
                <w:szCs w:val="24"/>
                <w:lang w:eastAsia="sk-SK"/>
              </w:rPr>
              <w:t>Objem aktivít</w:t>
            </w:r>
          </w:p>
        </w:tc>
        <w:tc>
          <w:tcPr>
            <w:tcW w:w="4536" w:type="dxa"/>
            <w:gridSpan w:val="4"/>
            <w:shd w:val="clear" w:color="auto" w:fill="BFBFBF" w:themeFill="background1" w:themeFillShade="BF"/>
            <w:vAlign w:val="center"/>
          </w:tcPr>
          <w:p w:rsidR="00FC165A" w:rsidRPr="004550C4" w:rsidRDefault="00FC165A" w:rsidP="002B77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Cs w:val="24"/>
                <w:lang w:eastAsia="sk-SK"/>
              </w:rPr>
            </w:pPr>
            <w:r w:rsidRPr="004550C4">
              <w:rPr>
                <w:b/>
                <w:bCs/>
                <w:szCs w:val="24"/>
                <w:lang w:eastAsia="sk-SK"/>
              </w:rPr>
              <w:t>Odhadované objemy</w:t>
            </w:r>
          </w:p>
        </w:tc>
      </w:tr>
      <w:tr w:rsidR="00FC165A" w:rsidRPr="004550C4" w:rsidTr="002B77CE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:rsidR="00FC165A" w:rsidRPr="004550C4" w:rsidRDefault="00FC165A" w:rsidP="002B77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FC165A" w:rsidRPr="004550C4" w:rsidRDefault="00296D03" w:rsidP="009D19F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Cs w:val="24"/>
                <w:lang w:eastAsia="sk-SK"/>
              </w:rPr>
            </w:pPr>
            <w:r>
              <w:rPr>
                <w:b/>
                <w:bCs/>
                <w:szCs w:val="24"/>
                <w:lang w:eastAsia="sk-SK"/>
              </w:rPr>
              <w:t>2021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FC165A" w:rsidRPr="004550C4" w:rsidRDefault="00FC165A" w:rsidP="00296D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Cs w:val="24"/>
                <w:lang w:eastAsia="sk-SK"/>
              </w:rPr>
            </w:pPr>
            <w:r w:rsidRPr="004550C4">
              <w:rPr>
                <w:b/>
                <w:bCs/>
                <w:szCs w:val="24"/>
                <w:lang w:eastAsia="sk-SK"/>
              </w:rPr>
              <w:t>20</w:t>
            </w:r>
            <w:r w:rsidR="009D19F3">
              <w:rPr>
                <w:b/>
                <w:bCs/>
                <w:szCs w:val="24"/>
                <w:lang w:eastAsia="sk-SK"/>
              </w:rPr>
              <w:t>2</w:t>
            </w:r>
            <w:r w:rsidR="00296D03">
              <w:rPr>
                <w:b/>
                <w:bCs/>
                <w:szCs w:val="24"/>
                <w:lang w:eastAsia="sk-SK"/>
              </w:rPr>
              <w:t>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FC165A" w:rsidRPr="004550C4" w:rsidRDefault="00FC165A" w:rsidP="00296D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Cs w:val="24"/>
                <w:lang w:eastAsia="sk-SK"/>
              </w:rPr>
            </w:pPr>
            <w:r w:rsidRPr="004550C4">
              <w:rPr>
                <w:b/>
                <w:bCs/>
                <w:szCs w:val="24"/>
                <w:lang w:eastAsia="sk-SK"/>
              </w:rPr>
              <w:t>20</w:t>
            </w:r>
            <w:r w:rsidR="009D19F3">
              <w:rPr>
                <w:b/>
                <w:bCs/>
                <w:szCs w:val="24"/>
                <w:lang w:eastAsia="sk-SK"/>
              </w:rPr>
              <w:t>2</w:t>
            </w:r>
            <w:r w:rsidR="00296D03">
              <w:rPr>
                <w:b/>
                <w:bCs/>
                <w:szCs w:val="24"/>
                <w:lang w:eastAsia="sk-SK"/>
              </w:rPr>
              <w:t>3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FC165A" w:rsidRPr="004550C4" w:rsidRDefault="00FC165A" w:rsidP="00296D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Cs w:val="24"/>
                <w:lang w:eastAsia="sk-SK"/>
              </w:rPr>
            </w:pPr>
            <w:r w:rsidRPr="004550C4">
              <w:rPr>
                <w:b/>
                <w:bCs/>
                <w:szCs w:val="24"/>
                <w:lang w:eastAsia="sk-SK"/>
              </w:rPr>
              <w:t>202</w:t>
            </w:r>
            <w:r w:rsidR="00296D03">
              <w:rPr>
                <w:b/>
                <w:bCs/>
                <w:szCs w:val="24"/>
                <w:lang w:eastAsia="sk-SK"/>
              </w:rPr>
              <w:t>4</w:t>
            </w:r>
          </w:p>
        </w:tc>
      </w:tr>
      <w:tr w:rsidR="00FC165A" w:rsidRPr="004550C4" w:rsidTr="002B77CE">
        <w:trPr>
          <w:trHeight w:val="70"/>
        </w:trPr>
        <w:tc>
          <w:tcPr>
            <w:tcW w:w="4530" w:type="dxa"/>
          </w:tcPr>
          <w:p w:rsidR="00FC165A" w:rsidRPr="004550C4" w:rsidRDefault="00FC165A" w:rsidP="002B77CE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FC165A" w:rsidRPr="004550C4" w:rsidRDefault="00FC165A" w:rsidP="002B77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FC165A" w:rsidRPr="004550C4" w:rsidRDefault="00FC165A" w:rsidP="002B77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FC165A" w:rsidRPr="004550C4" w:rsidRDefault="00FC165A" w:rsidP="002B77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FC165A" w:rsidRPr="004550C4" w:rsidRDefault="00FC165A" w:rsidP="002B77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eastAsia="sk-SK"/>
              </w:rPr>
            </w:pPr>
          </w:p>
        </w:tc>
      </w:tr>
      <w:tr w:rsidR="00FC165A" w:rsidRPr="004550C4" w:rsidTr="002B77CE">
        <w:trPr>
          <w:trHeight w:val="70"/>
        </w:trPr>
        <w:tc>
          <w:tcPr>
            <w:tcW w:w="4530" w:type="dxa"/>
          </w:tcPr>
          <w:p w:rsidR="00FC165A" w:rsidRPr="004550C4" w:rsidRDefault="00FC165A" w:rsidP="002B77CE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FC165A" w:rsidRPr="004550C4" w:rsidRDefault="00FC165A" w:rsidP="002B77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FC165A" w:rsidRPr="004550C4" w:rsidRDefault="00FC165A" w:rsidP="002B77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FC165A" w:rsidRPr="004550C4" w:rsidRDefault="00FC165A" w:rsidP="002B77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FC165A" w:rsidRPr="004550C4" w:rsidRDefault="00FC165A" w:rsidP="002B77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eastAsia="sk-SK"/>
              </w:rPr>
            </w:pPr>
          </w:p>
        </w:tc>
      </w:tr>
    </w:tbl>
    <w:p w:rsidR="00FC165A" w:rsidRPr="004550C4" w:rsidRDefault="00FC165A" w:rsidP="00FC165A">
      <w:pPr>
        <w:spacing w:line="240" w:lineRule="auto"/>
        <w:rPr>
          <w:b/>
          <w:bCs/>
          <w:szCs w:val="24"/>
          <w:lang w:eastAsia="sk-SK"/>
        </w:rPr>
      </w:pPr>
    </w:p>
    <w:p w:rsidR="00FC165A" w:rsidRPr="004550C4" w:rsidRDefault="00FC165A" w:rsidP="00FC165A">
      <w:pPr>
        <w:spacing w:line="240" w:lineRule="auto"/>
        <w:rPr>
          <w:b/>
          <w:bCs/>
          <w:szCs w:val="24"/>
          <w:lang w:eastAsia="sk-SK"/>
        </w:rPr>
      </w:pPr>
    </w:p>
    <w:p w:rsidR="00FC165A" w:rsidRPr="004550C4" w:rsidRDefault="00FC165A" w:rsidP="00FC165A">
      <w:pPr>
        <w:spacing w:line="240" w:lineRule="auto"/>
        <w:rPr>
          <w:b/>
          <w:bCs/>
          <w:szCs w:val="24"/>
          <w:lang w:eastAsia="sk-SK"/>
        </w:rPr>
      </w:pPr>
      <w:r w:rsidRPr="004550C4">
        <w:rPr>
          <w:b/>
          <w:bCs/>
          <w:szCs w:val="24"/>
          <w:lang w:eastAsia="sk-SK"/>
        </w:rPr>
        <w:t>2.2.4. Výpočty vplyvov na verejné financie</w:t>
      </w:r>
    </w:p>
    <w:p w:rsidR="00FC165A" w:rsidRPr="004550C4" w:rsidRDefault="00FC165A" w:rsidP="00FC165A">
      <w:pPr>
        <w:spacing w:line="240" w:lineRule="auto"/>
        <w:rPr>
          <w:szCs w:val="24"/>
          <w:lang w:eastAsia="sk-SK"/>
        </w:rPr>
      </w:pPr>
    </w:p>
    <w:p w:rsidR="00FC165A" w:rsidRPr="004550C4" w:rsidRDefault="00FC165A" w:rsidP="00FC165A">
      <w:pPr>
        <w:spacing w:line="240" w:lineRule="auto"/>
        <w:ind w:firstLine="708"/>
        <w:jc w:val="both"/>
        <w:rPr>
          <w:szCs w:val="24"/>
          <w:lang w:eastAsia="sk-SK"/>
        </w:rPr>
      </w:pPr>
      <w:r w:rsidRPr="004550C4">
        <w:rPr>
          <w:szCs w:val="24"/>
          <w:lang w:eastAsia="sk-SK"/>
        </w:rPr>
        <w:t>Uveďte najdôležitejšie výpočty, ktoré boli použité na stanovenie vplyvov na príjmy a výdavky, ako aj predpoklady, z ktorých ste vychádzali. Predkladateľ by mal jasne odlíšiť podklady od kapitol a organizácií, aby bolo jasne vidieť základ použitý na výpočty.</w:t>
      </w:r>
    </w:p>
    <w:p w:rsidR="00FC165A" w:rsidRPr="001C1EF2" w:rsidRDefault="00FC165A" w:rsidP="00502C1F">
      <w:pPr>
        <w:pStyle w:val="Zkladntext"/>
      </w:pPr>
      <w:r w:rsidRPr="00F7297D">
        <w:tab/>
      </w:r>
    </w:p>
    <w:p w:rsidR="0024057A" w:rsidRDefault="0024057A" w:rsidP="0087277C">
      <w:pPr>
        <w:tabs>
          <w:tab w:val="num" w:pos="1080"/>
        </w:tabs>
        <w:spacing w:line="240" w:lineRule="auto"/>
        <w:jc w:val="both"/>
        <w:rPr>
          <w:bCs/>
          <w:sz w:val="20"/>
          <w:szCs w:val="20"/>
          <w:lang w:eastAsia="sk-SK"/>
        </w:rPr>
      </w:pPr>
    </w:p>
    <w:p w:rsidR="0024057A" w:rsidRDefault="00476217" w:rsidP="00FC165A">
      <w:pPr>
        <w:tabs>
          <w:tab w:val="num" w:pos="1080"/>
        </w:tabs>
        <w:spacing w:line="240" w:lineRule="auto"/>
        <w:jc w:val="both"/>
        <w:rPr>
          <w:bCs/>
          <w:sz w:val="20"/>
          <w:szCs w:val="20"/>
          <w:lang w:eastAsia="sk-SK"/>
        </w:rPr>
      </w:pPr>
      <w:r>
        <w:rPr>
          <w:bCs/>
          <w:szCs w:val="24"/>
          <w:lang w:eastAsia="sk-SK"/>
        </w:rPr>
        <w:tab/>
      </w:r>
      <w:r>
        <w:rPr>
          <w:bCs/>
          <w:szCs w:val="24"/>
          <w:lang w:eastAsia="sk-SK"/>
        </w:rPr>
        <w:tab/>
      </w:r>
      <w:r>
        <w:rPr>
          <w:bCs/>
          <w:szCs w:val="24"/>
          <w:lang w:eastAsia="sk-SK"/>
        </w:rPr>
        <w:tab/>
      </w:r>
      <w:r>
        <w:rPr>
          <w:bCs/>
          <w:szCs w:val="24"/>
          <w:lang w:eastAsia="sk-SK"/>
        </w:rPr>
        <w:tab/>
      </w:r>
      <w:r>
        <w:rPr>
          <w:bCs/>
          <w:szCs w:val="24"/>
          <w:lang w:eastAsia="sk-SK"/>
        </w:rPr>
        <w:tab/>
      </w:r>
      <w:r>
        <w:rPr>
          <w:bCs/>
          <w:szCs w:val="24"/>
          <w:lang w:eastAsia="sk-SK"/>
        </w:rPr>
        <w:tab/>
      </w:r>
      <w:r>
        <w:rPr>
          <w:bCs/>
          <w:szCs w:val="24"/>
          <w:lang w:eastAsia="sk-SK"/>
        </w:rPr>
        <w:tab/>
      </w:r>
      <w:r>
        <w:rPr>
          <w:bCs/>
          <w:szCs w:val="24"/>
          <w:lang w:eastAsia="sk-SK"/>
        </w:rPr>
        <w:tab/>
      </w:r>
      <w:r>
        <w:rPr>
          <w:bCs/>
          <w:szCs w:val="24"/>
          <w:lang w:eastAsia="sk-SK"/>
        </w:rPr>
        <w:tab/>
      </w:r>
      <w:r>
        <w:rPr>
          <w:bCs/>
          <w:szCs w:val="24"/>
          <w:lang w:eastAsia="sk-SK"/>
        </w:rPr>
        <w:tab/>
      </w:r>
      <w:r>
        <w:rPr>
          <w:bCs/>
          <w:szCs w:val="24"/>
          <w:lang w:eastAsia="sk-SK"/>
        </w:rPr>
        <w:tab/>
      </w:r>
      <w:r w:rsidRPr="004550C4">
        <w:rPr>
          <w:bCs/>
          <w:szCs w:val="24"/>
          <w:lang w:eastAsia="sk-SK"/>
        </w:rPr>
        <w:t xml:space="preserve">Tabuľka č. </w:t>
      </w:r>
      <w:r w:rsidR="00EA6483">
        <w:rPr>
          <w:bCs/>
          <w:szCs w:val="24"/>
          <w:lang w:eastAsia="sk-SK"/>
        </w:rPr>
        <w:t>3</w:t>
      </w:r>
    </w:p>
    <w:p w:rsidR="00FC165A" w:rsidRPr="004550C4" w:rsidRDefault="00FC165A" w:rsidP="00FC165A">
      <w:pPr>
        <w:tabs>
          <w:tab w:val="num" w:pos="1080"/>
        </w:tabs>
        <w:spacing w:line="240" w:lineRule="auto"/>
        <w:jc w:val="both"/>
        <w:rPr>
          <w:bCs/>
          <w:sz w:val="20"/>
          <w:szCs w:val="20"/>
          <w:lang w:eastAsia="sk-SK"/>
        </w:rPr>
      </w:pPr>
      <w:r w:rsidRPr="004550C4">
        <w:rPr>
          <w:bCs/>
          <w:sz w:val="20"/>
          <w:szCs w:val="20"/>
          <w:lang w:eastAsia="sk-SK"/>
        </w:rPr>
        <w:t>1 –  príjmy rozpísať až do položiek platnej ekonomickej klasifikácie</w:t>
      </w:r>
    </w:p>
    <w:p w:rsidR="00127317" w:rsidRDefault="00127317" w:rsidP="00FC165A">
      <w:pPr>
        <w:tabs>
          <w:tab w:val="num" w:pos="1080"/>
        </w:tabs>
        <w:spacing w:line="240" w:lineRule="auto"/>
        <w:jc w:val="both"/>
        <w:rPr>
          <w:b/>
          <w:bCs/>
          <w:szCs w:val="20"/>
          <w:lang w:eastAsia="sk-SK"/>
        </w:rPr>
      </w:pPr>
    </w:p>
    <w:p w:rsidR="00127317" w:rsidRDefault="00127317" w:rsidP="00FC165A">
      <w:pPr>
        <w:tabs>
          <w:tab w:val="num" w:pos="1080"/>
        </w:tabs>
        <w:spacing w:line="240" w:lineRule="auto"/>
        <w:jc w:val="both"/>
        <w:rPr>
          <w:b/>
          <w:bCs/>
          <w:szCs w:val="20"/>
          <w:lang w:eastAsia="sk-SK"/>
        </w:rPr>
      </w:pPr>
    </w:p>
    <w:p w:rsidR="00127317" w:rsidRDefault="00127317" w:rsidP="00FC165A">
      <w:pPr>
        <w:tabs>
          <w:tab w:val="num" w:pos="1080"/>
        </w:tabs>
        <w:spacing w:line="240" w:lineRule="auto"/>
        <w:jc w:val="both"/>
        <w:rPr>
          <w:b/>
          <w:bCs/>
          <w:szCs w:val="20"/>
          <w:lang w:eastAsia="sk-SK"/>
        </w:rPr>
      </w:pPr>
    </w:p>
    <w:p w:rsidR="00C23E06" w:rsidRDefault="00C23E06" w:rsidP="00FC165A">
      <w:pPr>
        <w:tabs>
          <w:tab w:val="num" w:pos="1080"/>
        </w:tabs>
        <w:spacing w:line="240" w:lineRule="auto"/>
        <w:jc w:val="both"/>
        <w:rPr>
          <w:bCs/>
          <w:szCs w:val="20"/>
          <w:lang w:eastAsia="sk-SK"/>
        </w:rPr>
      </w:pPr>
      <w:r w:rsidRPr="00C23E06">
        <w:rPr>
          <w:bCs/>
          <w:szCs w:val="20"/>
          <w:lang w:eastAsia="sk-SK"/>
        </w:rPr>
        <w:t>Medzinárodné organizácie</w:t>
      </w:r>
      <w:r w:rsidR="006850FF">
        <w:rPr>
          <w:bCs/>
          <w:szCs w:val="20"/>
          <w:lang w:eastAsia="sk-SK"/>
        </w:rPr>
        <w:t>,</w:t>
      </w:r>
      <w:r w:rsidRPr="00C23E06">
        <w:rPr>
          <w:bCs/>
          <w:szCs w:val="20"/>
          <w:lang w:eastAsia="sk-SK"/>
        </w:rPr>
        <w:t xml:space="preserve"> ako </w:t>
      </w:r>
      <w:r>
        <w:rPr>
          <w:bCs/>
          <w:szCs w:val="20"/>
          <w:lang w:eastAsia="sk-SK"/>
        </w:rPr>
        <w:t>Európsky orgán práce</w:t>
      </w:r>
      <w:r w:rsidR="006850FF">
        <w:rPr>
          <w:bCs/>
          <w:szCs w:val="20"/>
          <w:lang w:eastAsia="sk-SK"/>
        </w:rPr>
        <w:t>,</w:t>
      </w:r>
      <w:r>
        <w:rPr>
          <w:bCs/>
          <w:szCs w:val="20"/>
          <w:lang w:eastAsia="sk-SK"/>
        </w:rPr>
        <w:t xml:space="preserve"> sú štandardne oslobodené od platenia daní z príjmu a sociálnych a zdravotných odvodov v krajine rezidencie, prispievajú do vlastných systémov, z ktorých čerpajú benefity, preto toto oslobodenie nemožno považovať za opatrenie s negatívnym vplyvom na daňové a odvodové príjmy verejnej správy.</w:t>
      </w:r>
    </w:p>
    <w:p w:rsidR="005B5539" w:rsidRDefault="005B5539" w:rsidP="00FC165A">
      <w:pPr>
        <w:tabs>
          <w:tab w:val="num" w:pos="1080"/>
        </w:tabs>
        <w:spacing w:line="240" w:lineRule="auto"/>
        <w:jc w:val="both"/>
        <w:rPr>
          <w:bCs/>
          <w:szCs w:val="20"/>
          <w:lang w:eastAsia="sk-SK"/>
        </w:rPr>
      </w:pPr>
    </w:p>
    <w:p w:rsidR="005B5539" w:rsidRDefault="005B5539" w:rsidP="00FC165A">
      <w:pPr>
        <w:tabs>
          <w:tab w:val="num" w:pos="1080"/>
        </w:tabs>
        <w:spacing w:line="240" w:lineRule="auto"/>
        <w:jc w:val="both"/>
        <w:rPr>
          <w:bCs/>
          <w:szCs w:val="20"/>
          <w:lang w:eastAsia="sk-SK"/>
        </w:rPr>
      </w:pPr>
    </w:p>
    <w:p w:rsidR="005B5539" w:rsidRDefault="005B5539" w:rsidP="00FC165A">
      <w:pPr>
        <w:tabs>
          <w:tab w:val="num" w:pos="1080"/>
        </w:tabs>
        <w:spacing w:line="240" w:lineRule="auto"/>
        <w:jc w:val="both"/>
        <w:rPr>
          <w:bCs/>
          <w:szCs w:val="20"/>
          <w:lang w:eastAsia="sk-SK"/>
        </w:rPr>
      </w:pPr>
    </w:p>
    <w:p w:rsidR="007E10F1" w:rsidRDefault="007E10F1" w:rsidP="00FC165A">
      <w:pPr>
        <w:tabs>
          <w:tab w:val="num" w:pos="1080"/>
        </w:tabs>
        <w:spacing w:line="240" w:lineRule="auto"/>
        <w:jc w:val="both"/>
        <w:rPr>
          <w:bCs/>
          <w:szCs w:val="20"/>
          <w:lang w:eastAsia="sk-SK"/>
        </w:rPr>
      </w:pPr>
    </w:p>
    <w:p w:rsidR="007E10F1" w:rsidRDefault="007E10F1" w:rsidP="00FC165A">
      <w:pPr>
        <w:tabs>
          <w:tab w:val="num" w:pos="1080"/>
        </w:tabs>
        <w:spacing w:line="240" w:lineRule="auto"/>
        <w:jc w:val="both"/>
        <w:rPr>
          <w:bCs/>
          <w:szCs w:val="20"/>
          <w:lang w:eastAsia="sk-SK"/>
        </w:rPr>
      </w:pPr>
    </w:p>
    <w:p w:rsidR="007E10F1" w:rsidRDefault="007E10F1" w:rsidP="00FC165A">
      <w:pPr>
        <w:tabs>
          <w:tab w:val="num" w:pos="1080"/>
        </w:tabs>
        <w:spacing w:line="240" w:lineRule="auto"/>
        <w:jc w:val="both"/>
        <w:rPr>
          <w:bCs/>
          <w:szCs w:val="20"/>
          <w:lang w:eastAsia="sk-SK"/>
        </w:rPr>
      </w:pPr>
    </w:p>
    <w:p w:rsidR="007E10F1" w:rsidRDefault="007E10F1" w:rsidP="00FC165A">
      <w:pPr>
        <w:tabs>
          <w:tab w:val="num" w:pos="1080"/>
        </w:tabs>
        <w:spacing w:line="240" w:lineRule="auto"/>
        <w:jc w:val="both"/>
        <w:rPr>
          <w:bCs/>
          <w:szCs w:val="20"/>
          <w:lang w:eastAsia="sk-SK"/>
        </w:rPr>
      </w:pPr>
    </w:p>
    <w:p w:rsidR="007E10F1" w:rsidRDefault="007E10F1" w:rsidP="00FC165A">
      <w:pPr>
        <w:tabs>
          <w:tab w:val="num" w:pos="1080"/>
        </w:tabs>
        <w:spacing w:line="240" w:lineRule="auto"/>
        <w:jc w:val="both"/>
        <w:rPr>
          <w:bCs/>
          <w:szCs w:val="20"/>
          <w:lang w:eastAsia="sk-SK"/>
        </w:rPr>
      </w:pPr>
    </w:p>
    <w:p w:rsidR="007E10F1" w:rsidRDefault="007E10F1" w:rsidP="00FC165A">
      <w:pPr>
        <w:tabs>
          <w:tab w:val="num" w:pos="1080"/>
        </w:tabs>
        <w:spacing w:line="240" w:lineRule="auto"/>
        <w:jc w:val="both"/>
        <w:rPr>
          <w:bCs/>
          <w:szCs w:val="20"/>
          <w:lang w:eastAsia="sk-SK"/>
        </w:rPr>
      </w:pPr>
    </w:p>
    <w:p w:rsidR="007E10F1" w:rsidRDefault="007E10F1" w:rsidP="00FC165A">
      <w:pPr>
        <w:tabs>
          <w:tab w:val="num" w:pos="1080"/>
        </w:tabs>
        <w:spacing w:line="240" w:lineRule="auto"/>
        <w:jc w:val="both"/>
        <w:rPr>
          <w:bCs/>
          <w:szCs w:val="20"/>
          <w:lang w:eastAsia="sk-SK"/>
        </w:rPr>
      </w:pPr>
    </w:p>
    <w:p w:rsidR="005B5539" w:rsidRDefault="005B5539" w:rsidP="00FC165A">
      <w:pPr>
        <w:tabs>
          <w:tab w:val="num" w:pos="1080"/>
        </w:tabs>
        <w:spacing w:line="240" w:lineRule="auto"/>
        <w:jc w:val="both"/>
        <w:rPr>
          <w:bCs/>
          <w:szCs w:val="20"/>
          <w:lang w:eastAsia="sk-SK"/>
        </w:rPr>
      </w:pPr>
    </w:p>
    <w:p w:rsidR="005B5539" w:rsidRDefault="005B5539" w:rsidP="00FC165A">
      <w:pPr>
        <w:tabs>
          <w:tab w:val="num" w:pos="1080"/>
        </w:tabs>
        <w:spacing w:line="240" w:lineRule="auto"/>
        <w:jc w:val="both"/>
        <w:rPr>
          <w:bCs/>
          <w:szCs w:val="20"/>
          <w:lang w:eastAsia="sk-SK"/>
        </w:rPr>
      </w:pPr>
    </w:p>
    <w:p w:rsidR="005B5539" w:rsidRPr="00C23E06" w:rsidRDefault="005B5539" w:rsidP="00FC165A">
      <w:pPr>
        <w:tabs>
          <w:tab w:val="num" w:pos="1080"/>
        </w:tabs>
        <w:spacing w:line="240" w:lineRule="auto"/>
        <w:jc w:val="both"/>
        <w:rPr>
          <w:bCs/>
          <w:szCs w:val="20"/>
          <w:lang w:eastAsia="sk-SK"/>
        </w:rPr>
      </w:pPr>
    </w:p>
    <w:tbl>
      <w:tblPr>
        <w:tblpPr w:leftFromText="141" w:rightFromText="141" w:vertAnchor="page" w:horzAnchor="margin" w:tblpXSpec="center" w:tblpY="1879"/>
        <w:tblW w:w="105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1"/>
        <w:gridCol w:w="1253"/>
        <w:gridCol w:w="1253"/>
        <w:gridCol w:w="1253"/>
        <w:gridCol w:w="1623"/>
        <w:gridCol w:w="1207"/>
      </w:tblGrid>
      <w:tr w:rsidR="00127317" w:rsidRPr="004550C4" w:rsidTr="00915165">
        <w:trPr>
          <w:cantSplit/>
          <w:trHeight w:val="255"/>
        </w:trPr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27317" w:rsidRPr="004550C4" w:rsidRDefault="00127317" w:rsidP="00915165">
            <w:pPr>
              <w:spacing w:line="240" w:lineRule="auto"/>
              <w:jc w:val="center"/>
              <w:rPr>
                <w:b/>
                <w:bCs/>
                <w:szCs w:val="24"/>
                <w:lang w:eastAsia="sk-SK"/>
              </w:rPr>
            </w:pPr>
            <w:r w:rsidRPr="004550C4">
              <w:rPr>
                <w:b/>
                <w:bCs/>
                <w:szCs w:val="24"/>
                <w:lang w:eastAsia="sk-SK"/>
              </w:rPr>
              <w:t>Príjmy (v eurách)</w:t>
            </w:r>
          </w:p>
        </w:tc>
        <w:tc>
          <w:tcPr>
            <w:tcW w:w="5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7317" w:rsidRPr="004550C4" w:rsidRDefault="00127317" w:rsidP="00915165">
            <w:pPr>
              <w:spacing w:line="240" w:lineRule="auto"/>
              <w:jc w:val="center"/>
              <w:rPr>
                <w:b/>
                <w:bCs/>
                <w:szCs w:val="24"/>
                <w:lang w:eastAsia="sk-SK"/>
              </w:rPr>
            </w:pPr>
            <w:r w:rsidRPr="004550C4">
              <w:rPr>
                <w:b/>
                <w:bCs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27317" w:rsidRPr="004550C4" w:rsidRDefault="00127317" w:rsidP="00915165">
            <w:pPr>
              <w:spacing w:line="240" w:lineRule="auto"/>
              <w:jc w:val="center"/>
              <w:rPr>
                <w:b/>
                <w:bCs/>
                <w:szCs w:val="24"/>
                <w:lang w:eastAsia="sk-SK"/>
              </w:rPr>
            </w:pPr>
            <w:r w:rsidRPr="004550C4">
              <w:rPr>
                <w:b/>
                <w:bCs/>
                <w:szCs w:val="24"/>
                <w:lang w:eastAsia="sk-SK"/>
              </w:rPr>
              <w:t>poznámka</w:t>
            </w:r>
          </w:p>
        </w:tc>
      </w:tr>
      <w:tr w:rsidR="00127317" w:rsidRPr="004550C4" w:rsidTr="00915165">
        <w:trPr>
          <w:cantSplit/>
          <w:trHeight w:val="255"/>
        </w:trPr>
        <w:tc>
          <w:tcPr>
            <w:tcW w:w="3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17" w:rsidRPr="004550C4" w:rsidRDefault="00127317" w:rsidP="00915165">
            <w:pPr>
              <w:spacing w:line="240" w:lineRule="auto"/>
              <w:rPr>
                <w:b/>
                <w:bCs/>
                <w:szCs w:val="24"/>
                <w:lang w:eastAsia="sk-SK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7317" w:rsidRPr="004550C4" w:rsidRDefault="00127317" w:rsidP="00915165">
            <w:pPr>
              <w:spacing w:line="240" w:lineRule="auto"/>
              <w:jc w:val="center"/>
              <w:rPr>
                <w:b/>
                <w:bCs/>
                <w:szCs w:val="24"/>
                <w:lang w:eastAsia="sk-SK"/>
              </w:rPr>
            </w:pPr>
            <w:r w:rsidRPr="004550C4">
              <w:rPr>
                <w:b/>
                <w:bCs/>
                <w:szCs w:val="24"/>
                <w:lang w:eastAsia="sk-SK"/>
              </w:rPr>
              <w:t>20</w:t>
            </w:r>
            <w:r>
              <w:rPr>
                <w:b/>
                <w:bCs/>
                <w:szCs w:val="24"/>
                <w:lang w:eastAsia="sk-SK"/>
              </w:rPr>
              <w:t>21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7317" w:rsidRPr="004550C4" w:rsidRDefault="00127317" w:rsidP="00915165">
            <w:pPr>
              <w:spacing w:line="240" w:lineRule="auto"/>
              <w:jc w:val="center"/>
              <w:rPr>
                <w:b/>
                <w:bCs/>
                <w:szCs w:val="24"/>
                <w:lang w:eastAsia="sk-SK"/>
              </w:rPr>
            </w:pPr>
            <w:r>
              <w:rPr>
                <w:b/>
                <w:bCs/>
                <w:szCs w:val="24"/>
                <w:lang w:eastAsia="sk-SK"/>
              </w:rPr>
              <w:t>2022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7317" w:rsidRPr="004550C4" w:rsidRDefault="00127317" w:rsidP="00915165">
            <w:pPr>
              <w:spacing w:line="240" w:lineRule="auto"/>
              <w:jc w:val="center"/>
              <w:rPr>
                <w:b/>
                <w:bCs/>
                <w:szCs w:val="24"/>
                <w:lang w:eastAsia="sk-SK"/>
              </w:rPr>
            </w:pPr>
            <w:r w:rsidRPr="004550C4">
              <w:rPr>
                <w:b/>
                <w:bCs/>
                <w:szCs w:val="24"/>
                <w:lang w:eastAsia="sk-SK"/>
              </w:rPr>
              <w:t>20</w:t>
            </w:r>
            <w:r>
              <w:rPr>
                <w:b/>
                <w:bCs/>
                <w:szCs w:val="24"/>
                <w:lang w:eastAsia="sk-SK"/>
              </w:rPr>
              <w:t>23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7317" w:rsidRPr="004550C4" w:rsidRDefault="00127317" w:rsidP="00915165">
            <w:pPr>
              <w:spacing w:line="240" w:lineRule="auto"/>
              <w:jc w:val="center"/>
              <w:rPr>
                <w:b/>
                <w:bCs/>
                <w:szCs w:val="24"/>
                <w:lang w:eastAsia="sk-SK"/>
              </w:rPr>
            </w:pPr>
            <w:r w:rsidRPr="004550C4">
              <w:rPr>
                <w:b/>
                <w:bCs/>
                <w:szCs w:val="24"/>
                <w:lang w:eastAsia="sk-SK"/>
              </w:rPr>
              <w:t>202</w:t>
            </w:r>
            <w:r>
              <w:rPr>
                <w:b/>
                <w:bCs/>
                <w:szCs w:val="24"/>
                <w:lang w:eastAsia="sk-SK"/>
              </w:rPr>
              <w:t>4</w:t>
            </w: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17" w:rsidRPr="004550C4" w:rsidRDefault="00127317" w:rsidP="00915165">
            <w:pPr>
              <w:spacing w:line="240" w:lineRule="auto"/>
              <w:rPr>
                <w:b/>
                <w:bCs/>
                <w:szCs w:val="24"/>
                <w:lang w:eastAsia="sk-SK"/>
              </w:rPr>
            </w:pPr>
          </w:p>
        </w:tc>
      </w:tr>
      <w:tr w:rsidR="00127317" w:rsidRPr="004550C4" w:rsidTr="00915165">
        <w:trPr>
          <w:trHeight w:val="255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17" w:rsidRPr="004550C4" w:rsidRDefault="00127317" w:rsidP="00915165">
            <w:pPr>
              <w:spacing w:line="240" w:lineRule="auto"/>
              <w:rPr>
                <w:b/>
                <w:bCs/>
                <w:szCs w:val="24"/>
                <w:vertAlign w:val="superscript"/>
                <w:lang w:eastAsia="sk-SK"/>
              </w:rPr>
            </w:pPr>
            <w:r w:rsidRPr="004550C4">
              <w:rPr>
                <w:b/>
                <w:bCs/>
                <w:szCs w:val="24"/>
                <w:lang w:eastAsia="sk-SK"/>
              </w:rPr>
              <w:t>Daňové príjmy (100)</w:t>
            </w:r>
            <w:r w:rsidRPr="004550C4">
              <w:rPr>
                <w:b/>
                <w:bCs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317" w:rsidRPr="00F25D12" w:rsidRDefault="007E10F1" w:rsidP="00915165">
            <w:pPr>
              <w:spacing w:line="240" w:lineRule="auto"/>
              <w:jc w:val="center"/>
              <w:rPr>
                <w:bCs/>
                <w:szCs w:val="24"/>
                <w:lang w:eastAsia="sk-SK"/>
              </w:rPr>
            </w:pPr>
            <w:r>
              <w:rPr>
                <w:bCs/>
                <w:szCs w:val="24"/>
                <w:lang w:eastAsia="sk-SK"/>
              </w:rPr>
              <w:t> -145 000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317" w:rsidRPr="00F25D12" w:rsidRDefault="007E10F1" w:rsidP="00915165">
            <w:pPr>
              <w:spacing w:line="240" w:lineRule="auto"/>
              <w:jc w:val="center"/>
              <w:rPr>
                <w:bCs/>
                <w:szCs w:val="24"/>
                <w:lang w:eastAsia="sk-SK"/>
              </w:rPr>
            </w:pPr>
            <w:r>
              <w:rPr>
                <w:bCs/>
                <w:szCs w:val="24"/>
                <w:lang w:eastAsia="sk-SK"/>
              </w:rPr>
              <w:t> -725 000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317" w:rsidRPr="00F25D12" w:rsidRDefault="007E10F1" w:rsidP="00915165">
            <w:pPr>
              <w:spacing w:line="240" w:lineRule="auto"/>
              <w:jc w:val="center"/>
              <w:rPr>
                <w:bCs/>
                <w:szCs w:val="24"/>
                <w:lang w:eastAsia="sk-SK"/>
              </w:rPr>
            </w:pPr>
            <w:r>
              <w:rPr>
                <w:bCs/>
                <w:szCs w:val="24"/>
                <w:lang w:eastAsia="sk-SK"/>
              </w:rPr>
              <w:t> -580 000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317" w:rsidRPr="00F25D12" w:rsidRDefault="00127317" w:rsidP="00915165">
            <w:pPr>
              <w:spacing w:line="240" w:lineRule="auto"/>
              <w:jc w:val="center"/>
              <w:rPr>
                <w:bCs/>
                <w:szCs w:val="24"/>
                <w:lang w:eastAsia="sk-SK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317" w:rsidRPr="004550C4" w:rsidRDefault="00127317" w:rsidP="00915165">
            <w:pPr>
              <w:spacing w:line="240" w:lineRule="auto"/>
              <w:rPr>
                <w:szCs w:val="24"/>
                <w:lang w:eastAsia="sk-SK"/>
              </w:rPr>
            </w:pPr>
            <w:r w:rsidRPr="004550C4">
              <w:rPr>
                <w:szCs w:val="24"/>
                <w:lang w:eastAsia="sk-SK"/>
              </w:rPr>
              <w:t> </w:t>
            </w:r>
            <w:r w:rsidR="00F25D12">
              <w:rPr>
                <w:szCs w:val="24"/>
                <w:lang w:eastAsia="sk-SK"/>
              </w:rPr>
              <w:t>DPH</w:t>
            </w:r>
          </w:p>
        </w:tc>
      </w:tr>
      <w:tr w:rsidR="00127317" w:rsidRPr="004550C4" w:rsidTr="00915165">
        <w:trPr>
          <w:trHeight w:val="255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17" w:rsidRPr="004550C4" w:rsidRDefault="00127317" w:rsidP="00915165">
            <w:pPr>
              <w:spacing w:line="240" w:lineRule="auto"/>
              <w:ind w:left="284" w:hanging="284"/>
              <w:rPr>
                <w:b/>
                <w:bCs/>
                <w:szCs w:val="24"/>
                <w:lang w:eastAsia="sk-SK"/>
              </w:rPr>
            </w:pPr>
            <w:r w:rsidRPr="004550C4">
              <w:rPr>
                <w:b/>
                <w:bCs/>
                <w:szCs w:val="24"/>
                <w:lang w:eastAsia="sk-SK"/>
              </w:rPr>
              <w:t>Nedaňové príjmy (200)</w:t>
            </w:r>
            <w:r w:rsidRPr="004550C4">
              <w:rPr>
                <w:b/>
                <w:bCs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317" w:rsidRPr="004550C4" w:rsidRDefault="00127317" w:rsidP="00915165">
            <w:pPr>
              <w:spacing w:line="240" w:lineRule="auto"/>
              <w:jc w:val="center"/>
              <w:rPr>
                <w:b/>
                <w:bCs/>
                <w:szCs w:val="24"/>
                <w:lang w:eastAsia="sk-SK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317" w:rsidRPr="004550C4" w:rsidRDefault="00127317" w:rsidP="00915165">
            <w:pPr>
              <w:spacing w:line="240" w:lineRule="auto"/>
              <w:jc w:val="right"/>
              <w:rPr>
                <w:b/>
                <w:bCs/>
                <w:iCs/>
                <w:szCs w:val="24"/>
                <w:lang w:eastAsia="sk-SK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317" w:rsidRPr="004550C4" w:rsidRDefault="00127317" w:rsidP="00915165">
            <w:pPr>
              <w:spacing w:line="240" w:lineRule="auto"/>
              <w:jc w:val="right"/>
              <w:rPr>
                <w:b/>
                <w:bCs/>
                <w:iCs/>
                <w:szCs w:val="24"/>
                <w:lang w:eastAsia="sk-SK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317" w:rsidRPr="004550C4" w:rsidRDefault="00127317" w:rsidP="00915165">
            <w:pPr>
              <w:spacing w:line="240" w:lineRule="auto"/>
              <w:jc w:val="right"/>
              <w:rPr>
                <w:b/>
                <w:bCs/>
                <w:iCs/>
                <w:szCs w:val="24"/>
                <w:lang w:eastAsia="sk-SK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317" w:rsidRPr="004550C4" w:rsidRDefault="00127317" w:rsidP="00915165">
            <w:pPr>
              <w:spacing w:line="240" w:lineRule="auto"/>
              <w:rPr>
                <w:szCs w:val="24"/>
                <w:lang w:eastAsia="sk-SK"/>
              </w:rPr>
            </w:pPr>
            <w:r w:rsidRPr="004550C4">
              <w:rPr>
                <w:szCs w:val="24"/>
                <w:lang w:eastAsia="sk-SK"/>
              </w:rPr>
              <w:t> </w:t>
            </w:r>
          </w:p>
        </w:tc>
      </w:tr>
      <w:tr w:rsidR="00127317" w:rsidRPr="004550C4" w:rsidTr="00915165">
        <w:trPr>
          <w:trHeight w:val="255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17" w:rsidRPr="004550C4" w:rsidRDefault="00127317" w:rsidP="00915165">
            <w:pPr>
              <w:spacing w:line="240" w:lineRule="auto"/>
              <w:rPr>
                <w:b/>
                <w:bCs/>
                <w:szCs w:val="24"/>
                <w:lang w:eastAsia="sk-SK"/>
              </w:rPr>
            </w:pPr>
            <w:r w:rsidRPr="004550C4">
              <w:rPr>
                <w:b/>
                <w:bCs/>
                <w:szCs w:val="24"/>
                <w:lang w:eastAsia="sk-SK"/>
              </w:rPr>
              <w:t>Granty a transfery (300)</w:t>
            </w:r>
            <w:r w:rsidRPr="004550C4">
              <w:rPr>
                <w:b/>
                <w:bCs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317" w:rsidRPr="004550C4" w:rsidRDefault="00127317" w:rsidP="00915165">
            <w:pPr>
              <w:spacing w:line="240" w:lineRule="auto"/>
              <w:jc w:val="center"/>
              <w:rPr>
                <w:b/>
                <w:bCs/>
                <w:szCs w:val="24"/>
                <w:lang w:eastAsia="sk-SK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317" w:rsidRPr="004550C4" w:rsidRDefault="00127317" w:rsidP="00915165">
            <w:pPr>
              <w:spacing w:line="240" w:lineRule="auto"/>
              <w:jc w:val="center"/>
              <w:rPr>
                <w:b/>
                <w:bCs/>
                <w:szCs w:val="24"/>
                <w:lang w:eastAsia="sk-SK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317" w:rsidRPr="004550C4" w:rsidRDefault="00127317" w:rsidP="00915165">
            <w:pPr>
              <w:spacing w:line="240" w:lineRule="auto"/>
              <w:jc w:val="center"/>
              <w:rPr>
                <w:b/>
                <w:bCs/>
                <w:szCs w:val="24"/>
                <w:lang w:eastAsia="sk-SK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317" w:rsidRPr="004550C4" w:rsidRDefault="00127317" w:rsidP="00915165">
            <w:pPr>
              <w:spacing w:line="240" w:lineRule="auto"/>
              <w:jc w:val="center"/>
              <w:rPr>
                <w:b/>
                <w:bCs/>
                <w:szCs w:val="24"/>
                <w:lang w:eastAsia="sk-SK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317" w:rsidRPr="004550C4" w:rsidRDefault="00127317" w:rsidP="00915165">
            <w:pPr>
              <w:spacing w:line="240" w:lineRule="auto"/>
              <w:rPr>
                <w:szCs w:val="24"/>
                <w:lang w:eastAsia="sk-SK"/>
              </w:rPr>
            </w:pPr>
            <w:r w:rsidRPr="004550C4">
              <w:rPr>
                <w:szCs w:val="24"/>
                <w:lang w:eastAsia="sk-SK"/>
              </w:rPr>
              <w:t> </w:t>
            </w:r>
          </w:p>
        </w:tc>
      </w:tr>
      <w:tr w:rsidR="00127317" w:rsidRPr="004550C4" w:rsidTr="00915165">
        <w:trPr>
          <w:trHeight w:val="255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17" w:rsidRPr="004550C4" w:rsidRDefault="00127317" w:rsidP="00915165">
            <w:pPr>
              <w:spacing w:line="240" w:lineRule="auto"/>
              <w:rPr>
                <w:b/>
                <w:bCs/>
                <w:szCs w:val="24"/>
                <w:lang w:eastAsia="sk-SK"/>
              </w:rPr>
            </w:pPr>
            <w:r w:rsidRPr="004550C4">
              <w:rPr>
                <w:b/>
                <w:bCs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27317" w:rsidRPr="004550C4" w:rsidRDefault="00127317" w:rsidP="00915165">
            <w:pPr>
              <w:spacing w:line="240" w:lineRule="auto"/>
              <w:jc w:val="center"/>
              <w:rPr>
                <w:b/>
                <w:bCs/>
                <w:szCs w:val="24"/>
                <w:lang w:eastAsia="sk-SK"/>
              </w:rPr>
            </w:pPr>
            <w:r w:rsidRPr="004550C4">
              <w:rPr>
                <w:b/>
                <w:bCs/>
                <w:szCs w:val="24"/>
                <w:lang w:eastAsia="sk-SK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27317" w:rsidRPr="004550C4" w:rsidRDefault="00127317" w:rsidP="00915165">
            <w:pPr>
              <w:spacing w:line="240" w:lineRule="auto"/>
              <w:jc w:val="center"/>
              <w:rPr>
                <w:b/>
                <w:bCs/>
                <w:szCs w:val="24"/>
                <w:lang w:eastAsia="sk-SK"/>
              </w:rPr>
            </w:pPr>
            <w:r w:rsidRPr="004550C4">
              <w:rPr>
                <w:b/>
                <w:bCs/>
                <w:szCs w:val="24"/>
                <w:lang w:eastAsia="sk-SK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27317" w:rsidRPr="004550C4" w:rsidRDefault="00127317" w:rsidP="00915165">
            <w:pPr>
              <w:spacing w:line="240" w:lineRule="auto"/>
              <w:jc w:val="center"/>
              <w:rPr>
                <w:b/>
                <w:bCs/>
                <w:szCs w:val="24"/>
                <w:lang w:eastAsia="sk-SK"/>
              </w:rPr>
            </w:pPr>
            <w:r w:rsidRPr="004550C4">
              <w:rPr>
                <w:b/>
                <w:bCs/>
                <w:szCs w:val="24"/>
                <w:lang w:eastAsia="sk-SK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27317" w:rsidRPr="004550C4" w:rsidRDefault="00127317" w:rsidP="00915165">
            <w:pPr>
              <w:spacing w:line="240" w:lineRule="auto"/>
              <w:jc w:val="center"/>
              <w:rPr>
                <w:b/>
                <w:bCs/>
                <w:szCs w:val="24"/>
                <w:lang w:eastAsia="sk-SK"/>
              </w:rPr>
            </w:pPr>
            <w:r w:rsidRPr="004550C4">
              <w:rPr>
                <w:b/>
                <w:bCs/>
                <w:szCs w:val="24"/>
                <w:lang w:eastAsia="sk-SK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317" w:rsidRPr="004550C4" w:rsidRDefault="00127317" w:rsidP="00915165">
            <w:pPr>
              <w:spacing w:line="240" w:lineRule="auto"/>
              <w:rPr>
                <w:szCs w:val="24"/>
                <w:lang w:eastAsia="sk-SK"/>
              </w:rPr>
            </w:pPr>
            <w:r w:rsidRPr="004550C4">
              <w:rPr>
                <w:szCs w:val="24"/>
                <w:lang w:eastAsia="sk-SK"/>
              </w:rPr>
              <w:t> </w:t>
            </w:r>
          </w:p>
        </w:tc>
      </w:tr>
      <w:tr w:rsidR="00127317" w:rsidRPr="004550C4" w:rsidTr="00915165">
        <w:trPr>
          <w:trHeight w:val="255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17" w:rsidRPr="004550C4" w:rsidRDefault="00127317" w:rsidP="00915165">
            <w:pPr>
              <w:spacing w:line="240" w:lineRule="auto"/>
              <w:rPr>
                <w:b/>
                <w:bCs/>
                <w:szCs w:val="24"/>
                <w:lang w:eastAsia="sk-SK"/>
              </w:rPr>
            </w:pPr>
            <w:r w:rsidRPr="004550C4">
              <w:rPr>
                <w:b/>
                <w:bCs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27317" w:rsidRPr="004550C4" w:rsidRDefault="00127317" w:rsidP="00915165">
            <w:pPr>
              <w:spacing w:line="240" w:lineRule="auto"/>
              <w:jc w:val="center"/>
              <w:rPr>
                <w:b/>
                <w:bCs/>
                <w:szCs w:val="24"/>
                <w:lang w:eastAsia="sk-SK"/>
              </w:rPr>
            </w:pPr>
            <w:r w:rsidRPr="004550C4">
              <w:rPr>
                <w:b/>
                <w:bCs/>
                <w:szCs w:val="24"/>
                <w:lang w:eastAsia="sk-SK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27317" w:rsidRPr="004550C4" w:rsidRDefault="00127317" w:rsidP="00915165">
            <w:pPr>
              <w:spacing w:line="240" w:lineRule="auto"/>
              <w:jc w:val="center"/>
              <w:rPr>
                <w:b/>
                <w:bCs/>
                <w:szCs w:val="24"/>
                <w:lang w:eastAsia="sk-SK"/>
              </w:rPr>
            </w:pPr>
            <w:r w:rsidRPr="004550C4">
              <w:rPr>
                <w:b/>
                <w:bCs/>
                <w:szCs w:val="24"/>
                <w:lang w:eastAsia="sk-SK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27317" w:rsidRPr="004550C4" w:rsidRDefault="00127317" w:rsidP="00915165">
            <w:pPr>
              <w:spacing w:line="240" w:lineRule="auto"/>
              <w:jc w:val="center"/>
              <w:rPr>
                <w:b/>
                <w:bCs/>
                <w:szCs w:val="24"/>
                <w:lang w:eastAsia="sk-SK"/>
              </w:rPr>
            </w:pPr>
            <w:r w:rsidRPr="004550C4">
              <w:rPr>
                <w:b/>
                <w:bCs/>
                <w:szCs w:val="24"/>
                <w:lang w:eastAsia="sk-SK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27317" w:rsidRPr="004550C4" w:rsidRDefault="00127317" w:rsidP="00915165">
            <w:pPr>
              <w:spacing w:line="240" w:lineRule="auto"/>
              <w:jc w:val="center"/>
              <w:rPr>
                <w:b/>
                <w:bCs/>
                <w:szCs w:val="24"/>
                <w:lang w:eastAsia="sk-SK"/>
              </w:rPr>
            </w:pPr>
            <w:r w:rsidRPr="004550C4">
              <w:rPr>
                <w:b/>
                <w:bCs/>
                <w:szCs w:val="24"/>
                <w:lang w:eastAsia="sk-SK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317" w:rsidRPr="004550C4" w:rsidRDefault="00127317" w:rsidP="00915165">
            <w:pPr>
              <w:spacing w:line="240" w:lineRule="auto"/>
              <w:rPr>
                <w:szCs w:val="24"/>
                <w:lang w:eastAsia="sk-SK"/>
              </w:rPr>
            </w:pPr>
            <w:r w:rsidRPr="004550C4">
              <w:rPr>
                <w:szCs w:val="24"/>
                <w:lang w:eastAsia="sk-SK"/>
              </w:rPr>
              <w:t> </w:t>
            </w:r>
          </w:p>
        </w:tc>
      </w:tr>
      <w:tr w:rsidR="00DD59C8" w:rsidRPr="004550C4" w:rsidTr="00DD2FAC">
        <w:trPr>
          <w:trHeight w:val="255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59C8" w:rsidRPr="004550C4" w:rsidRDefault="00DD59C8" w:rsidP="00DD59C8">
            <w:pPr>
              <w:spacing w:line="240" w:lineRule="auto"/>
              <w:rPr>
                <w:b/>
                <w:bCs/>
                <w:szCs w:val="24"/>
                <w:lang w:eastAsia="sk-SK"/>
              </w:rPr>
            </w:pPr>
            <w:r w:rsidRPr="004550C4">
              <w:rPr>
                <w:b/>
                <w:bCs/>
                <w:szCs w:val="24"/>
                <w:lang w:eastAsia="sk-SK"/>
              </w:rPr>
              <w:t xml:space="preserve">Dopad na príjmy verejnej správy </w:t>
            </w:r>
            <w:r>
              <w:rPr>
                <w:b/>
                <w:bCs/>
                <w:szCs w:val="24"/>
                <w:lang w:eastAsia="sk-SK"/>
              </w:rPr>
              <w:t>c</w:t>
            </w:r>
            <w:r w:rsidRPr="004550C4">
              <w:rPr>
                <w:b/>
                <w:bCs/>
                <w:szCs w:val="24"/>
                <w:lang w:eastAsia="sk-SK"/>
              </w:rPr>
              <w:t>elkom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59C8" w:rsidRPr="00F25D12" w:rsidRDefault="007E10F1" w:rsidP="00DD59C8">
            <w:pPr>
              <w:spacing w:line="240" w:lineRule="auto"/>
              <w:jc w:val="center"/>
              <w:rPr>
                <w:bCs/>
                <w:szCs w:val="24"/>
                <w:lang w:eastAsia="sk-SK"/>
              </w:rPr>
            </w:pPr>
            <w:r>
              <w:rPr>
                <w:bCs/>
                <w:szCs w:val="24"/>
                <w:lang w:eastAsia="sk-SK"/>
              </w:rPr>
              <w:t> -145 000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59C8" w:rsidRPr="00F25D12" w:rsidRDefault="007E10F1" w:rsidP="00DD59C8">
            <w:pPr>
              <w:spacing w:line="240" w:lineRule="auto"/>
              <w:jc w:val="center"/>
              <w:rPr>
                <w:bCs/>
                <w:szCs w:val="24"/>
                <w:lang w:eastAsia="sk-SK"/>
              </w:rPr>
            </w:pPr>
            <w:r>
              <w:rPr>
                <w:bCs/>
                <w:szCs w:val="24"/>
                <w:lang w:eastAsia="sk-SK"/>
              </w:rPr>
              <w:t> -725 000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59C8" w:rsidRPr="00F25D12" w:rsidRDefault="007E10F1" w:rsidP="00DD59C8">
            <w:pPr>
              <w:spacing w:line="240" w:lineRule="auto"/>
              <w:jc w:val="center"/>
              <w:rPr>
                <w:bCs/>
                <w:szCs w:val="24"/>
                <w:lang w:eastAsia="sk-SK"/>
              </w:rPr>
            </w:pPr>
            <w:r>
              <w:rPr>
                <w:bCs/>
                <w:szCs w:val="24"/>
                <w:lang w:eastAsia="sk-SK"/>
              </w:rPr>
              <w:t> -580 000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D59C8" w:rsidRPr="004550C4" w:rsidRDefault="00DD59C8" w:rsidP="00DD59C8">
            <w:pPr>
              <w:spacing w:line="240" w:lineRule="auto"/>
              <w:jc w:val="right"/>
              <w:rPr>
                <w:b/>
                <w:bCs/>
                <w:iCs/>
                <w:szCs w:val="24"/>
                <w:lang w:eastAsia="sk-SK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DD59C8" w:rsidRPr="004550C4" w:rsidRDefault="00DD59C8" w:rsidP="00DD59C8">
            <w:pPr>
              <w:spacing w:line="240" w:lineRule="auto"/>
              <w:rPr>
                <w:szCs w:val="24"/>
                <w:lang w:eastAsia="sk-SK"/>
              </w:rPr>
            </w:pPr>
            <w:r w:rsidRPr="004550C4">
              <w:rPr>
                <w:szCs w:val="24"/>
                <w:lang w:eastAsia="sk-SK"/>
              </w:rPr>
              <w:t> </w:t>
            </w:r>
          </w:p>
        </w:tc>
      </w:tr>
    </w:tbl>
    <w:p w:rsidR="005B5539" w:rsidRDefault="005B5539" w:rsidP="00F25D12">
      <w:pPr>
        <w:tabs>
          <w:tab w:val="num" w:pos="1080"/>
        </w:tabs>
        <w:spacing w:line="240" w:lineRule="auto"/>
        <w:jc w:val="both"/>
        <w:rPr>
          <w:szCs w:val="24"/>
        </w:rPr>
      </w:pPr>
    </w:p>
    <w:p w:rsidR="005B5539" w:rsidRDefault="005B5539" w:rsidP="00F25D12">
      <w:pPr>
        <w:tabs>
          <w:tab w:val="num" w:pos="1080"/>
        </w:tabs>
        <w:spacing w:line="240" w:lineRule="auto"/>
        <w:jc w:val="both"/>
        <w:rPr>
          <w:szCs w:val="24"/>
        </w:rPr>
      </w:pPr>
    </w:p>
    <w:p w:rsidR="00127317" w:rsidRDefault="00F25D12" w:rsidP="00F25D12">
      <w:pPr>
        <w:tabs>
          <w:tab w:val="num" w:pos="1080"/>
        </w:tabs>
        <w:spacing w:line="240" w:lineRule="auto"/>
        <w:jc w:val="both"/>
        <w:rPr>
          <w:szCs w:val="24"/>
        </w:rPr>
      </w:pPr>
      <w:r>
        <w:rPr>
          <w:szCs w:val="24"/>
        </w:rPr>
        <w:t>Podľa článku 13 vlastného materiálu, v</w:t>
      </w:r>
      <w:r w:rsidRPr="00F32FB3">
        <w:rPr>
          <w:szCs w:val="24"/>
        </w:rPr>
        <w:t xml:space="preserve"> prípade miestnych nákupov tovarov a služieb na osobnú potrebu, bude mať prvých 144 zamestnancov</w:t>
      </w:r>
      <w:r w:rsidR="005B5539">
        <w:rPr>
          <w:szCs w:val="24"/>
        </w:rPr>
        <w:t xml:space="preserve"> a výkonný riaditeľ ELA</w:t>
      </w:r>
      <w:r w:rsidRPr="00F32FB3">
        <w:rPr>
          <w:szCs w:val="24"/>
        </w:rPr>
        <w:t>, za predpokladu, že</w:t>
      </w:r>
      <w:r w:rsidRPr="00F32FB3">
        <w:t xml:space="preserve"> </w:t>
      </w:r>
      <w:r w:rsidRPr="00F32FB3">
        <w:rPr>
          <w:szCs w:val="24"/>
        </w:rPr>
        <w:t>nie sú štátnymi príslušníkmi Slovenskej republiky alebo nemajú v Slovenskej republike trvalý pobyt, nárok na vrátenie DPH kumulatívne najviac do výšky 10 000 EUR za zamestnanca, ktorý si môžu uplatniť najneskôr do konca roka 2023. Uvedené sa uplatní v prípade, že cena za nákup tovarov a služieb na osobnú potrebu bude vyššia ako sedemdesiat (70) EUR za jednu faktúru. Zaplatená DPH bude vrátená najneskôr do šiestich mesiacov od doručenia žiadosti o vrátenie DPH.</w:t>
      </w:r>
    </w:p>
    <w:p w:rsidR="005B5539" w:rsidRDefault="005B5539" w:rsidP="00F25D12">
      <w:pPr>
        <w:tabs>
          <w:tab w:val="num" w:pos="1080"/>
        </w:tabs>
        <w:spacing w:line="240" w:lineRule="auto"/>
        <w:jc w:val="both"/>
        <w:rPr>
          <w:szCs w:val="24"/>
        </w:rPr>
      </w:pPr>
    </w:p>
    <w:p w:rsidR="00F25D12" w:rsidRPr="00F25D12" w:rsidRDefault="00F25D12" w:rsidP="00F25D12">
      <w:pPr>
        <w:tabs>
          <w:tab w:val="num" w:pos="1080"/>
        </w:tabs>
        <w:spacing w:line="240" w:lineRule="auto"/>
        <w:jc w:val="both"/>
      </w:pPr>
      <w:r>
        <w:rPr>
          <w:szCs w:val="24"/>
        </w:rPr>
        <w:t>Vráteni</w:t>
      </w:r>
      <w:r w:rsidR="00344931">
        <w:rPr>
          <w:szCs w:val="24"/>
        </w:rPr>
        <w:t>e</w:t>
      </w:r>
      <w:r>
        <w:rPr>
          <w:szCs w:val="24"/>
        </w:rPr>
        <w:t xml:space="preserve"> DPH bude mať negatívny vplyv na príjmy z DPH. </w:t>
      </w:r>
      <w:r w:rsidR="0060204E">
        <w:rPr>
          <w:szCs w:val="24"/>
        </w:rPr>
        <w:t xml:space="preserve">Negatívny vplyv bude v celkovej sume 1 450 000 eur (144 zamestnancov a výkonný riaditeľ ELA x 10 000 eur). </w:t>
      </w:r>
      <w:r w:rsidR="0028764B">
        <w:t xml:space="preserve">Rozloženie negatívneho vplyvu do troch rokov odráža predpoklad postupného nárastu počtu prijatých zamestnancov, ako i fakt, že </w:t>
      </w:r>
      <w:r w:rsidR="0028764B" w:rsidRPr="0028764B">
        <w:t>DPH bude vrátená najneskôr do šiestich mesiacov od doručenia žiadosti o vrátenie DPH</w:t>
      </w:r>
      <w:r w:rsidR="0060204E">
        <w:t xml:space="preserve"> a benefit sa bude uplatňovať najneskôr do konca roka 2023</w:t>
      </w:r>
      <w:r w:rsidR="0028764B" w:rsidRPr="0028764B">
        <w:t>.</w:t>
      </w:r>
      <w:r w:rsidR="0028764B">
        <w:t xml:space="preserve"> </w:t>
      </w:r>
      <w:r w:rsidR="0060204E">
        <w:t xml:space="preserve"> </w:t>
      </w:r>
      <w:r w:rsidR="0060204E" w:rsidRPr="0060204E">
        <w:t>DPH bude vrátená Daňovým úradom Bratislava a žiadosti o vrátenie DPH spolu s priloženými faktúrami bude predkladať MPSVR SR</w:t>
      </w:r>
      <w:r w:rsidR="0060204E">
        <w:t>.</w:t>
      </w:r>
    </w:p>
    <w:p w:rsidR="00127317" w:rsidRDefault="00127317" w:rsidP="00FC165A">
      <w:pPr>
        <w:tabs>
          <w:tab w:val="num" w:pos="1080"/>
        </w:tabs>
        <w:spacing w:line="240" w:lineRule="auto"/>
        <w:jc w:val="both"/>
        <w:rPr>
          <w:b/>
          <w:bCs/>
          <w:szCs w:val="20"/>
          <w:lang w:eastAsia="sk-SK"/>
        </w:rPr>
      </w:pPr>
    </w:p>
    <w:p w:rsidR="00127317" w:rsidRDefault="00127317" w:rsidP="00FC165A">
      <w:pPr>
        <w:tabs>
          <w:tab w:val="num" w:pos="1080"/>
        </w:tabs>
        <w:spacing w:line="240" w:lineRule="auto"/>
        <w:jc w:val="both"/>
        <w:rPr>
          <w:b/>
          <w:bCs/>
          <w:szCs w:val="20"/>
          <w:lang w:eastAsia="sk-SK"/>
        </w:rPr>
      </w:pPr>
    </w:p>
    <w:p w:rsidR="00127317" w:rsidRDefault="00127317" w:rsidP="00FC165A">
      <w:pPr>
        <w:tabs>
          <w:tab w:val="num" w:pos="1080"/>
        </w:tabs>
        <w:spacing w:line="240" w:lineRule="auto"/>
        <w:jc w:val="both"/>
        <w:rPr>
          <w:b/>
          <w:bCs/>
          <w:szCs w:val="20"/>
          <w:lang w:eastAsia="sk-SK"/>
        </w:rPr>
      </w:pPr>
    </w:p>
    <w:p w:rsidR="00127317" w:rsidRDefault="00127317" w:rsidP="00FC165A">
      <w:pPr>
        <w:tabs>
          <w:tab w:val="num" w:pos="1080"/>
        </w:tabs>
        <w:spacing w:line="240" w:lineRule="auto"/>
        <w:jc w:val="both"/>
        <w:rPr>
          <w:b/>
          <w:bCs/>
          <w:szCs w:val="20"/>
          <w:lang w:eastAsia="sk-SK"/>
        </w:rPr>
      </w:pPr>
    </w:p>
    <w:p w:rsidR="00127317" w:rsidRDefault="00127317" w:rsidP="00FC165A">
      <w:pPr>
        <w:tabs>
          <w:tab w:val="num" w:pos="1080"/>
        </w:tabs>
        <w:spacing w:line="240" w:lineRule="auto"/>
        <w:jc w:val="both"/>
        <w:rPr>
          <w:b/>
          <w:bCs/>
          <w:szCs w:val="20"/>
          <w:lang w:eastAsia="sk-SK"/>
        </w:rPr>
      </w:pPr>
    </w:p>
    <w:p w:rsidR="00127317" w:rsidRDefault="00127317" w:rsidP="00FC165A">
      <w:pPr>
        <w:tabs>
          <w:tab w:val="num" w:pos="1080"/>
        </w:tabs>
        <w:spacing w:line="240" w:lineRule="auto"/>
        <w:jc w:val="both"/>
        <w:rPr>
          <w:b/>
          <w:bCs/>
          <w:szCs w:val="20"/>
          <w:lang w:eastAsia="sk-SK"/>
        </w:rPr>
      </w:pPr>
    </w:p>
    <w:p w:rsidR="00127317" w:rsidRDefault="00127317" w:rsidP="00FC165A">
      <w:pPr>
        <w:tabs>
          <w:tab w:val="num" w:pos="1080"/>
        </w:tabs>
        <w:spacing w:line="240" w:lineRule="auto"/>
        <w:jc w:val="both"/>
        <w:rPr>
          <w:b/>
          <w:bCs/>
          <w:szCs w:val="20"/>
          <w:lang w:eastAsia="sk-SK"/>
        </w:rPr>
      </w:pPr>
    </w:p>
    <w:p w:rsidR="00127317" w:rsidRDefault="00127317" w:rsidP="00FC165A">
      <w:pPr>
        <w:tabs>
          <w:tab w:val="num" w:pos="1080"/>
        </w:tabs>
        <w:spacing w:line="240" w:lineRule="auto"/>
        <w:jc w:val="both"/>
        <w:rPr>
          <w:b/>
          <w:bCs/>
          <w:szCs w:val="20"/>
          <w:lang w:eastAsia="sk-SK"/>
        </w:rPr>
      </w:pPr>
    </w:p>
    <w:p w:rsidR="00E940CA" w:rsidRDefault="00E940CA" w:rsidP="00FC165A">
      <w:pPr>
        <w:tabs>
          <w:tab w:val="num" w:pos="1080"/>
        </w:tabs>
        <w:spacing w:line="240" w:lineRule="auto"/>
        <w:jc w:val="both"/>
        <w:rPr>
          <w:b/>
          <w:bCs/>
          <w:szCs w:val="20"/>
          <w:lang w:eastAsia="sk-SK"/>
        </w:rPr>
      </w:pPr>
    </w:p>
    <w:p w:rsidR="00E940CA" w:rsidRDefault="00E940CA" w:rsidP="00FC165A">
      <w:pPr>
        <w:tabs>
          <w:tab w:val="num" w:pos="1080"/>
        </w:tabs>
        <w:spacing w:line="240" w:lineRule="auto"/>
        <w:jc w:val="both"/>
        <w:rPr>
          <w:b/>
          <w:bCs/>
          <w:szCs w:val="20"/>
          <w:lang w:eastAsia="sk-SK"/>
        </w:rPr>
      </w:pPr>
    </w:p>
    <w:p w:rsidR="00E940CA" w:rsidRDefault="00E940CA" w:rsidP="00FC165A">
      <w:pPr>
        <w:tabs>
          <w:tab w:val="num" w:pos="1080"/>
        </w:tabs>
        <w:spacing w:line="240" w:lineRule="auto"/>
        <w:jc w:val="both"/>
        <w:rPr>
          <w:b/>
          <w:bCs/>
          <w:szCs w:val="20"/>
          <w:lang w:eastAsia="sk-SK"/>
        </w:rPr>
      </w:pPr>
    </w:p>
    <w:p w:rsidR="00E940CA" w:rsidRDefault="00E940CA" w:rsidP="00FC165A">
      <w:pPr>
        <w:tabs>
          <w:tab w:val="num" w:pos="1080"/>
        </w:tabs>
        <w:spacing w:line="240" w:lineRule="auto"/>
        <w:jc w:val="both"/>
        <w:rPr>
          <w:b/>
          <w:bCs/>
          <w:szCs w:val="20"/>
          <w:lang w:eastAsia="sk-SK"/>
        </w:rPr>
      </w:pPr>
    </w:p>
    <w:p w:rsidR="00127317" w:rsidRDefault="00127317" w:rsidP="00FC165A">
      <w:pPr>
        <w:tabs>
          <w:tab w:val="num" w:pos="1080"/>
        </w:tabs>
        <w:spacing w:line="240" w:lineRule="auto"/>
        <w:jc w:val="both"/>
        <w:rPr>
          <w:b/>
          <w:bCs/>
          <w:szCs w:val="20"/>
          <w:lang w:eastAsia="sk-SK"/>
        </w:rPr>
      </w:pPr>
    </w:p>
    <w:p w:rsidR="00FC165A" w:rsidRPr="004550C4" w:rsidRDefault="00FC165A" w:rsidP="00FC165A">
      <w:pPr>
        <w:tabs>
          <w:tab w:val="num" w:pos="1080"/>
        </w:tabs>
        <w:spacing w:line="240" w:lineRule="auto"/>
        <w:jc w:val="both"/>
        <w:rPr>
          <w:b/>
          <w:bCs/>
          <w:szCs w:val="20"/>
          <w:lang w:eastAsia="sk-SK"/>
        </w:rPr>
      </w:pPr>
      <w:r w:rsidRPr="004550C4">
        <w:rPr>
          <w:b/>
          <w:bCs/>
          <w:szCs w:val="20"/>
          <w:lang w:eastAsia="sk-SK"/>
        </w:rPr>
        <w:t>Poznámka:</w:t>
      </w:r>
    </w:p>
    <w:p w:rsidR="00FC165A" w:rsidRDefault="00FC165A" w:rsidP="00FC165A">
      <w:pPr>
        <w:tabs>
          <w:tab w:val="num" w:pos="1080"/>
        </w:tabs>
        <w:spacing w:line="240" w:lineRule="auto"/>
        <w:jc w:val="both"/>
        <w:rPr>
          <w:bCs/>
          <w:szCs w:val="20"/>
          <w:lang w:eastAsia="sk-SK"/>
        </w:rPr>
      </w:pPr>
      <w:r w:rsidRPr="004550C4">
        <w:rPr>
          <w:bCs/>
          <w:szCs w:val="20"/>
          <w:lang w:eastAsia="sk-SK"/>
        </w:rPr>
        <w:t>Ak sa vplyv týka viacerých subjektov verejnej správy, vypĺňa sa samostatná tabuľka za každý subjekt.</w:t>
      </w:r>
    </w:p>
    <w:p w:rsidR="00C2639E" w:rsidRDefault="00C2639E" w:rsidP="00FC165A">
      <w:pPr>
        <w:tabs>
          <w:tab w:val="num" w:pos="1080"/>
        </w:tabs>
        <w:spacing w:line="240" w:lineRule="auto"/>
        <w:jc w:val="both"/>
        <w:rPr>
          <w:bCs/>
          <w:szCs w:val="20"/>
          <w:lang w:eastAsia="sk-SK"/>
        </w:rPr>
      </w:pPr>
    </w:p>
    <w:p w:rsidR="00C2639E" w:rsidRDefault="00C2639E" w:rsidP="00FC165A">
      <w:pPr>
        <w:tabs>
          <w:tab w:val="num" w:pos="1080"/>
        </w:tabs>
        <w:spacing w:line="240" w:lineRule="auto"/>
        <w:jc w:val="both"/>
        <w:rPr>
          <w:bCs/>
          <w:szCs w:val="20"/>
          <w:lang w:eastAsia="sk-SK"/>
        </w:rPr>
      </w:pPr>
    </w:p>
    <w:p w:rsidR="00C2639E" w:rsidRDefault="00C2639E" w:rsidP="00FC165A">
      <w:pPr>
        <w:tabs>
          <w:tab w:val="num" w:pos="1080"/>
        </w:tabs>
        <w:spacing w:line="240" w:lineRule="auto"/>
        <w:jc w:val="both"/>
        <w:rPr>
          <w:bCs/>
          <w:szCs w:val="20"/>
          <w:lang w:eastAsia="sk-SK"/>
        </w:rPr>
      </w:pPr>
    </w:p>
    <w:p w:rsidR="00C2639E" w:rsidRDefault="00C2639E" w:rsidP="00FC165A">
      <w:pPr>
        <w:tabs>
          <w:tab w:val="num" w:pos="1080"/>
        </w:tabs>
        <w:spacing w:line="240" w:lineRule="auto"/>
        <w:jc w:val="both"/>
        <w:rPr>
          <w:bCs/>
          <w:szCs w:val="20"/>
          <w:lang w:eastAsia="sk-SK"/>
        </w:rPr>
      </w:pPr>
    </w:p>
    <w:p w:rsidR="00C2639E" w:rsidRPr="004550C4" w:rsidRDefault="00C2639E" w:rsidP="00FC165A">
      <w:pPr>
        <w:tabs>
          <w:tab w:val="num" w:pos="1080"/>
        </w:tabs>
        <w:spacing w:line="240" w:lineRule="auto"/>
        <w:jc w:val="both"/>
        <w:rPr>
          <w:bCs/>
          <w:szCs w:val="20"/>
          <w:lang w:eastAsia="sk-SK"/>
        </w:rPr>
      </w:pPr>
    </w:p>
    <w:p w:rsidR="00FC165A" w:rsidRPr="007B6369" w:rsidRDefault="00FC165A" w:rsidP="00FC165A">
      <w:pPr>
        <w:tabs>
          <w:tab w:val="num" w:pos="1080"/>
        </w:tabs>
        <w:spacing w:line="240" w:lineRule="auto"/>
        <w:ind w:right="-32"/>
        <w:jc w:val="right"/>
        <w:rPr>
          <w:b/>
          <w:bCs/>
          <w:iCs/>
          <w:sz w:val="20"/>
          <w:szCs w:val="20"/>
          <w:lang w:eastAsia="sk-SK"/>
        </w:rPr>
      </w:pPr>
      <w:r w:rsidRPr="007B6369">
        <w:rPr>
          <w:b/>
          <w:bCs/>
          <w:iCs/>
          <w:sz w:val="20"/>
          <w:szCs w:val="20"/>
          <w:lang w:eastAsia="sk-SK"/>
        </w:rPr>
        <w:lastRenderedPageBreak/>
        <w:t xml:space="preserve">Tabuľka č. 4 </w:t>
      </w:r>
    </w:p>
    <w:tbl>
      <w:tblPr>
        <w:tblpPr w:leftFromText="141" w:rightFromText="141" w:vertAnchor="text" w:horzAnchor="page" w:tblpX="629" w:tblpY="2"/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1418"/>
        <w:gridCol w:w="1559"/>
        <w:gridCol w:w="1276"/>
        <w:gridCol w:w="1275"/>
        <w:gridCol w:w="1276"/>
      </w:tblGrid>
      <w:tr w:rsidR="00FC165A" w:rsidRPr="001964E2" w:rsidTr="00C2639E">
        <w:trPr>
          <w:cantSplit/>
          <w:trHeight w:val="255"/>
        </w:trPr>
        <w:tc>
          <w:tcPr>
            <w:tcW w:w="3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C165A" w:rsidRPr="001406F4" w:rsidRDefault="00FC165A" w:rsidP="00D13EF0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eastAsia="sk-SK"/>
              </w:rPr>
            </w:pPr>
            <w:r w:rsidRPr="001406F4">
              <w:rPr>
                <w:b/>
                <w:bCs/>
                <w:sz w:val="20"/>
                <w:szCs w:val="20"/>
                <w:lang w:eastAsia="sk-SK"/>
              </w:rPr>
              <w:t>Výdavky</w:t>
            </w:r>
            <w:r w:rsidR="00D13EF0" w:rsidRPr="001406F4">
              <w:rPr>
                <w:b/>
                <w:bCs/>
                <w:sz w:val="20"/>
                <w:szCs w:val="20"/>
                <w:lang w:eastAsia="sk-SK"/>
              </w:rPr>
              <w:t xml:space="preserve"> (v EUR)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C165A" w:rsidRPr="001406F4" w:rsidRDefault="00FC165A" w:rsidP="002B77CE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eastAsia="sk-SK"/>
              </w:rPr>
            </w:pPr>
            <w:r w:rsidRPr="001406F4">
              <w:rPr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FC165A" w:rsidRPr="001406F4" w:rsidRDefault="00FC165A" w:rsidP="002B77CE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eastAsia="sk-SK"/>
              </w:rPr>
            </w:pPr>
            <w:r w:rsidRPr="001406F4">
              <w:rPr>
                <w:b/>
                <w:bCs/>
                <w:sz w:val="20"/>
                <w:szCs w:val="20"/>
                <w:lang w:eastAsia="sk-SK"/>
              </w:rPr>
              <w:t>poznámka</w:t>
            </w:r>
          </w:p>
        </w:tc>
      </w:tr>
      <w:tr w:rsidR="00FC165A" w:rsidRPr="001964E2" w:rsidTr="00C2639E">
        <w:trPr>
          <w:cantSplit/>
          <w:trHeight w:val="255"/>
        </w:trPr>
        <w:tc>
          <w:tcPr>
            <w:tcW w:w="3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165A" w:rsidRPr="001406F4" w:rsidRDefault="00FC165A" w:rsidP="002B77CE">
            <w:pPr>
              <w:spacing w:line="240" w:lineRule="auto"/>
              <w:rPr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C165A" w:rsidRPr="001406F4" w:rsidRDefault="00FC165A" w:rsidP="00F623EA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eastAsia="sk-SK"/>
              </w:rPr>
            </w:pPr>
            <w:r w:rsidRPr="001406F4">
              <w:rPr>
                <w:b/>
                <w:bCs/>
                <w:sz w:val="20"/>
                <w:szCs w:val="20"/>
                <w:lang w:eastAsia="sk-SK"/>
              </w:rPr>
              <w:t>20</w:t>
            </w:r>
            <w:r w:rsidR="00345A3E" w:rsidRPr="001406F4">
              <w:rPr>
                <w:b/>
                <w:bCs/>
                <w:sz w:val="20"/>
                <w:szCs w:val="20"/>
                <w:lang w:eastAsia="sk-SK"/>
              </w:rPr>
              <w:t>2</w:t>
            </w:r>
            <w:r w:rsidR="00F623EA" w:rsidRPr="001406F4">
              <w:rPr>
                <w:b/>
                <w:bCs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C165A" w:rsidRPr="001406F4" w:rsidRDefault="00FC165A" w:rsidP="00F623EA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eastAsia="sk-SK"/>
              </w:rPr>
            </w:pPr>
            <w:r w:rsidRPr="001406F4">
              <w:rPr>
                <w:b/>
                <w:bCs/>
                <w:sz w:val="20"/>
                <w:szCs w:val="20"/>
                <w:lang w:eastAsia="sk-SK"/>
              </w:rPr>
              <w:t>20</w:t>
            </w:r>
            <w:r w:rsidR="00723FCE" w:rsidRPr="001406F4">
              <w:rPr>
                <w:b/>
                <w:bCs/>
                <w:sz w:val="20"/>
                <w:szCs w:val="20"/>
                <w:lang w:eastAsia="sk-SK"/>
              </w:rPr>
              <w:t>2</w:t>
            </w:r>
            <w:r w:rsidR="00F623EA" w:rsidRPr="001406F4">
              <w:rPr>
                <w:b/>
                <w:bCs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C165A" w:rsidRPr="001406F4" w:rsidRDefault="00FC165A" w:rsidP="00F623EA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eastAsia="sk-SK"/>
              </w:rPr>
            </w:pPr>
            <w:r w:rsidRPr="001406F4">
              <w:rPr>
                <w:b/>
                <w:bCs/>
                <w:sz w:val="20"/>
                <w:szCs w:val="20"/>
                <w:lang w:eastAsia="sk-SK"/>
              </w:rPr>
              <w:t>202</w:t>
            </w:r>
            <w:r w:rsidR="00F623EA" w:rsidRPr="001406F4">
              <w:rPr>
                <w:b/>
                <w:bCs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C165A" w:rsidRPr="001406F4" w:rsidRDefault="00FC165A" w:rsidP="00F623EA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eastAsia="sk-SK"/>
              </w:rPr>
            </w:pPr>
            <w:r w:rsidRPr="001406F4">
              <w:rPr>
                <w:b/>
                <w:bCs/>
                <w:sz w:val="20"/>
                <w:szCs w:val="20"/>
                <w:lang w:eastAsia="sk-SK"/>
              </w:rPr>
              <w:t>202</w:t>
            </w:r>
            <w:r w:rsidR="00F623EA" w:rsidRPr="001406F4">
              <w:rPr>
                <w:b/>
                <w:bCs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5A" w:rsidRPr="001406F4" w:rsidRDefault="00FC165A" w:rsidP="002B77CE">
            <w:pPr>
              <w:spacing w:line="240" w:lineRule="auto"/>
              <w:rPr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FC165A" w:rsidRPr="001964E2" w:rsidTr="00C2639E">
        <w:trPr>
          <w:trHeight w:val="25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5A" w:rsidRPr="001406F4" w:rsidRDefault="00FC165A" w:rsidP="002B77CE">
            <w:pPr>
              <w:spacing w:line="240" w:lineRule="auto"/>
              <w:rPr>
                <w:b/>
                <w:bCs/>
                <w:sz w:val="20"/>
                <w:szCs w:val="20"/>
                <w:lang w:eastAsia="sk-SK"/>
              </w:rPr>
            </w:pPr>
            <w:r w:rsidRPr="001406F4">
              <w:rPr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65A" w:rsidRPr="001406F4" w:rsidRDefault="003C4903" w:rsidP="001406F4">
            <w:pPr>
              <w:spacing w:line="240" w:lineRule="auto"/>
              <w:jc w:val="center"/>
              <w:rPr>
                <w:b/>
                <w:bCs/>
                <w:iCs/>
                <w:sz w:val="20"/>
                <w:szCs w:val="20"/>
                <w:lang w:eastAsia="sk-SK"/>
              </w:rPr>
            </w:pPr>
            <w:r w:rsidRPr="001406F4">
              <w:rPr>
                <w:b/>
                <w:bCs/>
                <w:iCs/>
                <w:sz w:val="20"/>
                <w:szCs w:val="20"/>
                <w:lang w:eastAsia="sk-SK"/>
              </w:rPr>
              <w:t>54 824,25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65A" w:rsidRPr="001406F4" w:rsidRDefault="007122A8" w:rsidP="001406F4">
            <w:pPr>
              <w:spacing w:line="240" w:lineRule="auto"/>
              <w:jc w:val="center"/>
              <w:rPr>
                <w:b/>
                <w:bCs/>
                <w:iCs/>
                <w:sz w:val="20"/>
                <w:szCs w:val="20"/>
                <w:lang w:eastAsia="sk-SK"/>
              </w:rPr>
            </w:pPr>
            <w:r w:rsidRPr="001406F4">
              <w:rPr>
                <w:b/>
                <w:bCs/>
                <w:iCs/>
                <w:sz w:val="20"/>
                <w:szCs w:val="20"/>
                <w:lang w:eastAsia="sk-SK"/>
              </w:rPr>
              <w:t>1</w:t>
            </w:r>
            <w:r w:rsidR="003C4903" w:rsidRPr="001406F4">
              <w:rPr>
                <w:b/>
                <w:bCs/>
                <w:iCs/>
                <w:sz w:val="20"/>
                <w:szCs w:val="20"/>
                <w:lang w:eastAsia="sk-SK"/>
              </w:rPr>
              <w:t> 353 453,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65A" w:rsidRPr="001406F4" w:rsidRDefault="00D71FEC" w:rsidP="001406F4">
            <w:pPr>
              <w:spacing w:line="240" w:lineRule="auto"/>
              <w:jc w:val="center"/>
              <w:rPr>
                <w:b/>
                <w:bCs/>
                <w:iCs/>
                <w:sz w:val="20"/>
                <w:szCs w:val="20"/>
                <w:lang w:eastAsia="sk-SK"/>
              </w:rPr>
            </w:pPr>
            <w:r w:rsidRPr="001406F4">
              <w:rPr>
                <w:b/>
                <w:bCs/>
                <w:iCs/>
                <w:sz w:val="20"/>
                <w:szCs w:val="20"/>
                <w:lang w:eastAsia="sk-SK"/>
              </w:rPr>
              <w:t>1 338 730, 07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65A" w:rsidRPr="001406F4" w:rsidRDefault="00D71FEC" w:rsidP="00976ED8">
            <w:pPr>
              <w:spacing w:line="240" w:lineRule="auto"/>
              <w:jc w:val="center"/>
              <w:rPr>
                <w:b/>
                <w:bCs/>
                <w:iCs/>
                <w:sz w:val="20"/>
                <w:szCs w:val="20"/>
                <w:lang w:eastAsia="sk-SK"/>
              </w:rPr>
            </w:pPr>
            <w:r w:rsidRPr="001406F4">
              <w:rPr>
                <w:b/>
                <w:bCs/>
                <w:iCs/>
                <w:sz w:val="20"/>
                <w:szCs w:val="20"/>
                <w:lang w:eastAsia="sk-SK"/>
              </w:rPr>
              <w:t>1 359 587, 50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165A" w:rsidRPr="001406F4" w:rsidRDefault="00FC165A" w:rsidP="002B77CE">
            <w:pPr>
              <w:spacing w:line="240" w:lineRule="auto"/>
              <w:rPr>
                <w:sz w:val="20"/>
                <w:szCs w:val="20"/>
                <w:lang w:eastAsia="sk-SK"/>
              </w:rPr>
            </w:pPr>
            <w:r w:rsidRPr="001406F4">
              <w:rPr>
                <w:sz w:val="20"/>
                <w:szCs w:val="20"/>
                <w:lang w:eastAsia="sk-SK"/>
              </w:rPr>
              <w:t> </w:t>
            </w:r>
          </w:p>
        </w:tc>
      </w:tr>
      <w:tr w:rsidR="00FC165A" w:rsidRPr="001964E2" w:rsidTr="00C2639E">
        <w:trPr>
          <w:trHeight w:val="25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5A" w:rsidRPr="001406F4" w:rsidRDefault="00FC165A" w:rsidP="002B77CE">
            <w:pPr>
              <w:spacing w:line="240" w:lineRule="auto"/>
              <w:rPr>
                <w:sz w:val="20"/>
                <w:szCs w:val="20"/>
                <w:lang w:eastAsia="sk-SK"/>
              </w:rPr>
            </w:pPr>
            <w:r w:rsidRPr="001406F4">
              <w:rPr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65A" w:rsidRPr="001406F4" w:rsidRDefault="003C4903" w:rsidP="001406F4">
            <w:pPr>
              <w:spacing w:line="240" w:lineRule="auto"/>
              <w:jc w:val="center"/>
              <w:rPr>
                <w:b/>
                <w:bCs/>
                <w:iCs/>
                <w:sz w:val="20"/>
                <w:szCs w:val="20"/>
                <w:lang w:eastAsia="sk-SK"/>
              </w:rPr>
            </w:pPr>
            <w:r w:rsidRPr="001406F4">
              <w:rPr>
                <w:b/>
                <w:bCs/>
                <w:iCs/>
                <w:sz w:val="20"/>
                <w:szCs w:val="20"/>
                <w:lang w:eastAsia="sk-SK"/>
              </w:rPr>
              <w:t>6 510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65A" w:rsidRPr="001406F4" w:rsidRDefault="003C4903" w:rsidP="001406F4">
            <w:pPr>
              <w:spacing w:line="240" w:lineRule="auto"/>
              <w:jc w:val="center"/>
              <w:rPr>
                <w:b/>
                <w:bCs/>
                <w:iCs/>
                <w:sz w:val="20"/>
                <w:szCs w:val="20"/>
                <w:lang w:eastAsia="sk-SK"/>
              </w:rPr>
            </w:pPr>
            <w:r w:rsidRPr="001406F4">
              <w:rPr>
                <w:b/>
                <w:bCs/>
                <w:iCs/>
                <w:sz w:val="20"/>
                <w:szCs w:val="20"/>
                <w:lang w:eastAsia="sk-SK"/>
              </w:rPr>
              <w:t>26 040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65A" w:rsidRPr="001406F4" w:rsidRDefault="003C4903" w:rsidP="001406F4">
            <w:pPr>
              <w:spacing w:line="240" w:lineRule="auto"/>
              <w:jc w:val="center"/>
              <w:rPr>
                <w:b/>
                <w:bCs/>
                <w:iCs/>
                <w:sz w:val="20"/>
                <w:szCs w:val="20"/>
                <w:lang w:eastAsia="sk-SK"/>
              </w:rPr>
            </w:pPr>
            <w:r w:rsidRPr="001406F4">
              <w:rPr>
                <w:b/>
                <w:bCs/>
                <w:iCs/>
                <w:sz w:val="20"/>
                <w:szCs w:val="20"/>
                <w:lang w:eastAsia="sk-SK"/>
              </w:rPr>
              <w:t>26 040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65A" w:rsidRPr="001406F4" w:rsidRDefault="003C4903" w:rsidP="007B6369">
            <w:pPr>
              <w:spacing w:line="240" w:lineRule="auto"/>
              <w:jc w:val="center"/>
              <w:rPr>
                <w:b/>
                <w:bCs/>
                <w:iCs/>
                <w:sz w:val="20"/>
                <w:szCs w:val="20"/>
                <w:lang w:eastAsia="sk-SK"/>
              </w:rPr>
            </w:pPr>
            <w:r w:rsidRPr="001406F4">
              <w:rPr>
                <w:b/>
                <w:bCs/>
                <w:iCs/>
                <w:sz w:val="20"/>
                <w:szCs w:val="20"/>
                <w:lang w:eastAsia="sk-SK"/>
              </w:rPr>
              <w:t>26 040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165A" w:rsidRPr="001406F4" w:rsidRDefault="00002423" w:rsidP="002B77CE">
            <w:pPr>
              <w:spacing w:line="240" w:lineRule="auto"/>
              <w:rPr>
                <w:sz w:val="20"/>
                <w:szCs w:val="20"/>
                <w:lang w:eastAsia="sk-SK"/>
              </w:rPr>
            </w:pPr>
            <w:r w:rsidRPr="001406F4">
              <w:rPr>
                <w:sz w:val="20"/>
                <w:szCs w:val="20"/>
                <w:lang w:eastAsia="sk-SK"/>
              </w:rPr>
              <w:t>MZVaEZ SR</w:t>
            </w:r>
          </w:p>
        </w:tc>
      </w:tr>
      <w:tr w:rsidR="001406F4" w:rsidRPr="001964E2" w:rsidTr="00C2639E">
        <w:trPr>
          <w:trHeight w:val="25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F4" w:rsidRPr="001406F4" w:rsidRDefault="001406F4" w:rsidP="001406F4">
            <w:pPr>
              <w:spacing w:line="240" w:lineRule="auto"/>
              <w:rPr>
                <w:sz w:val="20"/>
                <w:szCs w:val="20"/>
                <w:vertAlign w:val="superscript"/>
                <w:lang w:eastAsia="sk-SK"/>
              </w:rPr>
            </w:pPr>
            <w:r w:rsidRPr="001406F4">
              <w:rPr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6F4" w:rsidRPr="001406F4" w:rsidRDefault="001406F4" w:rsidP="001406F4">
            <w:pPr>
              <w:spacing w:line="240" w:lineRule="auto"/>
              <w:jc w:val="center"/>
              <w:rPr>
                <w:sz w:val="20"/>
                <w:szCs w:val="20"/>
                <w:lang w:eastAsia="sk-SK"/>
              </w:rPr>
            </w:pPr>
            <w:r w:rsidRPr="001406F4">
              <w:rPr>
                <w:sz w:val="20"/>
                <w:szCs w:val="20"/>
                <w:lang w:eastAsia="sk-SK"/>
              </w:rPr>
              <w:t>5 439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6F4" w:rsidRPr="001406F4" w:rsidRDefault="001406F4" w:rsidP="001406F4">
            <w:pPr>
              <w:spacing w:line="240" w:lineRule="auto"/>
              <w:jc w:val="center"/>
              <w:rPr>
                <w:sz w:val="20"/>
                <w:szCs w:val="20"/>
                <w:lang w:eastAsia="sk-SK"/>
              </w:rPr>
            </w:pPr>
            <w:r w:rsidRPr="001406F4">
              <w:rPr>
                <w:sz w:val="20"/>
                <w:szCs w:val="20"/>
                <w:lang w:eastAsia="sk-SK"/>
              </w:rPr>
              <w:t>7 252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6F4" w:rsidRPr="001406F4" w:rsidRDefault="001406F4" w:rsidP="001406F4">
            <w:pPr>
              <w:spacing w:line="240" w:lineRule="auto"/>
              <w:jc w:val="center"/>
              <w:rPr>
                <w:sz w:val="20"/>
                <w:szCs w:val="20"/>
                <w:lang w:eastAsia="sk-SK"/>
              </w:rPr>
            </w:pPr>
            <w:r w:rsidRPr="001406F4">
              <w:rPr>
                <w:sz w:val="20"/>
                <w:szCs w:val="20"/>
                <w:lang w:eastAsia="sk-SK"/>
              </w:rPr>
              <w:t>9 101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6F4" w:rsidRPr="001406F4" w:rsidRDefault="001406F4" w:rsidP="001406F4">
            <w:pPr>
              <w:spacing w:line="240" w:lineRule="auto"/>
              <w:jc w:val="center"/>
              <w:rPr>
                <w:sz w:val="20"/>
                <w:szCs w:val="20"/>
                <w:lang w:eastAsia="sk-SK"/>
              </w:rPr>
            </w:pPr>
            <w:r w:rsidRPr="001406F4">
              <w:rPr>
                <w:sz w:val="20"/>
                <w:szCs w:val="20"/>
                <w:lang w:eastAsia="sk-SK"/>
              </w:rPr>
              <w:t>9 101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6F4" w:rsidRPr="001406F4" w:rsidRDefault="001406F4" w:rsidP="001406F4">
            <w:pPr>
              <w:spacing w:line="240" w:lineRule="auto"/>
              <w:rPr>
                <w:sz w:val="20"/>
                <w:szCs w:val="20"/>
                <w:lang w:eastAsia="sk-SK"/>
              </w:rPr>
            </w:pPr>
            <w:r w:rsidRPr="001406F4">
              <w:rPr>
                <w:sz w:val="20"/>
                <w:szCs w:val="20"/>
                <w:lang w:eastAsia="sk-SK"/>
              </w:rPr>
              <w:t> a. s. (MPSVR SR)</w:t>
            </w:r>
          </w:p>
        </w:tc>
      </w:tr>
      <w:tr w:rsidR="001406F4" w:rsidRPr="001964E2" w:rsidTr="00C2639E">
        <w:trPr>
          <w:trHeight w:val="25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F4" w:rsidRPr="001406F4" w:rsidRDefault="001406F4" w:rsidP="001406F4">
            <w:pPr>
              <w:spacing w:line="240" w:lineRule="auto"/>
              <w:rPr>
                <w:sz w:val="20"/>
                <w:szCs w:val="20"/>
                <w:vertAlign w:val="superscript"/>
                <w:lang w:eastAsia="sk-SK"/>
              </w:rPr>
            </w:pPr>
            <w:r w:rsidRPr="001406F4">
              <w:rPr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6F4" w:rsidRPr="001406F4" w:rsidRDefault="001406F4" w:rsidP="001406F4">
            <w:pPr>
              <w:spacing w:line="240" w:lineRule="auto"/>
              <w:jc w:val="center"/>
              <w:rPr>
                <w:bCs/>
                <w:iCs/>
                <w:sz w:val="20"/>
                <w:szCs w:val="20"/>
                <w:lang w:eastAsia="sk-SK"/>
              </w:rPr>
            </w:pPr>
            <w:r w:rsidRPr="001406F4">
              <w:rPr>
                <w:bCs/>
                <w:iCs/>
                <w:sz w:val="20"/>
                <w:szCs w:val="20"/>
                <w:lang w:eastAsia="sk-SK"/>
              </w:rPr>
              <w:t>2 275,25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6F4" w:rsidRPr="001406F4" w:rsidRDefault="001406F4" w:rsidP="001406F4">
            <w:pPr>
              <w:spacing w:line="240" w:lineRule="auto"/>
              <w:jc w:val="center"/>
              <w:rPr>
                <w:bCs/>
                <w:iCs/>
                <w:sz w:val="20"/>
                <w:szCs w:val="20"/>
                <w:lang w:eastAsia="sk-SK"/>
              </w:rPr>
            </w:pPr>
            <w:r w:rsidRPr="001406F4">
              <w:rPr>
                <w:bCs/>
                <w:iCs/>
                <w:sz w:val="20"/>
                <w:szCs w:val="20"/>
                <w:lang w:eastAsia="sk-SK"/>
              </w:rPr>
              <w:t>9 101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6F4" w:rsidRPr="001406F4" w:rsidRDefault="001406F4" w:rsidP="001406F4">
            <w:pPr>
              <w:spacing w:line="240" w:lineRule="auto"/>
              <w:jc w:val="center"/>
              <w:rPr>
                <w:sz w:val="20"/>
                <w:szCs w:val="20"/>
                <w:lang w:eastAsia="sk-SK"/>
              </w:rPr>
            </w:pPr>
            <w:r w:rsidRPr="001406F4">
              <w:rPr>
                <w:sz w:val="20"/>
                <w:szCs w:val="20"/>
                <w:lang w:eastAsia="sk-SK"/>
              </w:rPr>
              <w:t>9 101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6F4" w:rsidRPr="001406F4" w:rsidRDefault="001406F4" w:rsidP="001406F4">
            <w:pPr>
              <w:spacing w:line="240" w:lineRule="auto"/>
              <w:jc w:val="center"/>
              <w:rPr>
                <w:sz w:val="20"/>
                <w:szCs w:val="20"/>
                <w:lang w:eastAsia="sk-SK"/>
              </w:rPr>
            </w:pPr>
            <w:r w:rsidRPr="001406F4">
              <w:rPr>
                <w:sz w:val="20"/>
                <w:szCs w:val="20"/>
                <w:lang w:eastAsia="sk-SK"/>
              </w:rPr>
              <w:t>9 101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6F4" w:rsidRPr="001406F4" w:rsidRDefault="001406F4" w:rsidP="001406F4">
            <w:pPr>
              <w:spacing w:line="240" w:lineRule="auto"/>
              <w:rPr>
                <w:sz w:val="20"/>
                <w:szCs w:val="20"/>
                <w:lang w:eastAsia="sk-SK"/>
              </w:rPr>
            </w:pPr>
            <w:r w:rsidRPr="001406F4">
              <w:rPr>
                <w:sz w:val="20"/>
                <w:szCs w:val="20"/>
                <w:lang w:eastAsia="sk-SK"/>
              </w:rPr>
              <w:t>MZVaEZ SR</w:t>
            </w:r>
          </w:p>
        </w:tc>
      </w:tr>
      <w:tr w:rsidR="001406F4" w:rsidRPr="001964E2" w:rsidTr="00C2639E">
        <w:trPr>
          <w:trHeight w:val="25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F4" w:rsidRPr="001406F4" w:rsidRDefault="001406F4" w:rsidP="001406F4">
            <w:pPr>
              <w:spacing w:line="240" w:lineRule="auto"/>
              <w:rPr>
                <w:sz w:val="20"/>
                <w:szCs w:val="20"/>
                <w:vertAlign w:val="superscript"/>
                <w:lang w:eastAsia="sk-SK"/>
              </w:rPr>
            </w:pPr>
            <w:r w:rsidRPr="001406F4">
              <w:rPr>
                <w:sz w:val="20"/>
                <w:szCs w:val="20"/>
                <w:lang w:eastAsia="sk-SK"/>
              </w:rPr>
              <w:t xml:space="preserve">  Tovary a služby (630)</w:t>
            </w:r>
            <w:r w:rsidRPr="001406F4">
              <w:rPr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6F4" w:rsidRPr="001406F4" w:rsidRDefault="001406F4" w:rsidP="001406F4">
            <w:pPr>
              <w:spacing w:line="240" w:lineRule="auto"/>
              <w:jc w:val="center"/>
              <w:rPr>
                <w:bCs/>
                <w:sz w:val="20"/>
                <w:szCs w:val="20"/>
                <w:lang w:eastAsia="sk-SK"/>
              </w:rPr>
            </w:pPr>
            <w:r w:rsidRPr="001406F4">
              <w:rPr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F4" w:rsidRPr="001406F4" w:rsidRDefault="001406F4" w:rsidP="001406F4">
            <w:pPr>
              <w:spacing w:line="240" w:lineRule="auto"/>
              <w:jc w:val="right"/>
              <w:rPr>
                <w:bCs/>
                <w:iCs/>
                <w:sz w:val="20"/>
                <w:szCs w:val="20"/>
                <w:lang w:eastAsia="sk-SK"/>
              </w:rPr>
            </w:pPr>
            <w:r w:rsidRPr="001406F4">
              <w:rPr>
                <w:bCs/>
                <w:iCs/>
                <w:sz w:val="20"/>
                <w:szCs w:val="20"/>
                <w:lang w:eastAsia="sk-SK"/>
              </w:rPr>
              <w:t>1 283 060, 11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F4" w:rsidRPr="001406F4" w:rsidRDefault="001406F4" w:rsidP="001406F4">
            <w:pPr>
              <w:spacing w:line="240" w:lineRule="auto"/>
              <w:jc w:val="center"/>
              <w:rPr>
                <w:bCs/>
                <w:iCs/>
                <w:sz w:val="20"/>
                <w:szCs w:val="20"/>
                <w:lang w:eastAsia="sk-SK"/>
              </w:rPr>
            </w:pPr>
            <w:r w:rsidRPr="001406F4">
              <w:rPr>
                <w:bCs/>
                <w:iCs/>
                <w:sz w:val="20"/>
                <w:szCs w:val="20"/>
                <w:lang w:eastAsia="sk-SK"/>
              </w:rPr>
              <w:t>1 303 589, 07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F4" w:rsidRPr="001406F4" w:rsidRDefault="001406F4" w:rsidP="001406F4">
            <w:pPr>
              <w:spacing w:line="240" w:lineRule="auto"/>
              <w:jc w:val="center"/>
              <w:rPr>
                <w:bCs/>
                <w:iCs/>
                <w:sz w:val="20"/>
                <w:szCs w:val="20"/>
                <w:lang w:eastAsia="sk-SK"/>
              </w:rPr>
            </w:pPr>
            <w:r w:rsidRPr="001406F4">
              <w:rPr>
                <w:bCs/>
                <w:iCs/>
                <w:sz w:val="20"/>
                <w:szCs w:val="20"/>
                <w:lang w:eastAsia="sk-SK"/>
              </w:rPr>
              <w:t>1 324 446, 50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6F4" w:rsidRPr="001406F4" w:rsidRDefault="001406F4" w:rsidP="001406F4">
            <w:pPr>
              <w:spacing w:line="240" w:lineRule="auto"/>
              <w:rPr>
                <w:sz w:val="20"/>
                <w:szCs w:val="20"/>
                <w:lang w:eastAsia="sk-SK"/>
              </w:rPr>
            </w:pPr>
            <w:r w:rsidRPr="001406F4">
              <w:rPr>
                <w:sz w:val="20"/>
                <w:szCs w:val="20"/>
                <w:lang w:eastAsia="sk-SK"/>
              </w:rPr>
              <w:t> Nájomné (MH</w:t>
            </w:r>
            <w:r w:rsidRPr="001406F4">
              <w:rPr>
                <w:sz w:val="20"/>
                <w:szCs w:val="20"/>
              </w:rPr>
              <w:t xml:space="preserve"> </w:t>
            </w:r>
            <w:r w:rsidRPr="001406F4">
              <w:rPr>
                <w:sz w:val="20"/>
                <w:szCs w:val="20"/>
                <w:lang w:eastAsia="sk-SK"/>
              </w:rPr>
              <w:t>Invest, s.r.o.)</w:t>
            </w:r>
          </w:p>
        </w:tc>
      </w:tr>
      <w:tr w:rsidR="001406F4" w:rsidRPr="001964E2" w:rsidTr="00C2639E">
        <w:trPr>
          <w:trHeight w:val="25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F4" w:rsidRPr="001406F4" w:rsidRDefault="001406F4" w:rsidP="001406F4">
            <w:pPr>
              <w:spacing w:line="240" w:lineRule="auto"/>
              <w:rPr>
                <w:sz w:val="20"/>
                <w:szCs w:val="20"/>
                <w:vertAlign w:val="superscript"/>
                <w:lang w:eastAsia="sk-SK"/>
              </w:rPr>
            </w:pPr>
            <w:r w:rsidRPr="001406F4">
              <w:rPr>
                <w:sz w:val="20"/>
                <w:szCs w:val="20"/>
                <w:lang w:eastAsia="sk-SK"/>
              </w:rPr>
              <w:t xml:space="preserve">  Tovary a služby (630)</w:t>
            </w:r>
            <w:r w:rsidRPr="001406F4">
              <w:rPr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6F4" w:rsidRPr="001406F4" w:rsidRDefault="001406F4" w:rsidP="001406F4">
            <w:pPr>
              <w:spacing w:line="240" w:lineRule="auto"/>
              <w:jc w:val="center"/>
              <w:rPr>
                <w:sz w:val="20"/>
                <w:szCs w:val="20"/>
                <w:lang w:eastAsia="sk-SK"/>
              </w:rPr>
            </w:pPr>
            <w:r w:rsidRPr="001406F4">
              <w:rPr>
                <w:sz w:val="20"/>
                <w:szCs w:val="20"/>
                <w:lang w:eastAsia="sk-SK"/>
              </w:rPr>
              <w:t>40 600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F4" w:rsidRPr="001406F4" w:rsidRDefault="001406F4" w:rsidP="001406F4">
            <w:pPr>
              <w:spacing w:line="240" w:lineRule="auto"/>
              <w:jc w:val="center"/>
              <w:rPr>
                <w:sz w:val="20"/>
                <w:szCs w:val="20"/>
                <w:lang w:eastAsia="sk-SK"/>
              </w:rPr>
            </w:pPr>
            <w:r w:rsidRPr="001406F4">
              <w:rPr>
                <w:sz w:val="20"/>
                <w:szCs w:val="20"/>
                <w:lang w:eastAsia="sk-SK"/>
              </w:rPr>
              <w:t>28 000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F4" w:rsidRPr="001406F4" w:rsidRDefault="001406F4" w:rsidP="001406F4">
            <w:pPr>
              <w:spacing w:line="240" w:lineRule="auto"/>
              <w:rPr>
                <w:bCs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F4" w:rsidRPr="001406F4" w:rsidRDefault="001406F4" w:rsidP="001406F4">
            <w:pPr>
              <w:spacing w:line="240" w:lineRule="auto"/>
              <w:jc w:val="right"/>
              <w:rPr>
                <w:bCs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6F4" w:rsidRPr="001406F4" w:rsidRDefault="001406F4" w:rsidP="001406F4">
            <w:pPr>
              <w:spacing w:line="240" w:lineRule="auto"/>
              <w:rPr>
                <w:sz w:val="20"/>
                <w:szCs w:val="20"/>
                <w:lang w:eastAsia="sk-SK"/>
              </w:rPr>
            </w:pPr>
            <w:r w:rsidRPr="001406F4">
              <w:rPr>
                <w:sz w:val="20"/>
                <w:szCs w:val="20"/>
                <w:lang w:eastAsia="sk-SK"/>
              </w:rPr>
              <w:t>a. s.</w:t>
            </w:r>
            <w:r>
              <w:rPr>
                <w:sz w:val="20"/>
                <w:szCs w:val="20"/>
                <w:lang w:eastAsia="sk-SK"/>
              </w:rPr>
              <w:t xml:space="preserve"> </w:t>
            </w:r>
            <w:r w:rsidRPr="001406F4">
              <w:rPr>
                <w:sz w:val="20"/>
                <w:szCs w:val="20"/>
                <w:lang w:eastAsia="sk-SK"/>
              </w:rPr>
              <w:t>(MPSVR SR)</w:t>
            </w:r>
          </w:p>
        </w:tc>
      </w:tr>
      <w:tr w:rsidR="001406F4" w:rsidRPr="001964E2" w:rsidTr="00C2639E">
        <w:trPr>
          <w:trHeight w:val="25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F4" w:rsidRPr="001406F4" w:rsidRDefault="001406F4" w:rsidP="001406F4">
            <w:pPr>
              <w:spacing w:line="240" w:lineRule="auto"/>
              <w:rPr>
                <w:sz w:val="20"/>
                <w:szCs w:val="20"/>
                <w:lang w:eastAsia="sk-SK"/>
              </w:rPr>
            </w:pPr>
            <w:r w:rsidRPr="001406F4">
              <w:rPr>
                <w:sz w:val="20"/>
                <w:szCs w:val="20"/>
                <w:lang w:eastAsia="sk-SK"/>
              </w:rPr>
              <w:t xml:space="preserve">  Bežné transfery (640)</w:t>
            </w:r>
            <w:r w:rsidRPr="001406F4">
              <w:rPr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6F4" w:rsidRPr="001406F4" w:rsidRDefault="001406F4" w:rsidP="001406F4">
            <w:pPr>
              <w:spacing w:line="240" w:lineRule="auto"/>
              <w:jc w:val="center"/>
              <w:rPr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F4" w:rsidRPr="001406F4" w:rsidRDefault="001406F4" w:rsidP="001406F4">
            <w:pPr>
              <w:spacing w:line="240" w:lineRule="auto"/>
              <w:jc w:val="right"/>
              <w:rPr>
                <w:bCs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F4" w:rsidRPr="001406F4" w:rsidRDefault="001406F4" w:rsidP="001406F4">
            <w:pPr>
              <w:spacing w:line="240" w:lineRule="auto"/>
              <w:rPr>
                <w:bCs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F4" w:rsidRPr="001406F4" w:rsidRDefault="001406F4" w:rsidP="001406F4">
            <w:pPr>
              <w:spacing w:line="240" w:lineRule="auto"/>
              <w:jc w:val="right"/>
              <w:rPr>
                <w:bCs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6F4" w:rsidRPr="001406F4" w:rsidRDefault="001406F4" w:rsidP="001406F4">
            <w:pPr>
              <w:spacing w:line="240" w:lineRule="auto"/>
              <w:rPr>
                <w:sz w:val="20"/>
                <w:szCs w:val="20"/>
                <w:lang w:eastAsia="sk-SK"/>
              </w:rPr>
            </w:pPr>
            <w:r w:rsidRPr="001406F4">
              <w:rPr>
                <w:sz w:val="20"/>
                <w:szCs w:val="20"/>
                <w:lang w:eastAsia="sk-SK"/>
              </w:rPr>
              <w:t> </w:t>
            </w:r>
          </w:p>
        </w:tc>
      </w:tr>
      <w:tr w:rsidR="001406F4" w:rsidRPr="001964E2" w:rsidTr="00C2639E">
        <w:trPr>
          <w:trHeight w:val="25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F4" w:rsidRPr="001406F4" w:rsidRDefault="001406F4" w:rsidP="001406F4">
            <w:pPr>
              <w:spacing w:line="240" w:lineRule="auto"/>
              <w:rPr>
                <w:sz w:val="20"/>
                <w:szCs w:val="20"/>
                <w:lang w:eastAsia="sk-SK"/>
              </w:rPr>
            </w:pPr>
            <w:r w:rsidRPr="001406F4">
              <w:rPr>
                <w:sz w:val="20"/>
                <w:szCs w:val="20"/>
                <w:lang w:eastAsia="sk-SK"/>
              </w:rPr>
              <w:t xml:space="preserve">  Splácanie úrokov a ostatné platby súvisiace s </w:t>
            </w:r>
            <w:r w:rsidRPr="001406F4">
              <w:rPr>
                <w:sz w:val="20"/>
                <w:szCs w:val="20"/>
              </w:rPr>
              <w:t xml:space="preserve"> </w:t>
            </w:r>
            <w:r w:rsidRPr="001406F4">
              <w:rPr>
                <w:sz w:val="20"/>
                <w:szCs w:val="20"/>
                <w:lang w:eastAsia="sk-SK"/>
              </w:rPr>
              <w:t>úverom, pôžičkou, návratnou finančnou výpomocou a finančným prenájmom (650)</w:t>
            </w:r>
            <w:r w:rsidRPr="001406F4">
              <w:rPr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6F4" w:rsidRPr="001406F4" w:rsidRDefault="001406F4" w:rsidP="001406F4">
            <w:pPr>
              <w:spacing w:line="240" w:lineRule="auto"/>
              <w:jc w:val="center"/>
              <w:rPr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6F4" w:rsidRPr="001406F4" w:rsidRDefault="001406F4" w:rsidP="001406F4">
            <w:pPr>
              <w:spacing w:line="240" w:lineRule="auto"/>
              <w:jc w:val="center"/>
              <w:rPr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6F4" w:rsidRPr="001406F4" w:rsidRDefault="001406F4" w:rsidP="001406F4">
            <w:pPr>
              <w:spacing w:line="240" w:lineRule="auto"/>
              <w:jc w:val="center"/>
              <w:rPr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6F4" w:rsidRPr="001406F4" w:rsidRDefault="001406F4" w:rsidP="001406F4">
            <w:pPr>
              <w:spacing w:line="240" w:lineRule="auto"/>
              <w:jc w:val="center"/>
              <w:rPr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6F4" w:rsidRPr="001406F4" w:rsidRDefault="001406F4" w:rsidP="001406F4">
            <w:pPr>
              <w:spacing w:line="240" w:lineRule="auto"/>
              <w:rPr>
                <w:sz w:val="20"/>
                <w:szCs w:val="20"/>
                <w:lang w:eastAsia="sk-SK"/>
              </w:rPr>
            </w:pPr>
          </w:p>
        </w:tc>
      </w:tr>
      <w:tr w:rsidR="001406F4" w:rsidRPr="001964E2" w:rsidTr="00C2639E">
        <w:trPr>
          <w:trHeight w:val="25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F4" w:rsidRPr="001406F4" w:rsidRDefault="001406F4" w:rsidP="001406F4">
            <w:pPr>
              <w:spacing w:line="240" w:lineRule="auto"/>
              <w:rPr>
                <w:b/>
                <w:bCs/>
                <w:sz w:val="20"/>
                <w:szCs w:val="20"/>
                <w:lang w:eastAsia="sk-SK"/>
              </w:rPr>
            </w:pPr>
            <w:r w:rsidRPr="001406F4">
              <w:rPr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6F4" w:rsidRPr="001406F4" w:rsidRDefault="001406F4" w:rsidP="001406F4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6F4" w:rsidRPr="001406F4" w:rsidRDefault="001406F4" w:rsidP="001406F4">
            <w:pPr>
              <w:spacing w:line="240" w:lineRule="auto"/>
              <w:jc w:val="center"/>
              <w:rPr>
                <w:b/>
                <w:bCs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6F4" w:rsidRPr="001406F4" w:rsidRDefault="001406F4" w:rsidP="001406F4">
            <w:pPr>
              <w:spacing w:line="240" w:lineRule="auto"/>
              <w:jc w:val="center"/>
              <w:rPr>
                <w:b/>
                <w:bCs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6F4" w:rsidRPr="001406F4" w:rsidRDefault="001406F4" w:rsidP="001406F4">
            <w:pPr>
              <w:spacing w:line="240" w:lineRule="auto"/>
              <w:jc w:val="center"/>
              <w:rPr>
                <w:b/>
                <w:bCs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6F4" w:rsidRPr="001406F4" w:rsidRDefault="001406F4" w:rsidP="001406F4">
            <w:pPr>
              <w:spacing w:line="240" w:lineRule="auto"/>
              <w:rPr>
                <w:sz w:val="20"/>
                <w:szCs w:val="20"/>
                <w:lang w:eastAsia="sk-SK"/>
              </w:rPr>
            </w:pPr>
            <w:r w:rsidRPr="001406F4">
              <w:rPr>
                <w:sz w:val="20"/>
                <w:szCs w:val="20"/>
                <w:lang w:eastAsia="sk-SK"/>
              </w:rPr>
              <w:t> </w:t>
            </w:r>
          </w:p>
        </w:tc>
      </w:tr>
      <w:tr w:rsidR="001406F4" w:rsidRPr="001964E2" w:rsidTr="00C2639E">
        <w:trPr>
          <w:trHeight w:val="25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F4" w:rsidRPr="001406F4" w:rsidRDefault="001406F4" w:rsidP="001406F4">
            <w:pPr>
              <w:spacing w:line="240" w:lineRule="auto"/>
              <w:rPr>
                <w:sz w:val="20"/>
                <w:szCs w:val="20"/>
                <w:lang w:eastAsia="sk-SK"/>
              </w:rPr>
            </w:pPr>
            <w:r w:rsidRPr="001406F4">
              <w:rPr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1406F4">
              <w:rPr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6F4" w:rsidRPr="001406F4" w:rsidRDefault="001406F4" w:rsidP="001406F4">
            <w:pPr>
              <w:spacing w:line="240" w:lineRule="auto"/>
              <w:jc w:val="center"/>
              <w:rPr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6F4" w:rsidRPr="001406F4" w:rsidRDefault="001406F4" w:rsidP="001406F4">
            <w:pPr>
              <w:spacing w:line="240" w:lineRule="auto"/>
              <w:jc w:val="center"/>
              <w:rPr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6F4" w:rsidRPr="001406F4" w:rsidRDefault="001406F4" w:rsidP="001406F4">
            <w:pPr>
              <w:spacing w:line="240" w:lineRule="auto"/>
              <w:jc w:val="center"/>
              <w:rPr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6F4" w:rsidRPr="001406F4" w:rsidRDefault="001406F4" w:rsidP="001406F4">
            <w:pPr>
              <w:spacing w:line="240" w:lineRule="auto"/>
              <w:jc w:val="center"/>
              <w:rPr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6F4" w:rsidRPr="001406F4" w:rsidRDefault="001406F4" w:rsidP="001406F4">
            <w:pPr>
              <w:spacing w:line="240" w:lineRule="auto"/>
              <w:rPr>
                <w:sz w:val="20"/>
                <w:szCs w:val="20"/>
                <w:lang w:eastAsia="sk-SK"/>
              </w:rPr>
            </w:pPr>
            <w:r w:rsidRPr="001406F4">
              <w:rPr>
                <w:sz w:val="20"/>
                <w:szCs w:val="20"/>
                <w:lang w:eastAsia="sk-SK"/>
              </w:rPr>
              <w:t> </w:t>
            </w:r>
          </w:p>
        </w:tc>
      </w:tr>
      <w:tr w:rsidR="001406F4" w:rsidRPr="001964E2" w:rsidTr="00C2639E">
        <w:trPr>
          <w:trHeight w:val="25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F4" w:rsidRPr="001406F4" w:rsidRDefault="001406F4" w:rsidP="001406F4">
            <w:pPr>
              <w:spacing w:line="240" w:lineRule="auto"/>
              <w:rPr>
                <w:sz w:val="20"/>
                <w:szCs w:val="20"/>
                <w:lang w:eastAsia="sk-SK"/>
              </w:rPr>
            </w:pPr>
            <w:r w:rsidRPr="001406F4">
              <w:rPr>
                <w:sz w:val="20"/>
                <w:szCs w:val="20"/>
                <w:lang w:eastAsia="sk-SK"/>
              </w:rPr>
              <w:t xml:space="preserve">  Kapitálové transfery (720)</w:t>
            </w:r>
            <w:r w:rsidRPr="001406F4">
              <w:rPr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6F4" w:rsidRPr="001406F4" w:rsidRDefault="001406F4" w:rsidP="001406F4">
            <w:pPr>
              <w:spacing w:line="240" w:lineRule="auto"/>
              <w:jc w:val="center"/>
              <w:rPr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6F4" w:rsidRPr="001406F4" w:rsidRDefault="001406F4" w:rsidP="001406F4">
            <w:pPr>
              <w:spacing w:line="240" w:lineRule="auto"/>
              <w:jc w:val="center"/>
              <w:rPr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6F4" w:rsidRPr="001406F4" w:rsidRDefault="001406F4" w:rsidP="001406F4">
            <w:pPr>
              <w:spacing w:line="240" w:lineRule="auto"/>
              <w:jc w:val="center"/>
              <w:rPr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6F4" w:rsidRPr="001406F4" w:rsidRDefault="001406F4" w:rsidP="001406F4">
            <w:pPr>
              <w:spacing w:line="240" w:lineRule="auto"/>
              <w:jc w:val="center"/>
              <w:rPr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6F4" w:rsidRPr="001406F4" w:rsidRDefault="001406F4" w:rsidP="001406F4">
            <w:pPr>
              <w:spacing w:line="240" w:lineRule="auto"/>
              <w:rPr>
                <w:sz w:val="20"/>
                <w:szCs w:val="20"/>
                <w:lang w:eastAsia="sk-SK"/>
              </w:rPr>
            </w:pPr>
            <w:r w:rsidRPr="001406F4">
              <w:rPr>
                <w:sz w:val="20"/>
                <w:szCs w:val="20"/>
                <w:lang w:eastAsia="sk-SK"/>
              </w:rPr>
              <w:t> </w:t>
            </w:r>
          </w:p>
        </w:tc>
      </w:tr>
      <w:tr w:rsidR="001406F4" w:rsidRPr="001964E2" w:rsidTr="00C2639E">
        <w:trPr>
          <w:trHeight w:val="25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F4" w:rsidRPr="001406F4" w:rsidRDefault="001406F4" w:rsidP="001406F4">
            <w:pPr>
              <w:spacing w:line="240" w:lineRule="auto"/>
              <w:rPr>
                <w:b/>
                <w:bCs/>
                <w:sz w:val="20"/>
                <w:szCs w:val="20"/>
                <w:lang w:eastAsia="sk-SK"/>
              </w:rPr>
            </w:pPr>
            <w:r w:rsidRPr="001406F4">
              <w:rPr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406F4" w:rsidRPr="001406F4" w:rsidRDefault="001406F4" w:rsidP="001406F4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406F4" w:rsidRPr="001406F4" w:rsidRDefault="001406F4" w:rsidP="001406F4">
            <w:pPr>
              <w:spacing w:line="240" w:lineRule="auto"/>
              <w:jc w:val="right"/>
              <w:rPr>
                <w:bCs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406F4" w:rsidRPr="001406F4" w:rsidRDefault="001406F4" w:rsidP="001406F4">
            <w:pPr>
              <w:spacing w:line="240" w:lineRule="auto"/>
              <w:jc w:val="right"/>
              <w:rPr>
                <w:bCs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406F4" w:rsidRPr="001406F4" w:rsidRDefault="001406F4" w:rsidP="001406F4">
            <w:pPr>
              <w:spacing w:line="240" w:lineRule="auto"/>
              <w:jc w:val="right"/>
              <w:rPr>
                <w:bCs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6F4" w:rsidRPr="001406F4" w:rsidRDefault="001406F4" w:rsidP="001406F4">
            <w:pPr>
              <w:spacing w:line="240" w:lineRule="auto"/>
              <w:rPr>
                <w:sz w:val="20"/>
                <w:szCs w:val="20"/>
                <w:lang w:eastAsia="sk-SK"/>
              </w:rPr>
            </w:pPr>
            <w:r w:rsidRPr="001406F4">
              <w:rPr>
                <w:sz w:val="20"/>
                <w:szCs w:val="20"/>
                <w:lang w:eastAsia="sk-SK"/>
              </w:rPr>
              <w:t> </w:t>
            </w:r>
          </w:p>
        </w:tc>
      </w:tr>
      <w:tr w:rsidR="001406F4" w:rsidRPr="004550C4" w:rsidTr="00C2639E">
        <w:trPr>
          <w:trHeight w:val="25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406F4" w:rsidRPr="001406F4" w:rsidRDefault="001406F4" w:rsidP="001406F4">
            <w:pPr>
              <w:spacing w:line="240" w:lineRule="auto"/>
              <w:rPr>
                <w:b/>
                <w:bCs/>
                <w:sz w:val="20"/>
                <w:szCs w:val="20"/>
                <w:lang w:eastAsia="sk-SK"/>
              </w:rPr>
            </w:pPr>
            <w:r w:rsidRPr="001406F4">
              <w:rPr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406F4" w:rsidRPr="001406F4" w:rsidRDefault="001406F4" w:rsidP="001406F4">
            <w:pPr>
              <w:spacing w:line="240" w:lineRule="auto"/>
              <w:jc w:val="center"/>
              <w:rPr>
                <w:b/>
                <w:bCs/>
                <w:iCs/>
                <w:sz w:val="20"/>
                <w:szCs w:val="20"/>
                <w:lang w:eastAsia="sk-SK"/>
              </w:rPr>
            </w:pPr>
            <w:r w:rsidRPr="001406F4">
              <w:rPr>
                <w:b/>
                <w:bCs/>
                <w:iCs/>
                <w:sz w:val="20"/>
                <w:szCs w:val="20"/>
                <w:lang w:eastAsia="sk-SK"/>
              </w:rPr>
              <w:t>54 824,25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406F4" w:rsidRPr="001406F4" w:rsidRDefault="001406F4" w:rsidP="001406F4">
            <w:pPr>
              <w:spacing w:line="240" w:lineRule="auto"/>
              <w:jc w:val="center"/>
              <w:rPr>
                <w:b/>
                <w:bCs/>
                <w:iCs/>
                <w:sz w:val="20"/>
                <w:szCs w:val="20"/>
                <w:lang w:eastAsia="sk-SK"/>
              </w:rPr>
            </w:pPr>
            <w:r w:rsidRPr="001406F4">
              <w:rPr>
                <w:b/>
                <w:bCs/>
                <w:iCs/>
                <w:sz w:val="20"/>
                <w:szCs w:val="20"/>
                <w:lang w:eastAsia="sk-SK"/>
              </w:rPr>
              <w:t>1 353 453, 11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406F4" w:rsidRPr="001406F4" w:rsidRDefault="001406F4" w:rsidP="001406F4">
            <w:pPr>
              <w:spacing w:line="240" w:lineRule="auto"/>
              <w:jc w:val="center"/>
              <w:rPr>
                <w:b/>
                <w:bCs/>
                <w:iCs/>
                <w:sz w:val="20"/>
                <w:szCs w:val="20"/>
                <w:lang w:eastAsia="sk-SK"/>
              </w:rPr>
            </w:pPr>
            <w:r w:rsidRPr="001406F4">
              <w:rPr>
                <w:b/>
                <w:bCs/>
                <w:iCs/>
                <w:sz w:val="20"/>
                <w:szCs w:val="20"/>
                <w:lang w:eastAsia="sk-SK"/>
              </w:rPr>
              <w:t>1 338 730, 07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406F4" w:rsidRPr="001406F4" w:rsidRDefault="001406F4" w:rsidP="001406F4">
            <w:pPr>
              <w:spacing w:line="240" w:lineRule="auto"/>
              <w:jc w:val="center"/>
              <w:rPr>
                <w:b/>
                <w:bCs/>
                <w:iCs/>
                <w:sz w:val="20"/>
                <w:szCs w:val="20"/>
                <w:lang w:eastAsia="sk-SK"/>
              </w:rPr>
            </w:pPr>
            <w:r w:rsidRPr="001406F4">
              <w:rPr>
                <w:b/>
                <w:sz w:val="20"/>
                <w:szCs w:val="20"/>
              </w:rPr>
              <w:t>1 359 587, 50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1406F4" w:rsidRPr="001406F4" w:rsidRDefault="001406F4" w:rsidP="001406F4">
            <w:pPr>
              <w:spacing w:line="240" w:lineRule="auto"/>
              <w:rPr>
                <w:sz w:val="20"/>
                <w:szCs w:val="20"/>
                <w:lang w:eastAsia="sk-SK"/>
              </w:rPr>
            </w:pPr>
            <w:r w:rsidRPr="001406F4">
              <w:rPr>
                <w:sz w:val="20"/>
                <w:szCs w:val="20"/>
                <w:lang w:eastAsia="sk-SK"/>
              </w:rPr>
              <w:t> </w:t>
            </w:r>
          </w:p>
        </w:tc>
      </w:tr>
    </w:tbl>
    <w:p w:rsidR="00FC165A" w:rsidRPr="004550C4" w:rsidRDefault="00FC165A" w:rsidP="00FC165A">
      <w:pPr>
        <w:tabs>
          <w:tab w:val="num" w:pos="1080"/>
        </w:tabs>
        <w:spacing w:line="240" w:lineRule="auto"/>
        <w:ind w:left="-900"/>
        <w:jc w:val="both"/>
        <w:rPr>
          <w:bCs/>
          <w:sz w:val="20"/>
          <w:szCs w:val="20"/>
          <w:lang w:eastAsia="sk-SK"/>
        </w:rPr>
      </w:pPr>
    </w:p>
    <w:p w:rsidR="00FC165A" w:rsidRPr="004550C4" w:rsidRDefault="00FC165A" w:rsidP="00FC165A">
      <w:pPr>
        <w:tabs>
          <w:tab w:val="num" w:pos="1080"/>
        </w:tabs>
        <w:spacing w:line="240" w:lineRule="auto"/>
        <w:ind w:left="-900"/>
        <w:jc w:val="both"/>
        <w:rPr>
          <w:bCs/>
          <w:szCs w:val="20"/>
          <w:lang w:eastAsia="sk-SK"/>
        </w:rPr>
      </w:pPr>
      <w:r w:rsidRPr="004550C4">
        <w:rPr>
          <w:bCs/>
          <w:sz w:val="20"/>
          <w:szCs w:val="20"/>
          <w:lang w:eastAsia="sk-SK"/>
        </w:rPr>
        <w:t>2 –  výdavky rozpísať až do položiek platnej ekonomickej klasifikácie</w:t>
      </w:r>
    </w:p>
    <w:p w:rsidR="00FC165A" w:rsidRDefault="00FC165A" w:rsidP="00FC165A">
      <w:pPr>
        <w:tabs>
          <w:tab w:val="num" w:pos="1080"/>
        </w:tabs>
        <w:spacing w:line="240" w:lineRule="auto"/>
        <w:ind w:left="-900"/>
        <w:jc w:val="both"/>
        <w:rPr>
          <w:bCs/>
          <w:szCs w:val="20"/>
          <w:lang w:eastAsia="sk-SK"/>
        </w:rPr>
      </w:pPr>
      <w:r w:rsidRPr="004550C4">
        <w:rPr>
          <w:b/>
          <w:bCs/>
          <w:szCs w:val="20"/>
          <w:lang w:eastAsia="sk-SK"/>
        </w:rPr>
        <w:t xml:space="preserve">Poznámka: </w:t>
      </w:r>
      <w:r w:rsidRPr="004550C4">
        <w:rPr>
          <w:bCs/>
          <w:szCs w:val="20"/>
          <w:lang w:eastAsia="sk-SK"/>
        </w:rPr>
        <w:t>Ak sa vplyv týka viacerých subjektov verejnej správy, vypĺňa sa samostatná tabuľka za každý subjekt.</w:t>
      </w:r>
    </w:p>
    <w:p w:rsidR="00E940CA" w:rsidRDefault="00E940CA" w:rsidP="00FC165A">
      <w:pPr>
        <w:tabs>
          <w:tab w:val="num" w:pos="1080"/>
        </w:tabs>
        <w:spacing w:line="240" w:lineRule="auto"/>
        <w:ind w:left="-900"/>
        <w:jc w:val="both"/>
        <w:rPr>
          <w:bCs/>
          <w:szCs w:val="20"/>
          <w:lang w:eastAsia="sk-SK"/>
        </w:rPr>
      </w:pPr>
    </w:p>
    <w:p w:rsidR="00E940CA" w:rsidRDefault="00E940CA" w:rsidP="00FC165A">
      <w:pPr>
        <w:tabs>
          <w:tab w:val="num" w:pos="1080"/>
        </w:tabs>
        <w:spacing w:line="240" w:lineRule="auto"/>
        <w:ind w:left="-900"/>
        <w:jc w:val="both"/>
        <w:rPr>
          <w:bCs/>
          <w:szCs w:val="20"/>
          <w:lang w:eastAsia="sk-SK"/>
        </w:rPr>
      </w:pPr>
      <w:r>
        <w:rPr>
          <w:bCs/>
          <w:szCs w:val="20"/>
          <w:lang w:eastAsia="sk-SK"/>
        </w:rPr>
        <w:t xml:space="preserve">Opatrenie „a. s“. Podľa bodu II. vlastného materiálu, vláda zabezpečí a uhradí náklady </w:t>
      </w:r>
      <w:r w:rsidR="00267323">
        <w:rPr>
          <w:bCs/>
          <w:szCs w:val="20"/>
          <w:lang w:eastAsia="sk-SK"/>
        </w:rPr>
        <w:t xml:space="preserve">asistenčnej služby </w:t>
      </w:r>
      <w:r>
        <w:rPr>
          <w:bCs/>
          <w:szCs w:val="20"/>
          <w:lang w:eastAsia="sk-SK"/>
        </w:rPr>
        <w:t>pre prvých 144 zamestnancov ELA</w:t>
      </w:r>
      <w:r w:rsidR="00F97897">
        <w:rPr>
          <w:bCs/>
          <w:szCs w:val="20"/>
          <w:lang w:eastAsia="sk-SK"/>
        </w:rPr>
        <w:t xml:space="preserve"> a výkonného riaditeľa</w:t>
      </w:r>
      <w:r>
        <w:rPr>
          <w:bCs/>
          <w:szCs w:val="20"/>
          <w:lang w:eastAsia="sk-SK"/>
        </w:rPr>
        <w:t xml:space="preserve">. Predpokladá sa zabezpečenie </w:t>
      </w:r>
      <w:r w:rsidR="00344931">
        <w:rPr>
          <w:bCs/>
          <w:szCs w:val="20"/>
          <w:lang w:eastAsia="sk-SK"/>
        </w:rPr>
        <w:t>5</w:t>
      </w:r>
      <w:r>
        <w:rPr>
          <w:bCs/>
          <w:szCs w:val="20"/>
          <w:lang w:eastAsia="sk-SK"/>
        </w:rPr>
        <w:t xml:space="preserve"> zamestnancami formou dohody o vykonaní práce a uhradení výdavkov na MHD.</w:t>
      </w:r>
      <w:r w:rsidR="00267323">
        <w:rPr>
          <w:bCs/>
          <w:szCs w:val="20"/>
          <w:lang w:eastAsia="sk-SK"/>
        </w:rPr>
        <w:t xml:space="preserve"> Tieto výdavky sú zabezpečené v rámci rozpočtových limitov MPSVR SR.</w:t>
      </w:r>
    </w:p>
    <w:p w:rsidR="00E940CA" w:rsidRDefault="00E940CA" w:rsidP="00FC165A">
      <w:pPr>
        <w:tabs>
          <w:tab w:val="num" w:pos="1080"/>
        </w:tabs>
        <w:spacing w:line="240" w:lineRule="auto"/>
        <w:ind w:left="-900"/>
        <w:jc w:val="both"/>
        <w:rPr>
          <w:bCs/>
          <w:szCs w:val="20"/>
          <w:lang w:eastAsia="sk-SK"/>
        </w:rPr>
      </w:pPr>
    </w:p>
    <w:p w:rsidR="00E940CA" w:rsidRDefault="00E940CA" w:rsidP="00FC165A">
      <w:pPr>
        <w:tabs>
          <w:tab w:val="num" w:pos="1080"/>
        </w:tabs>
        <w:spacing w:line="240" w:lineRule="auto"/>
        <w:ind w:left="-900"/>
        <w:jc w:val="both"/>
        <w:rPr>
          <w:bCs/>
          <w:szCs w:val="20"/>
          <w:lang w:eastAsia="sk-SK"/>
        </w:rPr>
      </w:pPr>
      <w:r>
        <w:rPr>
          <w:bCs/>
          <w:szCs w:val="20"/>
          <w:lang w:eastAsia="sk-SK"/>
        </w:rPr>
        <w:t xml:space="preserve">Opatrenie </w:t>
      </w:r>
      <w:r w:rsidR="00267323">
        <w:rPr>
          <w:bCs/>
          <w:szCs w:val="20"/>
          <w:lang w:eastAsia="sk-SK"/>
        </w:rPr>
        <w:t xml:space="preserve">„nájomné“. Výdavky vyplývajúce </w:t>
      </w:r>
      <w:r w:rsidR="00267323" w:rsidRPr="00267323">
        <w:rPr>
          <w:bCs/>
          <w:szCs w:val="20"/>
          <w:lang w:eastAsia="sk-SK"/>
        </w:rPr>
        <w:t>z nájomnej zmluvy, v roku 2021 budú tieto zabezpečené zo zdrojov nájomcu</w:t>
      </w:r>
      <w:r w:rsidR="007E10F1">
        <w:rPr>
          <w:bCs/>
          <w:szCs w:val="20"/>
          <w:lang w:eastAsia="sk-SK"/>
        </w:rPr>
        <w:t xml:space="preserve">. </w:t>
      </w:r>
      <w:r w:rsidR="00267323" w:rsidRPr="00267323">
        <w:rPr>
          <w:bCs/>
          <w:szCs w:val="20"/>
          <w:lang w:eastAsia="sk-SK"/>
        </w:rPr>
        <w:t xml:space="preserve"> </w:t>
      </w:r>
      <w:r w:rsidR="007E10F1" w:rsidRPr="007E10F1">
        <w:rPr>
          <w:bCs/>
          <w:szCs w:val="20"/>
          <w:lang w:eastAsia="sk-SK"/>
        </w:rPr>
        <w:t>Výdavky na nájomné na roky 2022 – 2024 sú zahrnuté v návrhu rozpočtu verejnej správy na roky 2022 – 2024 v rámci výdavkov nájomcu, spoločnosti MH Invest, s.r.o.</w:t>
      </w:r>
    </w:p>
    <w:p w:rsidR="00002423" w:rsidRDefault="00002423" w:rsidP="00FC165A">
      <w:pPr>
        <w:tabs>
          <w:tab w:val="num" w:pos="1080"/>
        </w:tabs>
        <w:spacing w:line="240" w:lineRule="auto"/>
        <w:ind w:left="-900"/>
        <w:jc w:val="both"/>
        <w:rPr>
          <w:bCs/>
          <w:szCs w:val="20"/>
          <w:lang w:eastAsia="sk-SK"/>
        </w:rPr>
      </w:pPr>
    </w:p>
    <w:p w:rsidR="00476217" w:rsidRDefault="00002423" w:rsidP="00C2639E">
      <w:pPr>
        <w:tabs>
          <w:tab w:val="num" w:pos="1080"/>
        </w:tabs>
        <w:spacing w:line="240" w:lineRule="auto"/>
        <w:ind w:left="-900"/>
        <w:jc w:val="both"/>
        <w:rPr>
          <w:bCs/>
          <w:szCs w:val="20"/>
          <w:lang w:eastAsia="sk-SK"/>
        </w:rPr>
      </w:pPr>
      <w:r>
        <w:rPr>
          <w:bCs/>
          <w:szCs w:val="20"/>
          <w:lang w:eastAsia="sk-SK"/>
        </w:rPr>
        <w:t>Opatrenie „MZVaEZ SR“. Navýšenie počtu štátnozamestnaneckých miest o</w:t>
      </w:r>
      <w:r w:rsidR="008E381C">
        <w:rPr>
          <w:bCs/>
          <w:szCs w:val="20"/>
          <w:lang w:eastAsia="sk-SK"/>
        </w:rPr>
        <w:t> </w:t>
      </w:r>
      <w:r>
        <w:rPr>
          <w:bCs/>
          <w:szCs w:val="20"/>
          <w:lang w:eastAsia="sk-SK"/>
        </w:rPr>
        <w:t>1</w:t>
      </w:r>
      <w:r w:rsidR="008E381C">
        <w:rPr>
          <w:bCs/>
          <w:szCs w:val="20"/>
          <w:lang w:eastAsia="sk-SK"/>
        </w:rPr>
        <w:t xml:space="preserve"> od 1. októbra 2021</w:t>
      </w:r>
      <w:r>
        <w:rPr>
          <w:bCs/>
          <w:szCs w:val="20"/>
          <w:lang w:eastAsia="sk-SK"/>
        </w:rPr>
        <w:t xml:space="preserve"> v rozpočtovej kapitole </w:t>
      </w:r>
      <w:r w:rsidR="003F06CF">
        <w:rPr>
          <w:bCs/>
          <w:szCs w:val="20"/>
          <w:lang w:eastAsia="sk-SK"/>
        </w:rPr>
        <w:t>Ministerstva</w:t>
      </w:r>
      <w:r w:rsidRPr="00002423">
        <w:rPr>
          <w:bCs/>
          <w:szCs w:val="20"/>
          <w:lang w:eastAsia="sk-SK"/>
        </w:rPr>
        <w:t xml:space="preserve"> zahraničných vecí a európskych z</w:t>
      </w:r>
      <w:r>
        <w:rPr>
          <w:bCs/>
          <w:szCs w:val="20"/>
          <w:lang w:eastAsia="sk-SK"/>
        </w:rPr>
        <w:t xml:space="preserve">áležitostí Slovenskej republiky, ktoré v rámci </w:t>
      </w:r>
      <w:r w:rsidRPr="00002423">
        <w:rPr>
          <w:bCs/>
          <w:szCs w:val="20"/>
          <w:lang w:eastAsia="sk-SK"/>
        </w:rPr>
        <w:t xml:space="preserve">svojej pôsobnosti zabezpečuje okrem iného aj evidenciu a vydávanie identifikačných preukazov členom diplomatického personálu, administratívneho a technického personálu, služobného a súkromného personálu, pracovníkom medzinárodných organizácií a honorárnym konzulárnym úradníkom akreditovaným v Slovenskej republike. Začiatok činnosti Európskeho orgánu práce (ELA) so sídlom v Bratislave predstavuje podstatný nárast práce a administratívnej záťaže v agende vystavovania identifikačných preukazov, registrácie vozidiel, potvrdzovania tlačív o postavení úradníkov ELA k daňovému oslobodeniu, ako aj inú administratívu vo vzťahu k výsadám a imunitám. </w:t>
      </w:r>
      <w:r w:rsidR="003F06CF">
        <w:rPr>
          <w:bCs/>
          <w:szCs w:val="20"/>
          <w:lang w:eastAsia="sk-SK"/>
        </w:rPr>
        <w:t>F</w:t>
      </w:r>
      <w:r w:rsidRPr="00002423">
        <w:rPr>
          <w:bCs/>
          <w:szCs w:val="20"/>
          <w:lang w:eastAsia="sk-SK"/>
        </w:rPr>
        <w:t xml:space="preserve">inančné prostriedky, aktuálne v rámci kapitoly MZVEZ SR </w:t>
      </w:r>
      <w:r w:rsidR="003F06CF">
        <w:rPr>
          <w:bCs/>
          <w:szCs w:val="20"/>
          <w:lang w:eastAsia="sk-SK"/>
        </w:rPr>
        <w:t xml:space="preserve"> nie sú</w:t>
      </w:r>
      <w:r w:rsidRPr="00002423">
        <w:rPr>
          <w:bCs/>
          <w:szCs w:val="20"/>
          <w:lang w:eastAsia="sk-SK"/>
        </w:rPr>
        <w:t xml:space="preserve"> zabezpečené</w:t>
      </w:r>
    </w:p>
    <w:p w:rsidR="00C2639E" w:rsidRPr="00C2639E" w:rsidRDefault="00C2639E" w:rsidP="00C2639E">
      <w:pPr>
        <w:tabs>
          <w:tab w:val="num" w:pos="1080"/>
        </w:tabs>
        <w:spacing w:line="240" w:lineRule="auto"/>
        <w:ind w:left="-900"/>
        <w:jc w:val="both"/>
        <w:rPr>
          <w:bCs/>
          <w:szCs w:val="20"/>
          <w:lang w:eastAsia="sk-SK"/>
        </w:rPr>
      </w:pPr>
    </w:p>
    <w:p w:rsidR="004C2291" w:rsidRDefault="004C2291" w:rsidP="00476217">
      <w:pPr>
        <w:tabs>
          <w:tab w:val="num" w:pos="1080"/>
        </w:tabs>
        <w:spacing w:line="240" w:lineRule="auto"/>
        <w:jc w:val="both"/>
        <w:rPr>
          <w:bCs/>
          <w:sz w:val="20"/>
          <w:szCs w:val="20"/>
          <w:lang w:eastAsia="sk-SK"/>
        </w:rPr>
      </w:pPr>
    </w:p>
    <w:p w:rsidR="004C2291" w:rsidRDefault="004C2291" w:rsidP="00476217">
      <w:pPr>
        <w:tabs>
          <w:tab w:val="num" w:pos="1080"/>
        </w:tabs>
        <w:spacing w:line="240" w:lineRule="auto"/>
        <w:jc w:val="both"/>
        <w:rPr>
          <w:bCs/>
          <w:sz w:val="20"/>
          <w:szCs w:val="20"/>
          <w:lang w:eastAsia="sk-SK"/>
        </w:rPr>
      </w:pPr>
    </w:p>
    <w:p w:rsidR="004C2291" w:rsidRPr="004550C4" w:rsidRDefault="004C2291" w:rsidP="00476217">
      <w:pPr>
        <w:tabs>
          <w:tab w:val="num" w:pos="1080"/>
        </w:tabs>
        <w:spacing w:line="240" w:lineRule="auto"/>
        <w:jc w:val="both"/>
        <w:rPr>
          <w:bCs/>
          <w:sz w:val="20"/>
          <w:szCs w:val="20"/>
          <w:lang w:eastAsia="sk-SK"/>
        </w:rPr>
      </w:pPr>
    </w:p>
    <w:p w:rsidR="001031D8" w:rsidRDefault="001031D8" w:rsidP="00FC165A">
      <w:pPr>
        <w:tabs>
          <w:tab w:val="num" w:pos="1080"/>
        </w:tabs>
        <w:spacing w:line="240" w:lineRule="auto"/>
        <w:jc w:val="right"/>
        <w:rPr>
          <w:bCs/>
          <w:szCs w:val="24"/>
          <w:lang w:eastAsia="sk-SK"/>
        </w:rPr>
      </w:pPr>
    </w:p>
    <w:p w:rsidR="00476217" w:rsidRDefault="00FC165A" w:rsidP="00FC165A">
      <w:pPr>
        <w:tabs>
          <w:tab w:val="num" w:pos="1080"/>
        </w:tabs>
        <w:spacing w:line="240" w:lineRule="auto"/>
        <w:jc w:val="right"/>
        <w:rPr>
          <w:bCs/>
          <w:szCs w:val="24"/>
          <w:lang w:eastAsia="sk-SK"/>
        </w:rPr>
      </w:pPr>
      <w:r w:rsidRPr="004550C4">
        <w:rPr>
          <w:bCs/>
          <w:szCs w:val="24"/>
          <w:lang w:eastAsia="sk-SK"/>
        </w:rPr>
        <w:t xml:space="preserve">     </w:t>
      </w:r>
    </w:p>
    <w:p w:rsidR="00FC165A" w:rsidRPr="00C2639E" w:rsidRDefault="00FC165A" w:rsidP="00C2639E">
      <w:pPr>
        <w:tabs>
          <w:tab w:val="num" w:pos="1080"/>
        </w:tabs>
        <w:spacing w:line="240" w:lineRule="auto"/>
        <w:jc w:val="right"/>
        <w:rPr>
          <w:bCs/>
          <w:sz w:val="20"/>
          <w:szCs w:val="20"/>
          <w:lang w:eastAsia="sk-SK"/>
        </w:rPr>
      </w:pPr>
      <w:r w:rsidRPr="004550C4">
        <w:rPr>
          <w:bCs/>
          <w:szCs w:val="24"/>
          <w:lang w:eastAsia="sk-SK"/>
        </w:rPr>
        <w:t xml:space="preserve">         </w:t>
      </w:r>
      <w:r w:rsidR="00C2639E">
        <w:rPr>
          <w:bCs/>
          <w:szCs w:val="24"/>
          <w:lang w:eastAsia="sk-SK"/>
        </w:rPr>
        <w:t xml:space="preserve">   </w:t>
      </w:r>
      <w:r w:rsidR="00C2639E">
        <w:rPr>
          <w:bCs/>
          <w:sz w:val="20"/>
          <w:szCs w:val="20"/>
          <w:lang w:eastAsia="sk-SK"/>
        </w:rPr>
        <w:t xml:space="preserve">Tabuľka č. 5 </w:t>
      </w:r>
    </w:p>
    <w:tbl>
      <w:tblPr>
        <w:tblW w:w="10777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5"/>
        <w:gridCol w:w="1276"/>
        <w:gridCol w:w="1134"/>
        <w:gridCol w:w="720"/>
        <w:gridCol w:w="272"/>
        <w:gridCol w:w="1020"/>
        <w:gridCol w:w="630"/>
        <w:gridCol w:w="760"/>
      </w:tblGrid>
      <w:tr w:rsidR="00FC165A" w:rsidRPr="004550C4" w:rsidTr="00C2639E">
        <w:trPr>
          <w:cantSplit/>
          <w:trHeight w:val="255"/>
        </w:trPr>
        <w:tc>
          <w:tcPr>
            <w:tcW w:w="4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C165A" w:rsidRPr="004550C4" w:rsidRDefault="00FC165A" w:rsidP="002B77CE">
            <w:pPr>
              <w:spacing w:line="240" w:lineRule="auto"/>
              <w:jc w:val="center"/>
              <w:rPr>
                <w:b/>
                <w:bCs/>
                <w:szCs w:val="24"/>
                <w:lang w:eastAsia="sk-SK"/>
              </w:rPr>
            </w:pPr>
            <w:r w:rsidRPr="004550C4">
              <w:rPr>
                <w:b/>
                <w:bCs/>
                <w:szCs w:val="24"/>
                <w:lang w:eastAsia="sk-SK"/>
              </w:rPr>
              <w:t>Zamestnanosť</w:t>
            </w:r>
          </w:p>
        </w:tc>
        <w:tc>
          <w:tcPr>
            <w:tcW w:w="44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C165A" w:rsidRPr="004550C4" w:rsidRDefault="00FC165A" w:rsidP="002B77CE">
            <w:pPr>
              <w:spacing w:line="240" w:lineRule="auto"/>
              <w:jc w:val="center"/>
              <w:rPr>
                <w:b/>
                <w:bCs/>
                <w:szCs w:val="24"/>
                <w:lang w:eastAsia="sk-SK"/>
              </w:rPr>
            </w:pPr>
            <w:r w:rsidRPr="004550C4">
              <w:rPr>
                <w:b/>
                <w:bCs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3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FC165A" w:rsidRPr="004550C4" w:rsidRDefault="00FC165A" w:rsidP="002B77CE">
            <w:pPr>
              <w:spacing w:line="240" w:lineRule="auto"/>
              <w:jc w:val="center"/>
              <w:rPr>
                <w:b/>
                <w:bCs/>
                <w:szCs w:val="24"/>
                <w:lang w:eastAsia="sk-SK"/>
              </w:rPr>
            </w:pPr>
            <w:r w:rsidRPr="004550C4">
              <w:rPr>
                <w:b/>
                <w:bCs/>
                <w:szCs w:val="24"/>
                <w:lang w:eastAsia="sk-SK"/>
              </w:rPr>
              <w:t>poznámka</w:t>
            </w:r>
          </w:p>
        </w:tc>
      </w:tr>
      <w:tr w:rsidR="00FC165A" w:rsidRPr="004550C4" w:rsidTr="00C2639E">
        <w:trPr>
          <w:cantSplit/>
          <w:trHeight w:val="255"/>
        </w:trPr>
        <w:tc>
          <w:tcPr>
            <w:tcW w:w="4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C165A" w:rsidRPr="004550C4" w:rsidRDefault="00FC165A" w:rsidP="002B77CE">
            <w:pPr>
              <w:spacing w:line="240" w:lineRule="auto"/>
              <w:rPr>
                <w:b/>
                <w:bCs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C165A" w:rsidRPr="00FA69AF" w:rsidRDefault="00FC165A" w:rsidP="0087277C">
            <w:pPr>
              <w:spacing w:line="240" w:lineRule="auto"/>
              <w:jc w:val="center"/>
              <w:rPr>
                <w:b/>
                <w:bCs/>
                <w:szCs w:val="24"/>
                <w:lang w:eastAsia="sk-SK"/>
              </w:rPr>
            </w:pPr>
            <w:r w:rsidRPr="00FA69AF">
              <w:rPr>
                <w:b/>
                <w:bCs/>
                <w:szCs w:val="24"/>
                <w:lang w:eastAsia="sk-SK"/>
              </w:rPr>
              <w:t>20</w:t>
            </w:r>
            <w:r w:rsidR="00345A3E" w:rsidRPr="00FA69AF">
              <w:rPr>
                <w:b/>
                <w:bCs/>
                <w:szCs w:val="24"/>
                <w:lang w:eastAsia="sk-SK"/>
              </w:rPr>
              <w:t>2</w:t>
            </w:r>
            <w:r w:rsidR="0087277C" w:rsidRPr="00FA69AF">
              <w:rPr>
                <w:b/>
                <w:bCs/>
                <w:szCs w:val="24"/>
                <w:lang w:eastAsia="sk-SK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C165A" w:rsidRPr="00FA69AF" w:rsidRDefault="00FC165A" w:rsidP="0087277C">
            <w:pPr>
              <w:spacing w:line="240" w:lineRule="auto"/>
              <w:jc w:val="center"/>
              <w:rPr>
                <w:b/>
                <w:bCs/>
                <w:szCs w:val="24"/>
                <w:lang w:eastAsia="sk-SK"/>
              </w:rPr>
            </w:pPr>
            <w:r w:rsidRPr="00FA69AF">
              <w:rPr>
                <w:b/>
                <w:bCs/>
                <w:szCs w:val="24"/>
                <w:lang w:eastAsia="sk-SK"/>
              </w:rPr>
              <w:t>20</w:t>
            </w:r>
            <w:r w:rsidR="001964E2" w:rsidRPr="00FA69AF">
              <w:rPr>
                <w:b/>
                <w:bCs/>
                <w:szCs w:val="24"/>
                <w:lang w:eastAsia="sk-SK"/>
              </w:rPr>
              <w:t>2</w:t>
            </w:r>
            <w:r w:rsidR="0087277C" w:rsidRPr="00FA69AF">
              <w:rPr>
                <w:b/>
                <w:bCs/>
                <w:szCs w:val="24"/>
                <w:lang w:eastAsia="sk-SK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C165A" w:rsidRPr="00FA69AF" w:rsidRDefault="00FC165A" w:rsidP="0087277C">
            <w:pPr>
              <w:spacing w:line="240" w:lineRule="auto"/>
              <w:jc w:val="center"/>
              <w:rPr>
                <w:b/>
                <w:bCs/>
                <w:szCs w:val="24"/>
                <w:lang w:eastAsia="sk-SK"/>
              </w:rPr>
            </w:pPr>
            <w:r w:rsidRPr="00FA69AF">
              <w:rPr>
                <w:b/>
                <w:bCs/>
                <w:szCs w:val="24"/>
                <w:lang w:eastAsia="sk-SK"/>
              </w:rPr>
              <w:t>202</w:t>
            </w:r>
            <w:r w:rsidR="0087277C" w:rsidRPr="00FA69AF">
              <w:rPr>
                <w:b/>
                <w:bCs/>
                <w:szCs w:val="24"/>
                <w:lang w:eastAsia="sk-SK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C165A" w:rsidRPr="00FA69AF" w:rsidRDefault="00FC165A" w:rsidP="0087277C">
            <w:pPr>
              <w:spacing w:line="240" w:lineRule="auto"/>
              <w:jc w:val="center"/>
              <w:rPr>
                <w:b/>
                <w:bCs/>
                <w:szCs w:val="24"/>
                <w:lang w:eastAsia="sk-SK"/>
              </w:rPr>
            </w:pPr>
            <w:r w:rsidRPr="00FA69AF">
              <w:rPr>
                <w:b/>
                <w:bCs/>
                <w:szCs w:val="24"/>
                <w:lang w:eastAsia="sk-SK"/>
              </w:rPr>
              <w:t>202</w:t>
            </w:r>
            <w:r w:rsidR="0087277C" w:rsidRPr="00FA69AF">
              <w:rPr>
                <w:b/>
                <w:bCs/>
                <w:szCs w:val="24"/>
                <w:lang w:eastAsia="sk-SK"/>
              </w:rPr>
              <w:t>4</w:t>
            </w:r>
          </w:p>
        </w:tc>
        <w:tc>
          <w:tcPr>
            <w:tcW w:w="13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C165A" w:rsidRPr="00FA69AF" w:rsidRDefault="00FC165A" w:rsidP="002B77CE">
            <w:pPr>
              <w:spacing w:line="240" w:lineRule="auto"/>
              <w:rPr>
                <w:b/>
                <w:bCs/>
                <w:szCs w:val="24"/>
                <w:lang w:eastAsia="sk-SK"/>
              </w:rPr>
            </w:pPr>
          </w:p>
        </w:tc>
      </w:tr>
      <w:tr w:rsidR="00FC165A" w:rsidRPr="004550C4" w:rsidTr="00C2639E">
        <w:trPr>
          <w:trHeight w:val="255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5A" w:rsidRPr="004550C4" w:rsidRDefault="00FC165A" w:rsidP="002B77CE">
            <w:pPr>
              <w:spacing w:line="240" w:lineRule="auto"/>
              <w:rPr>
                <w:b/>
                <w:bCs/>
                <w:szCs w:val="24"/>
                <w:lang w:eastAsia="sk-SK"/>
              </w:rPr>
            </w:pPr>
            <w:r w:rsidRPr="004550C4">
              <w:rPr>
                <w:b/>
                <w:bCs/>
                <w:szCs w:val="24"/>
                <w:lang w:eastAsia="sk-SK"/>
              </w:rPr>
              <w:t>Počet zamestnancov celkom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65A" w:rsidRPr="00FA69AF" w:rsidRDefault="0020493C" w:rsidP="002B77CE">
            <w:pPr>
              <w:spacing w:line="240" w:lineRule="auto"/>
              <w:jc w:val="center"/>
              <w:rPr>
                <w:bCs/>
                <w:iCs/>
                <w:sz w:val="20"/>
                <w:szCs w:val="20"/>
                <w:lang w:eastAsia="sk-SK"/>
              </w:rPr>
            </w:pPr>
            <w:r w:rsidRPr="00FA69AF">
              <w:rPr>
                <w:bCs/>
                <w:iCs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65A" w:rsidRPr="00FA69AF" w:rsidRDefault="0020493C" w:rsidP="002B77CE">
            <w:pPr>
              <w:spacing w:line="240" w:lineRule="auto"/>
              <w:jc w:val="center"/>
              <w:rPr>
                <w:bCs/>
                <w:iCs/>
                <w:sz w:val="20"/>
                <w:szCs w:val="20"/>
                <w:lang w:eastAsia="sk-SK"/>
              </w:rPr>
            </w:pPr>
            <w:r w:rsidRPr="00FA69AF">
              <w:rPr>
                <w:bCs/>
                <w:iCs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65A" w:rsidRPr="00FA69AF" w:rsidRDefault="0020493C" w:rsidP="002B77CE">
            <w:pPr>
              <w:spacing w:line="240" w:lineRule="auto"/>
              <w:jc w:val="center"/>
              <w:rPr>
                <w:bCs/>
                <w:iCs/>
                <w:sz w:val="20"/>
                <w:szCs w:val="20"/>
                <w:lang w:eastAsia="sk-SK"/>
              </w:rPr>
            </w:pPr>
            <w:r w:rsidRPr="00FA69AF">
              <w:rPr>
                <w:bCs/>
                <w:iCs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65A" w:rsidRPr="00FA69AF" w:rsidRDefault="0020493C" w:rsidP="002B77CE">
            <w:pPr>
              <w:spacing w:line="240" w:lineRule="auto"/>
              <w:jc w:val="center"/>
              <w:rPr>
                <w:bCs/>
                <w:iCs/>
                <w:sz w:val="20"/>
                <w:szCs w:val="20"/>
                <w:lang w:eastAsia="sk-SK"/>
              </w:rPr>
            </w:pPr>
            <w:r w:rsidRPr="00FA69AF">
              <w:rPr>
                <w:bCs/>
                <w:iCs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165A" w:rsidRPr="00FA69AF" w:rsidRDefault="00FC165A" w:rsidP="002B77CE">
            <w:pPr>
              <w:spacing w:line="240" w:lineRule="auto"/>
              <w:rPr>
                <w:bCs/>
                <w:iCs/>
                <w:sz w:val="20"/>
                <w:szCs w:val="20"/>
                <w:lang w:eastAsia="sk-SK"/>
              </w:rPr>
            </w:pPr>
            <w:r w:rsidRPr="00FA69AF">
              <w:rPr>
                <w:bCs/>
                <w:iCs/>
                <w:sz w:val="20"/>
                <w:szCs w:val="20"/>
                <w:lang w:eastAsia="sk-SK"/>
              </w:rPr>
              <w:t> </w:t>
            </w:r>
            <w:r w:rsidR="0020493C" w:rsidRPr="00FA69AF">
              <w:rPr>
                <w:bCs/>
                <w:iCs/>
                <w:sz w:val="20"/>
                <w:szCs w:val="20"/>
                <w:lang w:eastAsia="sk-SK"/>
              </w:rPr>
              <w:t>MZVaEZ SR</w:t>
            </w:r>
          </w:p>
        </w:tc>
      </w:tr>
      <w:tr w:rsidR="00FF3B79" w:rsidRPr="004550C4" w:rsidTr="00C2639E">
        <w:trPr>
          <w:trHeight w:val="255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79" w:rsidRPr="004550C4" w:rsidRDefault="00FF3B79" w:rsidP="00FF3B79">
            <w:pPr>
              <w:spacing w:line="240" w:lineRule="auto"/>
              <w:ind w:right="1578"/>
              <w:rPr>
                <w:b/>
                <w:bCs/>
                <w:szCs w:val="24"/>
                <w:lang w:eastAsia="sk-SK"/>
              </w:rPr>
            </w:pPr>
            <w:r w:rsidRPr="004550C4">
              <w:rPr>
                <w:b/>
                <w:bCs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B79" w:rsidRPr="00FA69AF" w:rsidRDefault="00FF3B79" w:rsidP="00FF3B79">
            <w:pPr>
              <w:spacing w:line="240" w:lineRule="auto"/>
              <w:jc w:val="center"/>
              <w:rPr>
                <w:bCs/>
                <w:iCs/>
                <w:sz w:val="20"/>
                <w:szCs w:val="20"/>
                <w:lang w:eastAsia="sk-SK"/>
              </w:rPr>
            </w:pPr>
            <w:r w:rsidRPr="00FA69AF">
              <w:rPr>
                <w:bCs/>
                <w:iCs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B79" w:rsidRPr="00FA69AF" w:rsidRDefault="00FF3B79" w:rsidP="00FF3B79">
            <w:pPr>
              <w:spacing w:line="240" w:lineRule="auto"/>
              <w:jc w:val="center"/>
              <w:rPr>
                <w:bCs/>
                <w:iCs/>
                <w:sz w:val="20"/>
                <w:szCs w:val="20"/>
                <w:lang w:eastAsia="sk-SK"/>
              </w:rPr>
            </w:pPr>
            <w:r w:rsidRPr="00FA69AF">
              <w:rPr>
                <w:bCs/>
                <w:iCs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B79" w:rsidRPr="00FA69AF" w:rsidRDefault="00FF3B79" w:rsidP="00FF3B79">
            <w:pPr>
              <w:spacing w:line="240" w:lineRule="auto"/>
              <w:jc w:val="center"/>
              <w:rPr>
                <w:bCs/>
                <w:iCs/>
                <w:sz w:val="20"/>
                <w:szCs w:val="20"/>
                <w:lang w:eastAsia="sk-SK"/>
              </w:rPr>
            </w:pPr>
            <w:r w:rsidRPr="00FA69AF">
              <w:rPr>
                <w:bCs/>
                <w:iCs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B79" w:rsidRPr="00FA69AF" w:rsidRDefault="00FF3B79" w:rsidP="00FF3B79">
            <w:pPr>
              <w:spacing w:line="240" w:lineRule="auto"/>
              <w:jc w:val="center"/>
              <w:rPr>
                <w:bCs/>
                <w:iCs/>
                <w:sz w:val="20"/>
                <w:szCs w:val="20"/>
                <w:lang w:eastAsia="sk-SK"/>
              </w:rPr>
            </w:pPr>
            <w:r w:rsidRPr="00FA69AF">
              <w:rPr>
                <w:bCs/>
                <w:iCs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B79" w:rsidRPr="00FA69AF" w:rsidRDefault="00FF3B79" w:rsidP="00FF3B79">
            <w:pPr>
              <w:spacing w:line="240" w:lineRule="auto"/>
              <w:rPr>
                <w:bCs/>
                <w:iCs/>
                <w:sz w:val="20"/>
                <w:szCs w:val="20"/>
                <w:lang w:eastAsia="sk-SK"/>
              </w:rPr>
            </w:pPr>
            <w:r w:rsidRPr="00FA69AF">
              <w:rPr>
                <w:bCs/>
                <w:iCs/>
                <w:sz w:val="20"/>
                <w:szCs w:val="20"/>
                <w:lang w:eastAsia="sk-SK"/>
              </w:rPr>
              <w:t xml:space="preserve"> MZVaEZ SR</w:t>
            </w:r>
          </w:p>
        </w:tc>
      </w:tr>
      <w:tr w:rsidR="00FF3B79" w:rsidRPr="004550C4" w:rsidTr="00C2639E">
        <w:trPr>
          <w:trHeight w:val="255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79" w:rsidRPr="004550C4" w:rsidRDefault="00FF3B79" w:rsidP="00FF3B79">
            <w:pPr>
              <w:spacing w:line="240" w:lineRule="auto"/>
              <w:rPr>
                <w:b/>
                <w:bCs/>
                <w:szCs w:val="24"/>
                <w:lang w:eastAsia="sk-SK"/>
              </w:rPr>
            </w:pPr>
            <w:r w:rsidRPr="004550C4">
              <w:rPr>
                <w:b/>
                <w:bCs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B79" w:rsidRPr="00FA69AF" w:rsidRDefault="00FF3B79" w:rsidP="00FF3B79">
            <w:pPr>
              <w:spacing w:line="240" w:lineRule="auto"/>
              <w:jc w:val="right"/>
              <w:rPr>
                <w:bCs/>
                <w:iCs/>
                <w:sz w:val="20"/>
                <w:szCs w:val="20"/>
                <w:lang w:eastAsia="sk-SK"/>
              </w:rPr>
            </w:pPr>
            <w:r w:rsidRPr="00FA69AF">
              <w:rPr>
                <w:bCs/>
                <w:iCs/>
                <w:sz w:val="20"/>
                <w:szCs w:val="20"/>
                <w:lang w:eastAsia="sk-SK"/>
              </w:rPr>
              <w:t>2 170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B79" w:rsidRPr="00FA69AF" w:rsidRDefault="00FF3B79" w:rsidP="00FF3B79">
            <w:pPr>
              <w:spacing w:line="240" w:lineRule="auto"/>
              <w:jc w:val="right"/>
              <w:rPr>
                <w:bCs/>
                <w:iCs/>
                <w:sz w:val="20"/>
                <w:szCs w:val="20"/>
                <w:lang w:eastAsia="sk-SK"/>
              </w:rPr>
            </w:pPr>
            <w:r w:rsidRPr="00FA69AF">
              <w:rPr>
                <w:bCs/>
                <w:iCs/>
                <w:sz w:val="20"/>
                <w:szCs w:val="20"/>
                <w:lang w:eastAsia="sk-SK"/>
              </w:rPr>
              <w:t>2</w:t>
            </w:r>
            <w:r w:rsidR="00A07D5C" w:rsidRPr="00FA69AF">
              <w:rPr>
                <w:bCs/>
                <w:iCs/>
                <w:sz w:val="20"/>
                <w:szCs w:val="20"/>
                <w:lang w:eastAsia="sk-SK"/>
              </w:rPr>
              <w:t xml:space="preserve"> </w:t>
            </w:r>
            <w:r w:rsidRPr="00FA69AF">
              <w:rPr>
                <w:bCs/>
                <w:iCs/>
                <w:sz w:val="20"/>
                <w:szCs w:val="20"/>
                <w:lang w:eastAsia="sk-SK"/>
              </w:rPr>
              <w:t>170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B79" w:rsidRPr="00FA69AF" w:rsidRDefault="00FF3B79" w:rsidP="00FF3B79">
            <w:pPr>
              <w:spacing w:line="240" w:lineRule="auto"/>
              <w:jc w:val="right"/>
              <w:rPr>
                <w:bCs/>
                <w:iCs/>
                <w:sz w:val="20"/>
                <w:szCs w:val="20"/>
                <w:lang w:eastAsia="sk-SK"/>
              </w:rPr>
            </w:pPr>
            <w:r w:rsidRPr="00FA69AF">
              <w:rPr>
                <w:bCs/>
                <w:iCs/>
                <w:sz w:val="20"/>
                <w:szCs w:val="20"/>
                <w:lang w:eastAsia="sk-SK"/>
              </w:rPr>
              <w:t>2 170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B79" w:rsidRPr="00FA69AF" w:rsidRDefault="00FF3B79" w:rsidP="00FF3B79">
            <w:pPr>
              <w:spacing w:line="240" w:lineRule="auto"/>
              <w:jc w:val="right"/>
              <w:rPr>
                <w:bCs/>
                <w:iCs/>
                <w:sz w:val="20"/>
                <w:szCs w:val="20"/>
                <w:lang w:eastAsia="sk-SK"/>
              </w:rPr>
            </w:pPr>
            <w:r w:rsidRPr="00FA69AF">
              <w:rPr>
                <w:bCs/>
                <w:iCs/>
                <w:sz w:val="20"/>
                <w:szCs w:val="20"/>
                <w:lang w:eastAsia="sk-SK"/>
              </w:rPr>
              <w:t>2170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B79" w:rsidRPr="00FA69AF" w:rsidRDefault="00FF3B79" w:rsidP="00FF3B79">
            <w:pPr>
              <w:spacing w:line="240" w:lineRule="auto"/>
              <w:rPr>
                <w:szCs w:val="24"/>
                <w:lang w:eastAsia="sk-SK"/>
              </w:rPr>
            </w:pPr>
            <w:r w:rsidRPr="00FA69AF">
              <w:rPr>
                <w:szCs w:val="24"/>
                <w:lang w:eastAsia="sk-SK"/>
              </w:rPr>
              <w:t> </w:t>
            </w:r>
            <w:r w:rsidRPr="00FA69AF">
              <w:rPr>
                <w:sz w:val="18"/>
                <w:szCs w:val="18"/>
                <w:lang w:eastAsia="sk-SK"/>
              </w:rPr>
              <w:t>MZVaEZ SR</w:t>
            </w:r>
          </w:p>
        </w:tc>
      </w:tr>
      <w:tr w:rsidR="00FF3B79" w:rsidRPr="004550C4" w:rsidTr="00C2639E">
        <w:trPr>
          <w:trHeight w:val="255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79" w:rsidRPr="004550C4" w:rsidRDefault="00FF3B79" w:rsidP="00FF3B79">
            <w:pPr>
              <w:spacing w:line="240" w:lineRule="auto"/>
              <w:rPr>
                <w:szCs w:val="24"/>
                <w:lang w:eastAsia="sk-SK"/>
              </w:rPr>
            </w:pPr>
            <w:r w:rsidRPr="004550C4">
              <w:rPr>
                <w:b/>
                <w:bCs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B79" w:rsidRPr="00FA69AF" w:rsidRDefault="00FF3B79" w:rsidP="00FF3B79">
            <w:pPr>
              <w:spacing w:line="240" w:lineRule="auto"/>
              <w:jc w:val="right"/>
              <w:rPr>
                <w:bCs/>
                <w:iCs/>
                <w:sz w:val="20"/>
                <w:szCs w:val="20"/>
                <w:lang w:eastAsia="sk-SK"/>
              </w:rPr>
            </w:pPr>
            <w:r w:rsidRPr="00FA69AF">
              <w:rPr>
                <w:bCs/>
                <w:iCs/>
                <w:sz w:val="20"/>
                <w:szCs w:val="20"/>
                <w:lang w:eastAsia="sk-SK"/>
              </w:rPr>
              <w:t>2 170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B79" w:rsidRPr="00FA69AF" w:rsidRDefault="00FF3B79" w:rsidP="00FF3B79">
            <w:pPr>
              <w:spacing w:line="240" w:lineRule="auto"/>
              <w:jc w:val="right"/>
              <w:rPr>
                <w:bCs/>
                <w:iCs/>
                <w:sz w:val="20"/>
                <w:szCs w:val="20"/>
                <w:lang w:eastAsia="sk-SK"/>
              </w:rPr>
            </w:pPr>
            <w:r w:rsidRPr="00FA69AF">
              <w:rPr>
                <w:bCs/>
                <w:iCs/>
                <w:sz w:val="20"/>
                <w:szCs w:val="20"/>
                <w:lang w:eastAsia="sk-SK"/>
              </w:rPr>
              <w:t>2</w:t>
            </w:r>
            <w:r w:rsidR="00A07D5C" w:rsidRPr="00FA69AF">
              <w:rPr>
                <w:bCs/>
                <w:iCs/>
                <w:sz w:val="20"/>
                <w:szCs w:val="20"/>
                <w:lang w:eastAsia="sk-SK"/>
              </w:rPr>
              <w:t xml:space="preserve"> </w:t>
            </w:r>
            <w:r w:rsidRPr="00FA69AF">
              <w:rPr>
                <w:bCs/>
                <w:iCs/>
                <w:sz w:val="20"/>
                <w:szCs w:val="20"/>
                <w:lang w:eastAsia="sk-SK"/>
              </w:rPr>
              <w:t>170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B79" w:rsidRPr="00FA69AF" w:rsidRDefault="00FF3B79" w:rsidP="00FF3B79">
            <w:pPr>
              <w:spacing w:line="240" w:lineRule="auto"/>
              <w:jc w:val="right"/>
              <w:rPr>
                <w:bCs/>
                <w:iCs/>
                <w:sz w:val="20"/>
                <w:szCs w:val="20"/>
                <w:lang w:eastAsia="sk-SK"/>
              </w:rPr>
            </w:pPr>
            <w:r w:rsidRPr="00FA69AF">
              <w:rPr>
                <w:bCs/>
                <w:iCs/>
                <w:sz w:val="20"/>
                <w:szCs w:val="20"/>
                <w:lang w:eastAsia="sk-SK"/>
              </w:rPr>
              <w:t>2 170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B79" w:rsidRPr="00FA69AF" w:rsidRDefault="00FF3B79" w:rsidP="00FF3B79">
            <w:pPr>
              <w:spacing w:line="240" w:lineRule="auto"/>
              <w:jc w:val="right"/>
              <w:rPr>
                <w:bCs/>
                <w:iCs/>
                <w:sz w:val="20"/>
                <w:szCs w:val="20"/>
                <w:lang w:eastAsia="sk-SK"/>
              </w:rPr>
            </w:pPr>
            <w:r w:rsidRPr="00FA69AF">
              <w:rPr>
                <w:bCs/>
                <w:iCs/>
                <w:sz w:val="20"/>
                <w:szCs w:val="20"/>
                <w:lang w:eastAsia="sk-SK"/>
              </w:rPr>
              <w:t>2170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B79" w:rsidRPr="00FA69AF" w:rsidRDefault="00FF3B79" w:rsidP="00FF3B79">
            <w:pPr>
              <w:spacing w:line="240" w:lineRule="auto"/>
              <w:rPr>
                <w:szCs w:val="24"/>
                <w:lang w:eastAsia="sk-SK"/>
              </w:rPr>
            </w:pPr>
            <w:r w:rsidRPr="00FA69AF">
              <w:rPr>
                <w:szCs w:val="24"/>
                <w:lang w:eastAsia="sk-SK"/>
              </w:rPr>
              <w:t> </w:t>
            </w:r>
            <w:r w:rsidRPr="00FA69AF">
              <w:rPr>
                <w:sz w:val="18"/>
                <w:szCs w:val="18"/>
                <w:lang w:eastAsia="sk-SK"/>
              </w:rPr>
              <w:t>MZVaEZ SR</w:t>
            </w:r>
          </w:p>
        </w:tc>
      </w:tr>
      <w:tr w:rsidR="00556C22" w:rsidRPr="004550C4" w:rsidTr="00C2639E">
        <w:trPr>
          <w:trHeight w:val="255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6C22" w:rsidRPr="004550C4" w:rsidRDefault="00556C22" w:rsidP="00556C22">
            <w:pPr>
              <w:spacing w:line="240" w:lineRule="auto"/>
              <w:rPr>
                <w:b/>
                <w:bCs/>
                <w:szCs w:val="24"/>
                <w:lang w:eastAsia="sk-SK"/>
              </w:rPr>
            </w:pPr>
            <w:r w:rsidRPr="004550C4">
              <w:rPr>
                <w:b/>
                <w:bCs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56C22" w:rsidRPr="00FA69AF" w:rsidRDefault="00556C22" w:rsidP="00556C22">
            <w:pPr>
              <w:spacing w:line="240" w:lineRule="auto"/>
              <w:jc w:val="right"/>
              <w:rPr>
                <w:b/>
                <w:bCs/>
                <w:szCs w:val="24"/>
                <w:lang w:eastAsia="sk-SK"/>
              </w:rPr>
            </w:pPr>
            <w:r w:rsidRPr="00FA69AF">
              <w:rPr>
                <w:bCs/>
                <w:iCs/>
                <w:sz w:val="20"/>
                <w:szCs w:val="20"/>
                <w:lang w:eastAsia="sk-SK"/>
              </w:rPr>
              <w:t>8 785,25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56C22" w:rsidRPr="00FA69AF" w:rsidRDefault="00556C22" w:rsidP="00556C22">
            <w:pPr>
              <w:spacing w:line="240" w:lineRule="auto"/>
              <w:jc w:val="right"/>
              <w:rPr>
                <w:bCs/>
                <w:iCs/>
                <w:sz w:val="20"/>
                <w:szCs w:val="20"/>
                <w:lang w:eastAsia="sk-SK"/>
              </w:rPr>
            </w:pPr>
            <w:r w:rsidRPr="00FA69AF">
              <w:rPr>
                <w:bCs/>
                <w:iCs/>
                <w:sz w:val="20"/>
                <w:szCs w:val="20"/>
                <w:lang w:eastAsia="sk-SK"/>
              </w:rPr>
              <w:t>35 141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56C22" w:rsidRPr="00FA69AF" w:rsidRDefault="00556C22" w:rsidP="00556C22">
            <w:pPr>
              <w:spacing w:line="240" w:lineRule="auto"/>
              <w:jc w:val="right"/>
              <w:rPr>
                <w:bCs/>
                <w:iCs/>
                <w:sz w:val="20"/>
                <w:szCs w:val="20"/>
                <w:lang w:eastAsia="sk-SK"/>
              </w:rPr>
            </w:pPr>
            <w:r w:rsidRPr="00FA69AF">
              <w:rPr>
                <w:bCs/>
                <w:iCs/>
                <w:sz w:val="20"/>
                <w:szCs w:val="20"/>
                <w:lang w:eastAsia="sk-SK"/>
              </w:rPr>
              <w:t>35 141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56C22" w:rsidRPr="00FA69AF" w:rsidRDefault="00556C22" w:rsidP="00556C22">
            <w:pPr>
              <w:spacing w:line="240" w:lineRule="auto"/>
              <w:jc w:val="right"/>
              <w:rPr>
                <w:bCs/>
                <w:iCs/>
                <w:sz w:val="20"/>
                <w:szCs w:val="20"/>
                <w:lang w:eastAsia="sk-SK"/>
              </w:rPr>
            </w:pPr>
            <w:r w:rsidRPr="00FA69AF">
              <w:rPr>
                <w:bCs/>
                <w:iCs/>
                <w:sz w:val="20"/>
                <w:szCs w:val="20"/>
                <w:lang w:eastAsia="sk-SK"/>
              </w:rPr>
              <w:t>35 141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556C22" w:rsidRPr="00FA69AF" w:rsidRDefault="00556C22" w:rsidP="00556C22">
            <w:pPr>
              <w:spacing w:line="240" w:lineRule="auto"/>
              <w:rPr>
                <w:b/>
                <w:bCs/>
                <w:szCs w:val="24"/>
                <w:lang w:eastAsia="sk-SK"/>
              </w:rPr>
            </w:pPr>
            <w:r w:rsidRPr="00FA69AF">
              <w:rPr>
                <w:b/>
                <w:bCs/>
                <w:szCs w:val="24"/>
                <w:lang w:eastAsia="sk-SK"/>
              </w:rPr>
              <w:t> </w:t>
            </w:r>
            <w:r w:rsidRPr="00FA69AF">
              <w:rPr>
                <w:sz w:val="18"/>
                <w:szCs w:val="18"/>
                <w:lang w:eastAsia="sk-SK"/>
              </w:rPr>
              <w:t>MZVaEZ SR</w:t>
            </w:r>
          </w:p>
        </w:tc>
      </w:tr>
      <w:tr w:rsidR="00154429" w:rsidRPr="004550C4" w:rsidTr="00C2639E">
        <w:trPr>
          <w:trHeight w:val="255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29" w:rsidRPr="004550C4" w:rsidRDefault="00154429" w:rsidP="00154429">
            <w:pPr>
              <w:spacing w:line="240" w:lineRule="auto"/>
              <w:rPr>
                <w:b/>
                <w:bCs/>
                <w:szCs w:val="24"/>
                <w:lang w:eastAsia="sk-SK"/>
              </w:rPr>
            </w:pPr>
            <w:r w:rsidRPr="004550C4">
              <w:rPr>
                <w:b/>
                <w:bCs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429" w:rsidRPr="00FA69AF" w:rsidRDefault="00154429" w:rsidP="00154429">
            <w:pPr>
              <w:spacing w:line="240" w:lineRule="auto"/>
              <w:jc w:val="right"/>
              <w:rPr>
                <w:bCs/>
                <w:iCs/>
                <w:sz w:val="20"/>
                <w:szCs w:val="20"/>
                <w:lang w:eastAsia="sk-SK"/>
              </w:rPr>
            </w:pPr>
            <w:r w:rsidRPr="00FA69AF">
              <w:rPr>
                <w:bCs/>
                <w:iCs/>
                <w:sz w:val="20"/>
                <w:szCs w:val="20"/>
                <w:lang w:eastAsia="sk-SK"/>
              </w:rPr>
              <w:t>6 510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429" w:rsidRPr="00FA69AF" w:rsidRDefault="00154429" w:rsidP="00154429">
            <w:pPr>
              <w:spacing w:line="240" w:lineRule="auto"/>
              <w:jc w:val="right"/>
              <w:rPr>
                <w:bCs/>
                <w:iCs/>
                <w:sz w:val="20"/>
                <w:szCs w:val="20"/>
                <w:lang w:eastAsia="sk-SK"/>
              </w:rPr>
            </w:pPr>
            <w:r w:rsidRPr="00FA69AF">
              <w:rPr>
                <w:bCs/>
                <w:iCs/>
                <w:sz w:val="20"/>
                <w:szCs w:val="20"/>
                <w:lang w:eastAsia="sk-SK"/>
              </w:rPr>
              <w:t>26 040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429" w:rsidRPr="00FA69AF" w:rsidRDefault="00154429" w:rsidP="00154429">
            <w:pPr>
              <w:spacing w:line="240" w:lineRule="auto"/>
              <w:jc w:val="right"/>
              <w:rPr>
                <w:bCs/>
                <w:iCs/>
                <w:sz w:val="20"/>
                <w:szCs w:val="20"/>
                <w:lang w:eastAsia="sk-SK"/>
              </w:rPr>
            </w:pPr>
            <w:r w:rsidRPr="00FA69AF">
              <w:rPr>
                <w:bCs/>
                <w:iCs/>
                <w:sz w:val="20"/>
                <w:szCs w:val="20"/>
                <w:lang w:eastAsia="sk-SK"/>
              </w:rPr>
              <w:t>26 040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429" w:rsidRPr="00FA69AF" w:rsidRDefault="00154429" w:rsidP="00154429">
            <w:pPr>
              <w:spacing w:line="240" w:lineRule="auto"/>
              <w:jc w:val="right"/>
              <w:rPr>
                <w:bCs/>
                <w:iCs/>
                <w:sz w:val="20"/>
                <w:szCs w:val="20"/>
                <w:lang w:eastAsia="sk-SK"/>
              </w:rPr>
            </w:pPr>
            <w:r w:rsidRPr="00FA69AF">
              <w:rPr>
                <w:bCs/>
                <w:iCs/>
                <w:sz w:val="20"/>
                <w:szCs w:val="20"/>
                <w:lang w:eastAsia="sk-SK"/>
              </w:rPr>
              <w:t>26 040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429" w:rsidRPr="00FA69AF" w:rsidRDefault="00154429" w:rsidP="00154429">
            <w:pPr>
              <w:spacing w:line="240" w:lineRule="auto"/>
              <w:rPr>
                <w:b/>
                <w:bCs/>
                <w:iCs/>
                <w:szCs w:val="24"/>
                <w:lang w:eastAsia="sk-SK"/>
              </w:rPr>
            </w:pPr>
            <w:r w:rsidRPr="00FA69AF">
              <w:rPr>
                <w:b/>
                <w:bCs/>
                <w:iCs/>
                <w:szCs w:val="24"/>
                <w:lang w:eastAsia="sk-SK"/>
              </w:rPr>
              <w:t> </w:t>
            </w:r>
            <w:r w:rsidRPr="00FA69AF">
              <w:rPr>
                <w:sz w:val="18"/>
                <w:szCs w:val="18"/>
                <w:lang w:eastAsia="sk-SK"/>
              </w:rPr>
              <w:t>MZVaEZ SR</w:t>
            </w:r>
          </w:p>
        </w:tc>
      </w:tr>
      <w:tr w:rsidR="00154429" w:rsidRPr="004550C4" w:rsidTr="00C2639E">
        <w:trPr>
          <w:trHeight w:val="255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29" w:rsidRPr="004550C4" w:rsidRDefault="00154429" w:rsidP="00154429">
            <w:pPr>
              <w:spacing w:line="240" w:lineRule="auto"/>
              <w:rPr>
                <w:szCs w:val="24"/>
                <w:lang w:eastAsia="sk-SK"/>
              </w:rPr>
            </w:pPr>
            <w:r w:rsidRPr="004550C4">
              <w:rPr>
                <w:b/>
                <w:bCs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429" w:rsidRPr="00FA69AF" w:rsidRDefault="00154429" w:rsidP="00154429">
            <w:pPr>
              <w:spacing w:line="240" w:lineRule="auto"/>
              <w:jc w:val="right"/>
              <w:rPr>
                <w:bCs/>
                <w:iCs/>
                <w:sz w:val="20"/>
                <w:szCs w:val="20"/>
                <w:lang w:eastAsia="sk-SK"/>
              </w:rPr>
            </w:pPr>
            <w:r w:rsidRPr="00FA69AF">
              <w:rPr>
                <w:bCs/>
                <w:iCs/>
                <w:sz w:val="20"/>
                <w:szCs w:val="20"/>
                <w:lang w:eastAsia="sk-SK"/>
              </w:rPr>
              <w:t>6 510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429" w:rsidRPr="00FA69AF" w:rsidRDefault="00154429" w:rsidP="00154429">
            <w:pPr>
              <w:spacing w:line="240" w:lineRule="auto"/>
              <w:jc w:val="right"/>
              <w:rPr>
                <w:bCs/>
                <w:iCs/>
                <w:sz w:val="20"/>
                <w:szCs w:val="20"/>
                <w:lang w:eastAsia="sk-SK"/>
              </w:rPr>
            </w:pPr>
            <w:r w:rsidRPr="00FA69AF">
              <w:rPr>
                <w:bCs/>
                <w:iCs/>
                <w:sz w:val="20"/>
                <w:szCs w:val="20"/>
                <w:lang w:eastAsia="sk-SK"/>
              </w:rPr>
              <w:t>26 040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429" w:rsidRPr="00FA69AF" w:rsidRDefault="00154429" w:rsidP="00154429">
            <w:pPr>
              <w:spacing w:line="240" w:lineRule="auto"/>
              <w:jc w:val="right"/>
              <w:rPr>
                <w:bCs/>
                <w:iCs/>
                <w:sz w:val="20"/>
                <w:szCs w:val="20"/>
                <w:lang w:eastAsia="sk-SK"/>
              </w:rPr>
            </w:pPr>
            <w:r w:rsidRPr="00FA69AF">
              <w:rPr>
                <w:bCs/>
                <w:iCs/>
                <w:sz w:val="20"/>
                <w:szCs w:val="20"/>
                <w:lang w:eastAsia="sk-SK"/>
              </w:rPr>
              <w:t>26 040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429" w:rsidRPr="00FA69AF" w:rsidRDefault="00154429" w:rsidP="00154429">
            <w:pPr>
              <w:spacing w:line="240" w:lineRule="auto"/>
              <w:jc w:val="right"/>
              <w:rPr>
                <w:bCs/>
                <w:iCs/>
                <w:sz w:val="20"/>
                <w:szCs w:val="20"/>
                <w:lang w:eastAsia="sk-SK"/>
              </w:rPr>
            </w:pPr>
            <w:r w:rsidRPr="00FA69AF">
              <w:rPr>
                <w:bCs/>
                <w:iCs/>
                <w:sz w:val="20"/>
                <w:szCs w:val="20"/>
                <w:lang w:eastAsia="sk-SK"/>
              </w:rPr>
              <w:t>26 040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429" w:rsidRPr="00FA69AF" w:rsidRDefault="00154429" w:rsidP="00154429">
            <w:pPr>
              <w:spacing w:line="240" w:lineRule="auto"/>
              <w:rPr>
                <w:szCs w:val="24"/>
                <w:lang w:eastAsia="sk-SK"/>
              </w:rPr>
            </w:pPr>
            <w:r w:rsidRPr="00FA69AF">
              <w:rPr>
                <w:szCs w:val="24"/>
                <w:lang w:eastAsia="sk-SK"/>
              </w:rPr>
              <w:t> </w:t>
            </w:r>
            <w:r w:rsidRPr="00FA69AF">
              <w:rPr>
                <w:sz w:val="18"/>
                <w:szCs w:val="18"/>
                <w:lang w:eastAsia="sk-SK"/>
              </w:rPr>
              <w:t>MZVaEZ SR</w:t>
            </w:r>
          </w:p>
        </w:tc>
      </w:tr>
      <w:tr w:rsidR="00FC165A" w:rsidRPr="004550C4" w:rsidTr="00C2639E">
        <w:trPr>
          <w:trHeight w:val="255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5A" w:rsidRPr="004550C4" w:rsidRDefault="00FC165A" w:rsidP="002B77CE">
            <w:pPr>
              <w:spacing w:line="240" w:lineRule="auto"/>
              <w:rPr>
                <w:b/>
                <w:bCs/>
                <w:szCs w:val="24"/>
                <w:lang w:eastAsia="sk-SK"/>
              </w:rPr>
            </w:pPr>
            <w:r w:rsidRPr="004550C4">
              <w:rPr>
                <w:b/>
                <w:bCs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65A" w:rsidRPr="00FA69AF" w:rsidRDefault="00154429" w:rsidP="00154429">
            <w:pPr>
              <w:spacing w:line="240" w:lineRule="auto"/>
              <w:jc w:val="right"/>
              <w:rPr>
                <w:bCs/>
                <w:iCs/>
                <w:sz w:val="20"/>
                <w:szCs w:val="20"/>
                <w:lang w:eastAsia="sk-SK"/>
              </w:rPr>
            </w:pPr>
            <w:r w:rsidRPr="00FA69AF">
              <w:rPr>
                <w:bCs/>
                <w:iCs/>
                <w:sz w:val="20"/>
                <w:szCs w:val="20"/>
                <w:lang w:eastAsia="sk-SK"/>
              </w:rPr>
              <w:t>2 275,25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65A" w:rsidRPr="00FA69AF" w:rsidRDefault="00154429" w:rsidP="00154429">
            <w:pPr>
              <w:spacing w:line="240" w:lineRule="auto"/>
              <w:jc w:val="right"/>
              <w:rPr>
                <w:bCs/>
                <w:iCs/>
                <w:sz w:val="20"/>
                <w:szCs w:val="20"/>
                <w:lang w:eastAsia="sk-SK"/>
              </w:rPr>
            </w:pPr>
            <w:r w:rsidRPr="00FA69AF">
              <w:rPr>
                <w:bCs/>
                <w:iCs/>
                <w:sz w:val="20"/>
                <w:szCs w:val="20"/>
                <w:lang w:eastAsia="sk-SK"/>
              </w:rPr>
              <w:t>9 101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65A" w:rsidRPr="00FA69AF" w:rsidRDefault="00154429" w:rsidP="00154429">
            <w:pPr>
              <w:spacing w:line="240" w:lineRule="auto"/>
              <w:jc w:val="right"/>
              <w:rPr>
                <w:bCs/>
                <w:iCs/>
                <w:sz w:val="20"/>
                <w:szCs w:val="20"/>
                <w:lang w:eastAsia="sk-SK"/>
              </w:rPr>
            </w:pPr>
            <w:r w:rsidRPr="00FA69AF">
              <w:rPr>
                <w:bCs/>
                <w:iCs/>
                <w:sz w:val="20"/>
                <w:szCs w:val="20"/>
                <w:lang w:eastAsia="sk-SK"/>
              </w:rPr>
              <w:t>9 101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65A" w:rsidRPr="00FA69AF" w:rsidRDefault="00154429" w:rsidP="00154429">
            <w:pPr>
              <w:spacing w:line="240" w:lineRule="auto"/>
              <w:jc w:val="right"/>
              <w:rPr>
                <w:bCs/>
                <w:iCs/>
                <w:sz w:val="20"/>
                <w:szCs w:val="20"/>
                <w:lang w:eastAsia="sk-SK"/>
              </w:rPr>
            </w:pPr>
            <w:r w:rsidRPr="00FA69AF">
              <w:rPr>
                <w:bCs/>
                <w:iCs/>
                <w:sz w:val="20"/>
                <w:szCs w:val="20"/>
                <w:lang w:eastAsia="sk-SK"/>
              </w:rPr>
              <w:t xml:space="preserve">9101 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165A" w:rsidRPr="00FA69AF" w:rsidRDefault="00FC165A" w:rsidP="002B77CE">
            <w:pPr>
              <w:spacing w:line="240" w:lineRule="auto"/>
              <w:rPr>
                <w:b/>
                <w:bCs/>
                <w:szCs w:val="24"/>
                <w:lang w:eastAsia="sk-SK"/>
              </w:rPr>
            </w:pPr>
            <w:r w:rsidRPr="00FA69AF">
              <w:rPr>
                <w:b/>
                <w:bCs/>
                <w:szCs w:val="24"/>
                <w:lang w:eastAsia="sk-SK"/>
              </w:rPr>
              <w:t> </w:t>
            </w:r>
            <w:r w:rsidR="00154429" w:rsidRPr="00FA69AF">
              <w:rPr>
                <w:sz w:val="18"/>
                <w:szCs w:val="18"/>
                <w:lang w:eastAsia="sk-SK"/>
              </w:rPr>
              <w:t>MZVaEZ SR</w:t>
            </w:r>
          </w:p>
        </w:tc>
      </w:tr>
      <w:tr w:rsidR="00154429" w:rsidRPr="004550C4" w:rsidTr="00C2639E">
        <w:trPr>
          <w:trHeight w:val="255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29" w:rsidRPr="004550C4" w:rsidRDefault="00154429" w:rsidP="00154429">
            <w:pPr>
              <w:spacing w:line="240" w:lineRule="auto"/>
              <w:rPr>
                <w:szCs w:val="24"/>
                <w:lang w:eastAsia="sk-SK"/>
              </w:rPr>
            </w:pPr>
            <w:r w:rsidRPr="004550C4">
              <w:rPr>
                <w:b/>
                <w:bCs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4429" w:rsidRPr="00FA69AF" w:rsidRDefault="00154429" w:rsidP="00154429">
            <w:pPr>
              <w:spacing w:line="240" w:lineRule="auto"/>
              <w:jc w:val="right"/>
              <w:rPr>
                <w:bCs/>
                <w:iCs/>
                <w:sz w:val="20"/>
                <w:szCs w:val="20"/>
                <w:lang w:eastAsia="sk-SK"/>
              </w:rPr>
            </w:pPr>
            <w:r w:rsidRPr="00FA69AF">
              <w:rPr>
                <w:bCs/>
                <w:iCs/>
                <w:sz w:val="20"/>
                <w:szCs w:val="20"/>
                <w:lang w:eastAsia="sk-SK"/>
              </w:rPr>
              <w:t>2 275,25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4429" w:rsidRPr="00FA69AF" w:rsidRDefault="00154429" w:rsidP="00154429">
            <w:pPr>
              <w:spacing w:line="240" w:lineRule="auto"/>
              <w:jc w:val="right"/>
              <w:rPr>
                <w:bCs/>
                <w:iCs/>
                <w:sz w:val="20"/>
                <w:szCs w:val="20"/>
                <w:lang w:eastAsia="sk-SK"/>
              </w:rPr>
            </w:pPr>
            <w:r w:rsidRPr="00FA69AF">
              <w:rPr>
                <w:bCs/>
                <w:iCs/>
                <w:sz w:val="20"/>
                <w:szCs w:val="20"/>
                <w:lang w:eastAsia="sk-SK"/>
              </w:rPr>
              <w:t>9 101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4429" w:rsidRPr="00FA69AF" w:rsidRDefault="00154429" w:rsidP="00154429">
            <w:pPr>
              <w:spacing w:line="240" w:lineRule="auto"/>
              <w:jc w:val="right"/>
              <w:rPr>
                <w:bCs/>
                <w:iCs/>
                <w:sz w:val="20"/>
                <w:szCs w:val="20"/>
                <w:lang w:eastAsia="sk-SK"/>
              </w:rPr>
            </w:pPr>
            <w:r w:rsidRPr="00FA69AF">
              <w:rPr>
                <w:bCs/>
                <w:iCs/>
                <w:sz w:val="20"/>
                <w:szCs w:val="20"/>
                <w:lang w:eastAsia="sk-SK"/>
              </w:rPr>
              <w:t>9 101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4429" w:rsidRPr="00FA69AF" w:rsidRDefault="00154429" w:rsidP="00154429">
            <w:pPr>
              <w:spacing w:line="240" w:lineRule="auto"/>
              <w:jc w:val="right"/>
              <w:rPr>
                <w:bCs/>
                <w:iCs/>
                <w:sz w:val="20"/>
                <w:szCs w:val="20"/>
                <w:lang w:eastAsia="sk-SK"/>
              </w:rPr>
            </w:pPr>
            <w:r w:rsidRPr="00FA69AF">
              <w:rPr>
                <w:bCs/>
                <w:iCs/>
                <w:sz w:val="20"/>
                <w:szCs w:val="20"/>
                <w:lang w:eastAsia="sk-SK"/>
              </w:rPr>
              <w:t xml:space="preserve">9101 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429" w:rsidRPr="00FA69AF" w:rsidRDefault="00154429" w:rsidP="00154429">
            <w:pPr>
              <w:spacing w:line="240" w:lineRule="auto"/>
              <w:rPr>
                <w:szCs w:val="24"/>
                <w:lang w:eastAsia="sk-SK"/>
              </w:rPr>
            </w:pPr>
            <w:r w:rsidRPr="00FA69AF">
              <w:rPr>
                <w:szCs w:val="24"/>
                <w:lang w:eastAsia="sk-SK"/>
              </w:rPr>
              <w:t> </w:t>
            </w:r>
            <w:r w:rsidRPr="00FA69AF">
              <w:rPr>
                <w:sz w:val="18"/>
                <w:szCs w:val="18"/>
                <w:lang w:eastAsia="sk-SK"/>
              </w:rPr>
              <w:t>MZVaEZ SR</w:t>
            </w:r>
          </w:p>
        </w:tc>
      </w:tr>
      <w:tr w:rsidR="00FC165A" w:rsidRPr="004550C4" w:rsidTr="00C2639E">
        <w:trPr>
          <w:trHeight w:val="255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165A" w:rsidRPr="004550C4" w:rsidRDefault="00FC165A" w:rsidP="002B77CE">
            <w:pPr>
              <w:spacing w:line="240" w:lineRule="auto"/>
              <w:rPr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165A" w:rsidRPr="00FA69AF" w:rsidRDefault="00FC165A" w:rsidP="002B77CE">
            <w:pPr>
              <w:spacing w:line="240" w:lineRule="auto"/>
              <w:rPr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165A" w:rsidRPr="00FA69AF" w:rsidRDefault="00FC165A" w:rsidP="002B77CE">
            <w:pPr>
              <w:spacing w:line="240" w:lineRule="auto"/>
              <w:rPr>
                <w:szCs w:val="24"/>
                <w:lang w:eastAsia="sk-SK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165A" w:rsidRPr="00FA69AF" w:rsidRDefault="00FC165A" w:rsidP="002B77CE">
            <w:pPr>
              <w:spacing w:line="240" w:lineRule="auto"/>
              <w:rPr>
                <w:szCs w:val="24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165A" w:rsidRPr="00FA69AF" w:rsidRDefault="00FC165A" w:rsidP="002B77CE">
            <w:pPr>
              <w:spacing w:line="240" w:lineRule="auto"/>
              <w:rPr>
                <w:szCs w:val="24"/>
                <w:lang w:eastAsia="sk-SK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165A" w:rsidRPr="00FA69AF" w:rsidRDefault="00FC165A" w:rsidP="002B77CE">
            <w:pPr>
              <w:spacing w:line="240" w:lineRule="auto"/>
              <w:rPr>
                <w:szCs w:val="24"/>
                <w:lang w:eastAsia="sk-SK"/>
              </w:rPr>
            </w:pPr>
          </w:p>
        </w:tc>
      </w:tr>
      <w:tr w:rsidR="00FC165A" w:rsidRPr="004550C4" w:rsidTr="00C2639E">
        <w:trPr>
          <w:trHeight w:val="255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</w:tcPr>
          <w:p w:rsidR="00FC165A" w:rsidRPr="004550C4" w:rsidRDefault="00FC165A" w:rsidP="002B77CE">
            <w:pPr>
              <w:spacing w:line="240" w:lineRule="auto"/>
              <w:rPr>
                <w:b/>
                <w:bCs/>
                <w:szCs w:val="24"/>
                <w:lang w:eastAsia="sk-SK"/>
              </w:rPr>
            </w:pPr>
            <w:r w:rsidRPr="004550C4">
              <w:rPr>
                <w:b/>
                <w:bCs/>
                <w:szCs w:val="24"/>
                <w:lang w:eastAsia="sk-SK"/>
              </w:rPr>
              <w:t>Poznámky: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165A" w:rsidRPr="00FA69AF" w:rsidRDefault="00FC165A" w:rsidP="002B77CE">
            <w:pPr>
              <w:spacing w:line="240" w:lineRule="auto"/>
              <w:rPr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165A" w:rsidRPr="00FA69AF" w:rsidRDefault="00FC165A" w:rsidP="002B77CE">
            <w:pPr>
              <w:spacing w:line="240" w:lineRule="auto"/>
              <w:rPr>
                <w:szCs w:val="24"/>
                <w:lang w:eastAsia="sk-SK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165A" w:rsidRPr="00FA69AF" w:rsidRDefault="00FC165A" w:rsidP="002B77CE">
            <w:pPr>
              <w:spacing w:line="240" w:lineRule="auto"/>
              <w:rPr>
                <w:szCs w:val="24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165A" w:rsidRPr="00FA69AF" w:rsidRDefault="00FC165A" w:rsidP="002B77CE">
            <w:pPr>
              <w:spacing w:line="240" w:lineRule="auto"/>
              <w:rPr>
                <w:szCs w:val="24"/>
                <w:lang w:eastAsia="sk-SK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165A" w:rsidRPr="00FA69AF" w:rsidRDefault="00FC165A" w:rsidP="002B77CE">
            <w:pPr>
              <w:spacing w:line="240" w:lineRule="auto"/>
              <w:rPr>
                <w:szCs w:val="24"/>
                <w:lang w:eastAsia="sk-SK"/>
              </w:rPr>
            </w:pPr>
          </w:p>
        </w:tc>
      </w:tr>
      <w:tr w:rsidR="00FC165A" w:rsidRPr="004550C4" w:rsidTr="00C2639E">
        <w:trPr>
          <w:trHeight w:val="255"/>
        </w:trPr>
        <w:tc>
          <w:tcPr>
            <w:tcW w:w="938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FC165A" w:rsidRPr="004550C4" w:rsidRDefault="00FC165A" w:rsidP="002B77CE">
            <w:pPr>
              <w:tabs>
                <w:tab w:val="num" w:pos="1080"/>
              </w:tabs>
              <w:spacing w:line="240" w:lineRule="auto"/>
              <w:jc w:val="both"/>
              <w:rPr>
                <w:bCs/>
                <w:szCs w:val="20"/>
                <w:lang w:eastAsia="sk-SK"/>
              </w:rPr>
            </w:pPr>
            <w:r w:rsidRPr="004550C4">
              <w:rPr>
                <w:bCs/>
                <w:szCs w:val="20"/>
                <w:lang w:eastAsia="sk-SK"/>
              </w:rPr>
              <w:t>Ak sa vplyv týka viacerých subjektov verejnej správy, vypĺňa sa samostatná tabuľka za každý subjekt. Ak sa týka rôznych skupín  zamestnancov, je potrebné počty, mzdy a poistné rozpísať samostatne podľa spôsobu odmeňovania (napr. policajti, colníci ...).</w:t>
            </w:r>
          </w:p>
          <w:p w:rsidR="00FC165A" w:rsidRPr="004550C4" w:rsidRDefault="00FC165A" w:rsidP="002B77CE">
            <w:pPr>
              <w:spacing w:line="240" w:lineRule="auto"/>
              <w:rPr>
                <w:szCs w:val="24"/>
                <w:lang w:eastAsia="sk-SK"/>
              </w:rPr>
            </w:pPr>
            <w:r w:rsidRPr="004550C4">
              <w:rPr>
                <w:szCs w:val="24"/>
                <w:lang w:eastAsia="sk-SK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165A" w:rsidRPr="004550C4" w:rsidRDefault="00FC165A" w:rsidP="002B77CE">
            <w:pPr>
              <w:spacing w:line="240" w:lineRule="auto"/>
              <w:rPr>
                <w:szCs w:val="24"/>
                <w:lang w:eastAsia="sk-SK"/>
              </w:rPr>
            </w:pPr>
          </w:p>
        </w:tc>
      </w:tr>
      <w:tr w:rsidR="00FC165A" w:rsidRPr="004550C4" w:rsidTr="00C2639E">
        <w:trPr>
          <w:trHeight w:val="255"/>
        </w:trPr>
        <w:tc>
          <w:tcPr>
            <w:tcW w:w="809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165A" w:rsidRPr="004550C4" w:rsidRDefault="00FC165A" w:rsidP="002B77CE">
            <w:pPr>
              <w:spacing w:line="240" w:lineRule="auto"/>
              <w:rPr>
                <w:szCs w:val="24"/>
                <w:lang w:eastAsia="sk-SK"/>
              </w:rPr>
            </w:pPr>
            <w:r w:rsidRPr="004550C4">
              <w:rPr>
                <w:szCs w:val="24"/>
                <w:lang w:eastAsia="sk-SK"/>
              </w:rPr>
              <w:t>Kategórie 610 a 620 sú z tejto prílohy prenášané do príslušných kategórií prílohy „výdavky“.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165A" w:rsidRPr="004550C4" w:rsidRDefault="00FC165A" w:rsidP="002B77CE">
            <w:pPr>
              <w:spacing w:line="240" w:lineRule="auto"/>
              <w:rPr>
                <w:szCs w:val="24"/>
                <w:lang w:eastAsia="sk-SK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165A" w:rsidRPr="004550C4" w:rsidRDefault="00FC165A" w:rsidP="002B77CE">
            <w:pPr>
              <w:spacing w:line="240" w:lineRule="auto"/>
              <w:rPr>
                <w:szCs w:val="24"/>
                <w:lang w:eastAsia="sk-SK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165A" w:rsidRPr="004550C4" w:rsidRDefault="00FC165A" w:rsidP="002B77CE">
            <w:pPr>
              <w:spacing w:line="240" w:lineRule="auto"/>
              <w:rPr>
                <w:szCs w:val="24"/>
                <w:lang w:eastAsia="sk-SK"/>
              </w:rPr>
            </w:pPr>
          </w:p>
        </w:tc>
      </w:tr>
    </w:tbl>
    <w:p w:rsidR="00FC165A" w:rsidRPr="004550C4" w:rsidRDefault="00FC165A" w:rsidP="00FC165A">
      <w:pPr>
        <w:spacing w:line="240" w:lineRule="auto"/>
      </w:pPr>
    </w:p>
    <w:p w:rsidR="00FC165A" w:rsidRDefault="00FC165A" w:rsidP="00FC165A"/>
    <w:p w:rsidR="00556C22" w:rsidRDefault="00556C22" w:rsidP="00556C22">
      <w:pPr>
        <w:tabs>
          <w:tab w:val="num" w:pos="1080"/>
        </w:tabs>
        <w:spacing w:line="240" w:lineRule="auto"/>
        <w:ind w:left="-900"/>
        <w:jc w:val="both"/>
        <w:rPr>
          <w:bCs/>
          <w:szCs w:val="20"/>
          <w:lang w:eastAsia="sk-SK"/>
        </w:rPr>
      </w:pPr>
      <w:r>
        <w:rPr>
          <w:bCs/>
          <w:szCs w:val="20"/>
          <w:lang w:eastAsia="sk-SK"/>
        </w:rPr>
        <w:t>Opatrenie „MZVaEZ SR“. Navýšenie počtu štátnozamestnaneckých miest o 1 od 1. októbra 2021 v rozpočtovej kapitole Ministerstva</w:t>
      </w:r>
      <w:r w:rsidRPr="00002423">
        <w:rPr>
          <w:bCs/>
          <w:szCs w:val="20"/>
          <w:lang w:eastAsia="sk-SK"/>
        </w:rPr>
        <w:t xml:space="preserve"> zahraničných vecí a európskych z</w:t>
      </w:r>
      <w:r>
        <w:rPr>
          <w:bCs/>
          <w:szCs w:val="20"/>
          <w:lang w:eastAsia="sk-SK"/>
        </w:rPr>
        <w:t xml:space="preserve">áležitostí Slovenskej republiky, ktoré v rámci </w:t>
      </w:r>
      <w:r w:rsidRPr="00002423">
        <w:rPr>
          <w:bCs/>
          <w:szCs w:val="20"/>
          <w:lang w:eastAsia="sk-SK"/>
        </w:rPr>
        <w:t xml:space="preserve">svojej pôsobnosti zabezpečuje okrem iného aj evidenciu a vydávanie identifikačných preukazov členom diplomatického personálu, administratívneho a technického personálu, služobného a súkromného personálu, pracovníkom medzinárodných organizácií a honorárnym konzulárnym úradníkom akreditovaným v Slovenskej republike. Začiatok činnosti Európskeho orgánu práce (ELA) so sídlom v Bratislave predstavuje podstatný nárast práce a administratívnej záťaže v agende vystavovania identifikačných preukazov, registrácie vozidiel, potvrdzovania tlačív o postavení úradníkov ELA k daňovému oslobodeniu, ako aj inú administratívu vo vzťahu k výsadám a imunitám. </w:t>
      </w:r>
      <w:r>
        <w:rPr>
          <w:bCs/>
          <w:szCs w:val="20"/>
          <w:lang w:eastAsia="sk-SK"/>
        </w:rPr>
        <w:t>F</w:t>
      </w:r>
      <w:r w:rsidRPr="00002423">
        <w:rPr>
          <w:bCs/>
          <w:szCs w:val="20"/>
          <w:lang w:eastAsia="sk-SK"/>
        </w:rPr>
        <w:t xml:space="preserve">inančné prostriedky, aktuálne v rámci kapitoly MZVEZ SR </w:t>
      </w:r>
      <w:r>
        <w:rPr>
          <w:bCs/>
          <w:szCs w:val="20"/>
          <w:lang w:eastAsia="sk-SK"/>
        </w:rPr>
        <w:t xml:space="preserve"> nie sú</w:t>
      </w:r>
      <w:r w:rsidRPr="00002423">
        <w:rPr>
          <w:bCs/>
          <w:szCs w:val="20"/>
          <w:lang w:eastAsia="sk-SK"/>
        </w:rPr>
        <w:t xml:space="preserve"> zabezpečené</w:t>
      </w:r>
      <w:r>
        <w:rPr>
          <w:bCs/>
          <w:szCs w:val="20"/>
          <w:lang w:eastAsia="sk-SK"/>
        </w:rPr>
        <w:t>.</w:t>
      </w:r>
    </w:p>
    <w:p w:rsidR="00FC165A" w:rsidRDefault="00FC165A" w:rsidP="00FC165A"/>
    <w:p w:rsidR="009E1864" w:rsidRPr="00446821" w:rsidRDefault="009E1864" w:rsidP="00446821">
      <w:r w:rsidRPr="00446821">
        <w:t xml:space="preserve"> </w:t>
      </w:r>
    </w:p>
    <w:sectPr w:rsidR="009E1864" w:rsidRPr="0044682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CED" w:rsidRDefault="00F47CED" w:rsidP="006D446B">
      <w:pPr>
        <w:spacing w:line="240" w:lineRule="auto"/>
      </w:pPr>
      <w:r>
        <w:separator/>
      </w:r>
    </w:p>
  </w:endnote>
  <w:endnote w:type="continuationSeparator" w:id="0">
    <w:p w:rsidR="00F47CED" w:rsidRDefault="00F47CED" w:rsidP="006D44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C7D" w:rsidRDefault="004A2C7D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E752EC">
      <w:rPr>
        <w:noProof/>
      </w:rPr>
      <w:t>1</w:t>
    </w:r>
    <w:r>
      <w:fldChar w:fldCharType="end"/>
    </w:r>
  </w:p>
  <w:p w:rsidR="004A2C7D" w:rsidRDefault="004A2C7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CED" w:rsidRDefault="00F47CED" w:rsidP="006D446B">
      <w:pPr>
        <w:spacing w:line="240" w:lineRule="auto"/>
      </w:pPr>
      <w:r>
        <w:separator/>
      </w:r>
    </w:p>
  </w:footnote>
  <w:footnote w:type="continuationSeparator" w:id="0">
    <w:p w:rsidR="00F47CED" w:rsidRDefault="00F47CED" w:rsidP="006D446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5F66"/>
    <w:multiLevelType w:val="hybridMultilevel"/>
    <w:tmpl w:val="3AB8F87A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1C935B5"/>
    <w:multiLevelType w:val="hybridMultilevel"/>
    <w:tmpl w:val="F41A0EA4"/>
    <w:lvl w:ilvl="0" w:tplc="F49CB12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E2366"/>
    <w:multiLevelType w:val="hybridMultilevel"/>
    <w:tmpl w:val="3D900E7E"/>
    <w:lvl w:ilvl="0" w:tplc="061832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02260B"/>
    <w:multiLevelType w:val="hybridMultilevel"/>
    <w:tmpl w:val="607E4A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59141D7"/>
    <w:multiLevelType w:val="hybridMultilevel"/>
    <w:tmpl w:val="266415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F41D17"/>
    <w:multiLevelType w:val="hybridMultilevel"/>
    <w:tmpl w:val="6FF0A34C"/>
    <w:lvl w:ilvl="0" w:tplc="535A2D6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0BFD2DE4"/>
    <w:multiLevelType w:val="hybridMultilevel"/>
    <w:tmpl w:val="A2E8349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F70533"/>
    <w:multiLevelType w:val="hybridMultilevel"/>
    <w:tmpl w:val="7652CA64"/>
    <w:lvl w:ilvl="0" w:tplc="80C8110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B2A42E8"/>
    <w:multiLevelType w:val="hybridMultilevel"/>
    <w:tmpl w:val="EC9C9C12"/>
    <w:lvl w:ilvl="0" w:tplc="C486F0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1C253C"/>
    <w:multiLevelType w:val="hybridMultilevel"/>
    <w:tmpl w:val="3EE41A8A"/>
    <w:lvl w:ilvl="0" w:tplc="4A58949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1E572C48"/>
    <w:multiLevelType w:val="hybridMultilevel"/>
    <w:tmpl w:val="9FD0866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3397624"/>
    <w:multiLevelType w:val="hybridMultilevel"/>
    <w:tmpl w:val="16784BCC"/>
    <w:lvl w:ilvl="0" w:tplc="1CC886AC">
      <w:start w:val="533"/>
      <w:numFmt w:val="decimal"/>
      <w:lvlText w:val="%1"/>
      <w:lvlJc w:val="left"/>
      <w:pPr>
        <w:ind w:left="4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12" w15:restartNumberingAfterBreak="0">
    <w:nsid w:val="29623C9D"/>
    <w:multiLevelType w:val="hybridMultilevel"/>
    <w:tmpl w:val="1294FBD2"/>
    <w:lvl w:ilvl="0" w:tplc="F4A862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F3860"/>
    <w:multiLevelType w:val="multilevel"/>
    <w:tmpl w:val="D62E2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1111E8"/>
    <w:multiLevelType w:val="hybridMultilevel"/>
    <w:tmpl w:val="CADE1E68"/>
    <w:lvl w:ilvl="0" w:tplc="89E458FA">
      <w:start w:val="1"/>
      <w:numFmt w:val="upp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 w15:restartNumberingAfterBreak="0">
    <w:nsid w:val="3235631F"/>
    <w:multiLevelType w:val="hybridMultilevel"/>
    <w:tmpl w:val="4E7A2022"/>
    <w:lvl w:ilvl="0" w:tplc="2D2677B2">
      <w:start w:val="91"/>
      <w:numFmt w:val="decimal"/>
      <w:lvlText w:val="%1"/>
      <w:lvlJc w:val="left"/>
      <w:pPr>
        <w:ind w:left="4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16" w15:restartNumberingAfterBreak="0">
    <w:nsid w:val="32AE73A7"/>
    <w:multiLevelType w:val="hybridMultilevel"/>
    <w:tmpl w:val="2876929C"/>
    <w:lvl w:ilvl="0" w:tplc="52C839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022163"/>
    <w:multiLevelType w:val="multilevel"/>
    <w:tmpl w:val="0D0A8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6FC112B"/>
    <w:multiLevelType w:val="hybridMultilevel"/>
    <w:tmpl w:val="87C2AF22"/>
    <w:lvl w:ilvl="0" w:tplc="7206B54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411033FC"/>
    <w:multiLevelType w:val="multilevel"/>
    <w:tmpl w:val="1D107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4E54B79"/>
    <w:multiLevelType w:val="hybridMultilevel"/>
    <w:tmpl w:val="1F3CA6FA"/>
    <w:lvl w:ilvl="0" w:tplc="CF44FA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670359"/>
    <w:multiLevelType w:val="hybridMultilevel"/>
    <w:tmpl w:val="627229C6"/>
    <w:lvl w:ilvl="0" w:tplc="11C6440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0672FA"/>
    <w:multiLevelType w:val="hybridMultilevel"/>
    <w:tmpl w:val="7CB6CE84"/>
    <w:lvl w:ilvl="0" w:tplc="A3625A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317D55"/>
    <w:multiLevelType w:val="hybridMultilevel"/>
    <w:tmpl w:val="EAEC1C98"/>
    <w:lvl w:ilvl="0" w:tplc="BCE4EF7C">
      <w:start w:val="2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4EA42FC6"/>
    <w:multiLevelType w:val="hybridMultilevel"/>
    <w:tmpl w:val="092E6F5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F7504FD"/>
    <w:multiLevelType w:val="hybridMultilevel"/>
    <w:tmpl w:val="7C400804"/>
    <w:lvl w:ilvl="0" w:tplc="6284D67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1E68C1"/>
    <w:multiLevelType w:val="hybridMultilevel"/>
    <w:tmpl w:val="23387E52"/>
    <w:lvl w:ilvl="0" w:tplc="A0D6AE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E113E5"/>
    <w:multiLevelType w:val="hybridMultilevel"/>
    <w:tmpl w:val="DA1040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4C7AAF"/>
    <w:multiLevelType w:val="hybridMultilevel"/>
    <w:tmpl w:val="DC9497D6"/>
    <w:lvl w:ilvl="0" w:tplc="180AA2E0">
      <w:start w:val="92"/>
      <w:numFmt w:val="decimal"/>
      <w:lvlText w:val="%1"/>
      <w:lvlJc w:val="left"/>
      <w:pPr>
        <w:ind w:left="4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29" w15:restartNumberingAfterBreak="0">
    <w:nsid w:val="59583BBC"/>
    <w:multiLevelType w:val="hybridMultilevel"/>
    <w:tmpl w:val="9A9844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C155ED9"/>
    <w:multiLevelType w:val="hybridMultilevel"/>
    <w:tmpl w:val="5A12F7A6"/>
    <w:lvl w:ilvl="0" w:tplc="173EF4D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1" w15:restartNumberingAfterBreak="0">
    <w:nsid w:val="5DCD3DC5"/>
    <w:multiLevelType w:val="hybridMultilevel"/>
    <w:tmpl w:val="6FF0A34C"/>
    <w:lvl w:ilvl="0" w:tplc="535A2D6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 w15:restartNumberingAfterBreak="0">
    <w:nsid w:val="5FD41AC5"/>
    <w:multiLevelType w:val="hybridMultilevel"/>
    <w:tmpl w:val="E8C2208C"/>
    <w:lvl w:ilvl="0" w:tplc="F3F6EC4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0770DEA"/>
    <w:multiLevelType w:val="hybridMultilevel"/>
    <w:tmpl w:val="9D624D36"/>
    <w:lvl w:ilvl="0" w:tplc="D06E8C2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4" w15:restartNumberingAfterBreak="0">
    <w:nsid w:val="639055C8"/>
    <w:multiLevelType w:val="hybridMultilevel"/>
    <w:tmpl w:val="C0AAB9E6"/>
    <w:lvl w:ilvl="0" w:tplc="A0428CEC">
      <w:start w:val="2"/>
      <w:numFmt w:val="decimal"/>
      <w:lvlText w:val="%1"/>
      <w:lvlJc w:val="left"/>
      <w:pPr>
        <w:ind w:left="4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35" w15:restartNumberingAfterBreak="0">
    <w:nsid w:val="639E7BB1"/>
    <w:multiLevelType w:val="hybridMultilevel"/>
    <w:tmpl w:val="8948362E"/>
    <w:lvl w:ilvl="0" w:tplc="0FC074C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6" w15:restartNumberingAfterBreak="0">
    <w:nsid w:val="65832581"/>
    <w:multiLevelType w:val="hybridMultilevel"/>
    <w:tmpl w:val="63B47AA8"/>
    <w:lvl w:ilvl="0" w:tplc="B7FA73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4F42D2"/>
    <w:multiLevelType w:val="hybridMultilevel"/>
    <w:tmpl w:val="52340662"/>
    <w:lvl w:ilvl="0" w:tplc="041B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667734C4"/>
    <w:multiLevelType w:val="hybridMultilevel"/>
    <w:tmpl w:val="072C92A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6790B73"/>
    <w:multiLevelType w:val="hybridMultilevel"/>
    <w:tmpl w:val="5A549B4A"/>
    <w:lvl w:ilvl="0" w:tplc="041B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0" w15:restartNumberingAfterBreak="0">
    <w:nsid w:val="6CCA500B"/>
    <w:multiLevelType w:val="hybridMultilevel"/>
    <w:tmpl w:val="072C92A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0286C8E"/>
    <w:multiLevelType w:val="hybridMultilevel"/>
    <w:tmpl w:val="335EE70A"/>
    <w:lvl w:ilvl="0" w:tplc="60E487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5C4F3F"/>
    <w:multiLevelType w:val="hybridMultilevel"/>
    <w:tmpl w:val="CCD0F1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A649C9"/>
    <w:multiLevelType w:val="hybridMultilevel"/>
    <w:tmpl w:val="A4CCB61E"/>
    <w:lvl w:ilvl="0" w:tplc="5922FC1E">
      <w:start w:val="1"/>
      <w:numFmt w:val="decimal"/>
      <w:lvlText w:val="%1"/>
      <w:lvlJc w:val="left"/>
      <w:pPr>
        <w:ind w:left="4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44" w15:restartNumberingAfterBreak="0">
    <w:nsid w:val="79033385"/>
    <w:multiLevelType w:val="hybridMultilevel"/>
    <w:tmpl w:val="5FCC7A8E"/>
    <w:lvl w:ilvl="0" w:tplc="E53CB022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 w15:restartNumberingAfterBreak="0">
    <w:nsid w:val="79E22AFA"/>
    <w:multiLevelType w:val="hybridMultilevel"/>
    <w:tmpl w:val="D45C594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BFC4B79"/>
    <w:multiLevelType w:val="hybridMultilevel"/>
    <w:tmpl w:val="0C3E0920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 w15:restartNumberingAfterBreak="0">
    <w:nsid w:val="7E666F31"/>
    <w:multiLevelType w:val="hybridMultilevel"/>
    <w:tmpl w:val="DA2EA49E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47"/>
  </w:num>
  <w:num w:numId="4">
    <w:abstractNumId w:val="45"/>
  </w:num>
  <w:num w:numId="5">
    <w:abstractNumId w:val="1"/>
  </w:num>
  <w:num w:numId="6">
    <w:abstractNumId w:val="0"/>
  </w:num>
  <w:num w:numId="7">
    <w:abstractNumId w:val="27"/>
  </w:num>
  <w:num w:numId="8">
    <w:abstractNumId w:val="2"/>
  </w:num>
  <w:num w:numId="9">
    <w:abstractNumId w:val="41"/>
  </w:num>
  <w:num w:numId="10">
    <w:abstractNumId w:val="20"/>
  </w:num>
  <w:num w:numId="11">
    <w:abstractNumId w:val="8"/>
  </w:num>
  <w:num w:numId="12">
    <w:abstractNumId w:val="7"/>
  </w:num>
  <w:num w:numId="13">
    <w:abstractNumId w:val="42"/>
  </w:num>
  <w:num w:numId="14">
    <w:abstractNumId w:val="22"/>
  </w:num>
  <w:num w:numId="15">
    <w:abstractNumId w:val="35"/>
  </w:num>
  <w:num w:numId="16">
    <w:abstractNumId w:val="10"/>
  </w:num>
  <w:num w:numId="17">
    <w:abstractNumId w:val="39"/>
  </w:num>
  <w:num w:numId="18">
    <w:abstractNumId w:val="16"/>
  </w:num>
  <w:num w:numId="19">
    <w:abstractNumId w:val="24"/>
  </w:num>
  <w:num w:numId="20">
    <w:abstractNumId w:val="32"/>
  </w:num>
  <w:num w:numId="21">
    <w:abstractNumId w:val="37"/>
  </w:num>
  <w:num w:numId="22">
    <w:abstractNumId w:val="13"/>
  </w:num>
  <w:num w:numId="23">
    <w:abstractNumId w:val="29"/>
  </w:num>
  <w:num w:numId="24">
    <w:abstractNumId w:val="19"/>
  </w:num>
  <w:num w:numId="25">
    <w:abstractNumId w:val="4"/>
  </w:num>
  <w:num w:numId="26">
    <w:abstractNumId w:val="17"/>
  </w:num>
  <w:num w:numId="27">
    <w:abstractNumId w:val="3"/>
  </w:num>
  <w:num w:numId="28">
    <w:abstractNumId w:val="36"/>
  </w:num>
  <w:num w:numId="29">
    <w:abstractNumId w:val="30"/>
  </w:num>
  <w:num w:numId="30">
    <w:abstractNumId w:val="33"/>
  </w:num>
  <w:num w:numId="31">
    <w:abstractNumId w:val="25"/>
  </w:num>
  <w:num w:numId="32">
    <w:abstractNumId w:val="18"/>
  </w:num>
  <w:num w:numId="33">
    <w:abstractNumId w:val="21"/>
  </w:num>
  <w:num w:numId="34">
    <w:abstractNumId w:val="38"/>
  </w:num>
  <w:num w:numId="35">
    <w:abstractNumId w:val="40"/>
  </w:num>
  <w:num w:numId="36">
    <w:abstractNumId w:val="26"/>
  </w:num>
  <w:num w:numId="3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</w:num>
  <w:num w:numId="39">
    <w:abstractNumId w:val="14"/>
  </w:num>
  <w:num w:numId="40">
    <w:abstractNumId w:val="23"/>
  </w:num>
  <w:num w:numId="41">
    <w:abstractNumId w:val="9"/>
  </w:num>
  <w:num w:numId="42">
    <w:abstractNumId w:val="11"/>
  </w:num>
  <w:num w:numId="43">
    <w:abstractNumId w:val="43"/>
  </w:num>
  <w:num w:numId="44">
    <w:abstractNumId w:val="34"/>
  </w:num>
  <w:num w:numId="45">
    <w:abstractNumId w:val="15"/>
  </w:num>
  <w:num w:numId="46">
    <w:abstractNumId w:val="28"/>
  </w:num>
  <w:num w:numId="47">
    <w:abstractNumId w:val="5"/>
  </w:num>
  <w:num w:numId="48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A56"/>
    <w:rsid w:val="00002423"/>
    <w:rsid w:val="0000523F"/>
    <w:rsid w:val="00006434"/>
    <w:rsid w:val="00012B36"/>
    <w:rsid w:val="000244CE"/>
    <w:rsid w:val="00026181"/>
    <w:rsid w:val="00032DDB"/>
    <w:rsid w:val="00041AA8"/>
    <w:rsid w:val="00041B8F"/>
    <w:rsid w:val="00051C97"/>
    <w:rsid w:val="00054F62"/>
    <w:rsid w:val="00055383"/>
    <w:rsid w:val="00055C2D"/>
    <w:rsid w:val="000578B5"/>
    <w:rsid w:val="000628D7"/>
    <w:rsid w:val="00062B59"/>
    <w:rsid w:val="0006435C"/>
    <w:rsid w:val="00071D47"/>
    <w:rsid w:val="00093EB4"/>
    <w:rsid w:val="00094A13"/>
    <w:rsid w:val="000959E9"/>
    <w:rsid w:val="000A29BB"/>
    <w:rsid w:val="000A2E07"/>
    <w:rsid w:val="000A4044"/>
    <w:rsid w:val="000B6072"/>
    <w:rsid w:val="000B7AC4"/>
    <w:rsid w:val="000C3BAD"/>
    <w:rsid w:val="000C6305"/>
    <w:rsid w:val="000C735E"/>
    <w:rsid w:val="000D397B"/>
    <w:rsid w:val="000D44D2"/>
    <w:rsid w:val="000D6FEC"/>
    <w:rsid w:val="00101164"/>
    <w:rsid w:val="001031D8"/>
    <w:rsid w:val="00106C0F"/>
    <w:rsid w:val="001074D4"/>
    <w:rsid w:val="001150C9"/>
    <w:rsid w:val="00127317"/>
    <w:rsid w:val="00132731"/>
    <w:rsid w:val="00132CF7"/>
    <w:rsid w:val="001334BC"/>
    <w:rsid w:val="001406F4"/>
    <w:rsid w:val="00143362"/>
    <w:rsid w:val="00145D10"/>
    <w:rsid w:val="00150CAF"/>
    <w:rsid w:val="00152FC2"/>
    <w:rsid w:val="00154429"/>
    <w:rsid w:val="00162B57"/>
    <w:rsid w:val="001657DA"/>
    <w:rsid w:val="001668B9"/>
    <w:rsid w:val="00167E52"/>
    <w:rsid w:val="001752FA"/>
    <w:rsid w:val="001753D3"/>
    <w:rsid w:val="001770A6"/>
    <w:rsid w:val="0018018B"/>
    <w:rsid w:val="00193CF6"/>
    <w:rsid w:val="001964E2"/>
    <w:rsid w:val="00197A54"/>
    <w:rsid w:val="001A522D"/>
    <w:rsid w:val="001B3A34"/>
    <w:rsid w:val="001B70F5"/>
    <w:rsid w:val="001C1EF2"/>
    <w:rsid w:val="001C4BB2"/>
    <w:rsid w:val="001D29EF"/>
    <w:rsid w:val="001D4890"/>
    <w:rsid w:val="001E0A3B"/>
    <w:rsid w:val="001E56BF"/>
    <w:rsid w:val="001E62A9"/>
    <w:rsid w:val="001F0510"/>
    <w:rsid w:val="001F68C6"/>
    <w:rsid w:val="002037C4"/>
    <w:rsid w:val="002040E1"/>
    <w:rsid w:val="0020493C"/>
    <w:rsid w:val="00205A56"/>
    <w:rsid w:val="0020628B"/>
    <w:rsid w:val="00213434"/>
    <w:rsid w:val="0021537F"/>
    <w:rsid w:val="002273EA"/>
    <w:rsid w:val="0024057A"/>
    <w:rsid w:val="00255D8A"/>
    <w:rsid w:val="002573DF"/>
    <w:rsid w:val="00267323"/>
    <w:rsid w:val="0027412B"/>
    <w:rsid w:val="002805F9"/>
    <w:rsid w:val="002806A1"/>
    <w:rsid w:val="00282F85"/>
    <w:rsid w:val="00283641"/>
    <w:rsid w:val="00286A6A"/>
    <w:rsid w:val="0028764B"/>
    <w:rsid w:val="00296D03"/>
    <w:rsid w:val="002A159A"/>
    <w:rsid w:val="002A4586"/>
    <w:rsid w:val="002B0C08"/>
    <w:rsid w:val="002B0D9A"/>
    <w:rsid w:val="002B3357"/>
    <w:rsid w:val="002B3FD7"/>
    <w:rsid w:val="002B77CE"/>
    <w:rsid w:val="002C326C"/>
    <w:rsid w:val="002C4CAF"/>
    <w:rsid w:val="002D1861"/>
    <w:rsid w:val="002D38DF"/>
    <w:rsid w:val="002E5CE6"/>
    <w:rsid w:val="002F1C44"/>
    <w:rsid w:val="002F7189"/>
    <w:rsid w:val="0030203E"/>
    <w:rsid w:val="00302C0E"/>
    <w:rsid w:val="0031183D"/>
    <w:rsid w:val="003138DB"/>
    <w:rsid w:val="003155D0"/>
    <w:rsid w:val="00331A1C"/>
    <w:rsid w:val="00333EC3"/>
    <w:rsid w:val="003375F8"/>
    <w:rsid w:val="003434AA"/>
    <w:rsid w:val="00343C64"/>
    <w:rsid w:val="00344931"/>
    <w:rsid w:val="00345A3E"/>
    <w:rsid w:val="003515AE"/>
    <w:rsid w:val="00355959"/>
    <w:rsid w:val="00360FA2"/>
    <w:rsid w:val="003622EE"/>
    <w:rsid w:val="00366D27"/>
    <w:rsid w:val="003708BB"/>
    <w:rsid w:val="00371FC5"/>
    <w:rsid w:val="00373334"/>
    <w:rsid w:val="00376628"/>
    <w:rsid w:val="003835CD"/>
    <w:rsid w:val="0039077A"/>
    <w:rsid w:val="00390A2F"/>
    <w:rsid w:val="00392508"/>
    <w:rsid w:val="00392673"/>
    <w:rsid w:val="0039458C"/>
    <w:rsid w:val="003954B8"/>
    <w:rsid w:val="003960F1"/>
    <w:rsid w:val="003A3C72"/>
    <w:rsid w:val="003A4C9B"/>
    <w:rsid w:val="003A55FA"/>
    <w:rsid w:val="003B2670"/>
    <w:rsid w:val="003C03B1"/>
    <w:rsid w:val="003C06FA"/>
    <w:rsid w:val="003C11C7"/>
    <w:rsid w:val="003C4903"/>
    <w:rsid w:val="003C64F9"/>
    <w:rsid w:val="003D0976"/>
    <w:rsid w:val="003E0F4D"/>
    <w:rsid w:val="003E4BEE"/>
    <w:rsid w:val="003E7F7F"/>
    <w:rsid w:val="003F06CF"/>
    <w:rsid w:val="003F25CE"/>
    <w:rsid w:val="003F64BA"/>
    <w:rsid w:val="00401531"/>
    <w:rsid w:val="00411865"/>
    <w:rsid w:val="00412B8C"/>
    <w:rsid w:val="00414423"/>
    <w:rsid w:val="0041771C"/>
    <w:rsid w:val="00436B6A"/>
    <w:rsid w:val="00437728"/>
    <w:rsid w:val="0044092C"/>
    <w:rsid w:val="004437CB"/>
    <w:rsid w:val="00444B36"/>
    <w:rsid w:val="00446821"/>
    <w:rsid w:val="0044701F"/>
    <w:rsid w:val="0045277F"/>
    <w:rsid w:val="004550C4"/>
    <w:rsid w:val="00457D53"/>
    <w:rsid w:val="00465377"/>
    <w:rsid w:val="004676C5"/>
    <w:rsid w:val="00476217"/>
    <w:rsid w:val="00491485"/>
    <w:rsid w:val="004A2C7D"/>
    <w:rsid w:val="004A478C"/>
    <w:rsid w:val="004B3B6F"/>
    <w:rsid w:val="004B706A"/>
    <w:rsid w:val="004C2291"/>
    <w:rsid w:val="004E20FA"/>
    <w:rsid w:val="004F2971"/>
    <w:rsid w:val="004F3D65"/>
    <w:rsid w:val="00502352"/>
    <w:rsid w:val="00502C1F"/>
    <w:rsid w:val="00506086"/>
    <w:rsid w:val="005111FD"/>
    <w:rsid w:val="00514598"/>
    <w:rsid w:val="00516C6E"/>
    <w:rsid w:val="00536BDA"/>
    <w:rsid w:val="0054217C"/>
    <w:rsid w:val="00544A8B"/>
    <w:rsid w:val="00545286"/>
    <w:rsid w:val="005461D5"/>
    <w:rsid w:val="00556C22"/>
    <w:rsid w:val="00556DC1"/>
    <w:rsid w:val="0055760A"/>
    <w:rsid w:val="0055779D"/>
    <w:rsid w:val="005640BE"/>
    <w:rsid w:val="0056577E"/>
    <w:rsid w:val="005761A5"/>
    <w:rsid w:val="00587BFE"/>
    <w:rsid w:val="00591EFE"/>
    <w:rsid w:val="00595E3B"/>
    <w:rsid w:val="005A0FF4"/>
    <w:rsid w:val="005A57F0"/>
    <w:rsid w:val="005B1633"/>
    <w:rsid w:val="005B4F0B"/>
    <w:rsid w:val="005B5539"/>
    <w:rsid w:val="005B74D1"/>
    <w:rsid w:val="005D119F"/>
    <w:rsid w:val="005D757B"/>
    <w:rsid w:val="005E28CB"/>
    <w:rsid w:val="005E61C2"/>
    <w:rsid w:val="005E6FA0"/>
    <w:rsid w:val="005F674D"/>
    <w:rsid w:val="0060204E"/>
    <w:rsid w:val="00602A95"/>
    <w:rsid w:val="00604291"/>
    <w:rsid w:val="006065DE"/>
    <w:rsid w:val="00607712"/>
    <w:rsid w:val="00613EEF"/>
    <w:rsid w:val="0062037D"/>
    <w:rsid w:val="00623A49"/>
    <w:rsid w:val="0062428E"/>
    <w:rsid w:val="0063172E"/>
    <w:rsid w:val="00637987"/>
    <w:rsid w:val="006444FF"/>
    <w:rsid w:val="00651AC9"/>
    <w:rsid w:val="0065667D"/>
    <w:rsid w:val="0065678A"/>
    <w:rsid w:val="0065722F"/>
    <w:rsid w:val="00662C1F"/>
    <w:rsid w:val="00662E5B"/>
    <w:rsid w:val="006706CE"/>
    <w:rsid w:val="00671D67"/>
    <w:rsid w:val="00676ACC"/>
    <w:rsid w:val="00676DA0"/>
    <w:rsid w:val="0068198A"/>
    <w:rsid w:val="006850FF"/>
    <w:rsid w:val="006878B1"/>
    <w:rsid w:val="00692795"/>
    <w:rsid w:val="00693E97"/>
    <w:rsid w:val="00695584"/>
    <w:rsid w:val="0069574F"/>
    <w:rsid w:val="00695F4B"/>
    <w:rsid w:val="006A4080"/>
    <w:rsid w:val="006B2E84"/>
    <w:rsid w:val="006C7F94"/>
    <w:rsid w:val="006D3940"/>
    <w:rsid w:val="006D446B"/>
    <w:rsid w:val="006D700A"/>
    <w:rsid w:val="006F3C52"/>
    <w:rsid w:val="0070104D"/>
    <w:rsid w:val="00705512"/>
    <w:rsid w:val="00705647"/>
    <w:rsid w:val="00711EFE"/>
    <w:rsid w:val="007122A8"/>
    <w:rsid w:val="00713F6D"/>
    <w:rsid w:val="00716500"/>
    <w:rsid w:val="00720767"/>
    <w:rsid w:val="00722865"/>
    <w:rsid w:val="00723FCE"/>
    <w:rsid w:val="0073468D"/>
    <w:rsid w:val="007408BB"/>
    <w:rsid w:val="007422A4"/>
    <w:rsid w:val="007435AF"/>
    <w:rsid w:val="00744F17"/>
    <w:rsid w:val="00747009"/>
    <w:rsid w:val="00753888"/>
    <w:rsid w:val="007647ED"/>
    <w:rsid w:val="007674BC"/>
    <w:rsid w:val="00770462"/>
    <w:rsid w:val="00772C23"/>
    <w:rsid w:val="00784BC4"/>
    <w:rsid w:val="00792DB0"/>
    <w:rsid w:val="007933B3"/>
    <w:rsid w:val="00797A03"/>
    <w:rsid w:val="007A207C"/>
    <w:rsid w:val="007A25A7"/>
    <w:rsid w:val="007A6F43"/>
    <w:rsid w:val="007B1622"/>
    <w:rsid w:val="007B6369"/>
    <w:rsid w:val="007C023A"/>
    <w:rsid w:val="007C5023"/>
    <w:rsid w:val="007D035A"/>
    <w:rsid w:val="007D035E"/>
    <w:rsid w:val="007D114F"/>
    <w:rsid w:val="007D7465"/>
    <w:rsid w:val="007E10F1"/>
    <w:rsid w:val="007E4CCF"/>
    <w:rsid w:val="007F7806"/>
    <w:rsid w:val="0080092C"/>
    <w:rsid w:val="00804FED"/>
    <w:rsid w:val="00816FDB"/>
    <w:rsid w:val="008172E5"/>
    <w:rsid w:val="00825018"/>
    <w:rsid w:val="008331D4"/>
    <w:rsid w:val="008409D5"/>
    <w:rsid w:val="0084190F"/>
    <w:rsid w:val="00843297"/>
    <w:rsid w:val="008464AC"/>
    <w:rsid w:val="00857C13"/>
    <w:rsid w:val="0086226D"/>
    <w:rsid w:val="008664E1"/>
    <w:rsid w:val="0087012F"/>
    <w:rsid w:val="0087277C"/>
    <w:rsid w:val="008B5418"/>
    <w:rsid w:val="008B5492"/>
    <w:rsid w:val="008C427E"/>
    <w:rsid w:val="008D023B"/>
    <w:rsid w:val="008D2A93"/>
    <w:rsid w:val="008D77EB"/>
    <w:rsid w:val="008E0D83"/>
    <w:rsid w:val="008E381C"/>
    <w:rsid w:val="008E4B20"/>
    <w:rsid w:val="008E532C"/>
    <w:rsid w:val="008E54CA"/>
    <w:rsid w:val="008F12A4"/>
    <w:rsid w:val="008F68DF"/>
    <w:rsid w:val="0091019F"/>
    <w:rsid w:val="00913D4D"/>
    <w:rsid w:val="00915165"/>
    <w:rsid w:val="0091593F"/>
    <w:rsid w:val="00916AD3"/>
    <w:rsid w:val="00921C94"/>
    <w:rsid w:val="00922861"/>
    <w:rsid w:val="00924F83"/>
    <w:rsid w:val="00931BB1"/>
    <w:rsid w:val="0093330C"/>
    <w:rsid w:val="009351C0"/>
    <w:rsid w:val="0094119C"/>
    <w:rsid w:val="00941D30"/>
    <w:rsid w:val="00942BBE"/>
    <w:rsid w:val="00970788"/>
    <w:rsid w:val="0097436F"/>
    <w:rsid w:val="00976ED8"/>
    <w:rsid w:val="0099311E"/>
    <w:rsid w:val="0099578C"/>
    <w:rsid w:val="00995B01"/>
    <w:rsid w:val="00995DC1"/>
    <w:rsid w:val="009A0FEC"/>
    <w:rsid w:val="009A4E8C"/>
    <w:rsid w:val="009B04A1"/>
    <w:rsid w:val="009B499E"/>
    <w:rsid w:val="009C28A7"/>
    <w:rsid w:val="009D06B0"/>
    <w:rsid w:val="009D19F3"/>
    <w:rsid w:val="009D1E26"/>
    <w:rsid w:val="009D27BF"/>
    <w:rsid w:val="009E1864"/>
    <w:rsid w:val="009E198C"/>
    <w:rsid w:val="009E3019"/>
    <w:rsid w:val="009F0CF6"/>
    <w:rsid w:val="009F1AF7"/>
    <w:rsid w:val="009F6D69"/>
    <w:rsid w:val="00A07631"/>
    <w:rsid w:val="00A07D5C"/>
    <w:rsid w:val="00A25827"/>
    <w:rsid w:val="00A44D57"/>
    <w:rsid w:val="00A5047D"/>
    <w:rsid w:val="00A514E1"/>
    <w:rsid w:val="00A52712"/>
    <w:rsid w:val="00A52AAC"/>
    <w:rsid w:val="00A55DC8"/>
    <w:rsid w:val="00A5643F"/>
    <w:rsid w:val="00A5675F"/>
    <w:rsid w:val="00A57DFA"/>
    <w:rsid w:val="00A63143"/>
    <w:rsid w:val="00A65F4B"/>
    <w:rsid w:val="00A7113A"/>
    <w:rsid w:val="00A74435"/>
    <w:rsid w:val="00A76E5B"/>
    <w:rsid w:val="00A85E0F"/>
    <w:rsid w:val="00A90B41"/>
    <w:rsid w:val="00A93231"/>
    <w:rsid w:val="00A9330C"/>
    <w:rsid w:val="00AA6AA8"/>
    <w:rsid w:val="00AB00E3"/>
    <w:rsid w:val="00AB10B5"/>
    <w:rsid w:val="00AC04F3"/>
    <w:rsid w:val="00AD0417"/>
    <w:rsid w:val="00AD07C6"/>
    <w:rsid w:val="00AF58EC"/>
    <w:rsid w:val="00AF6C01"/>
    <w:rsid w:val="00B02128"/>
    <w:rsid w:val="00B07ED9"/>
    <w:rsid w:val="00B114E8"/>
    <w:rsid w:val="00B12D67"/>
    <w:rsid w:val="00B208EF"/>
    <w:rsid w:val="00B215C7"/>
    <w:rsid w:val="00B22536"/>
    <w:rsid w:val="00B37DD0"/>
    <w:rsid w:val="00B47230"/>
    <w:rsid w:val="00B509D9"/>
    <w:rsid w:val="00B5150F"/>
    <w:rsid w:val="00B531A3"/>
    <w:rsid w:val="00BA0022"/>
    <w:rsid w:val="00BA3D42"/>
    <w:rsid w:val="00BA6F1C"/>
    <w:rsid w:val="00BB1B9E"/>
    <w:rsid w:val="00BB5664"/>
    <w:rsid w:val="00BC3E82"/>
    <w:rsid w:val="00BC4A81"/>
    <w:rsid w:val="00BC5C64"/>
    <w:rsid w:val="00BC5EEA"/>
    <w:rsid w:val="00BC6D9B"/>
    <w:rsid w:val="00BC7AD5"/>
    <w:rsid w:val="00BD2AB1"/>
    <w:rsid w:val="00BF64D0"/>
    <w:rsid w:val="00C03735"/>
    <w:rsid w:val="00C10355"/>
    <w:rsid w:val="00C14743"/>
    <w:rsid w:val="00C14915"/>
    <w:rsid w:val="00C2244C"/>
    <w:rsid w:val="00C23E06"/>
    <w:rsid w:val="00C26207"/>
    <w:rsid w:val="00C2639E"/>
    <w:rsid w:val="00C300F2"/>
    <w:rsid w:val="00C30197"/>
    <w:rsid w:val="00C330C6"/>
    <w:rsid w:val="00C346D0"/>
    <w:rsid w:val="00C4013B"/>
    <w:rsid w:val="00C44B25"/>
    <w:rsid w:val="00C44C8C"/>
    <w:rsid w:val="00C44F66"/>
    <w:rsid w:val="00C46EBD"/>
    <w:rsid w:val="00C55B8A"/>
    <w:rsid w:val="00C57DFC"/>
    <w:rsid w:val="00C600B8"/>
    <w:rsid w:val="00C611D3"/>
    <w:rsid w:val="00C62254"/>
    <w:rsid w:val="00C62CA6"/>
    <w:rsid w:val="00C6664E"/>
    <w:rsid w:val="00C71670"/>
    <w:rsid w:val="00C71AF2"/>
    <w:rsid w:val="00C72E6B"/>
    <w:rsid w:val="00C7477C"/>
    <w:rsid w:val="00C76299"/>
    <w:rsid w:val="00C80C87"/>
    <w:rsid w:val="00C8208A"/>
    <w:rsid w:val="00CA4F3E"/>
    <w:rsid w:val="00CA6B2D"/>
    <w:rsid w:val="00CB4667"/>
    <w:rsid w:val="00CC1AD5"/>
    <w:rsid w:val="00CD4B56"/>
    <w:rsid w:val="00CD71DA"/>
    <w:rsid w:val="00CE5B8F"/>
    <w:rsid w:val="00CF0086"/>
    <w:rsid w:val="00CF25DC"/>
    <w:rsid w:val="00CF2ABA"/>
    <w:rsid w:val="00CF2EE3"/>
    <w:rsid w:val="00D02D95"/>
    <w:rsid w:val="00D13EF0"/>
    <w:rsid w:val="00D207AF"/>
    <w:rsid w:val="00D317E6"/>
    <w:rsid w:val="00D35F45"/>
    <w:rsid w:val="00D37F73"/>
    <w:rsid w:val="00D40752"/>
    <w:rsid w:val="00D43509"/>
    <w:rsid w:val="00D54C3F"/>
    <w:rsid w:val="00D56420"/>
    <w:rsid w:val="00D648B2"/>
    <w:rsid w:val="00D66C1D"/>
    <w:rsid w:val="00D70C96"/>
    <w:rsid w:val="00D71FEC"/>
    <w:rsid w:val="00D732AE"/>
    <w:rsid w:val="00D87A4F"/>
    <w:rsid w:val="00D91B51"/>
    <w:rsid w:val="00D93769"/>
    <w:rsid w:val="00D9643C"/>
    <w:rsid w:val="00D968B3"/>
    <w:rsid w:val="00DA1DC0"/>
    <w:rsid w:val="00DA7B63"/>
    <w:rsid w:val="00DB4444"/>
    <w:rsid w:val="00DB4E88"/>
    <w:rsid w:val="00DC0042"/>
    <w:rsid w:val="00DC62CF"/>
    <w:rsid w:val="00DD0B55"/>
    <w:rsid w:val="00DD2FAC"/>
    <w:rsid w:val="00DD59C8"/>
    <w:rsid w:val="00DD702D"/>
    <w:rsid w:val="00DE29CF"/>
    <w:rsid w:val="00DE3640"/>
    <w:rsid w:val="00DE4D2D"/>
    <w:rsid w:val="00DE4F82"/>
    <w:rsid w:val="00DF0CE9"/>
    <w:rsid w:val="00DF32B6"/>
    <w:rsid w:val="00DF6F74"/>
    <w:rsid w:val="00E00A25"/>
    <w:rsid w:val="00E02932"/>
    <w:rsid w:val="00E0299F"/>
    <w:rsid w:val="00E061B2"/>
    <w:rsid w:val="00E15841"/>
    <w:rsid w:val="00E163BB"/>
    <w:rsid w:val="00E222DE"/>
    <w:rsid w:val="00E279FC"/>
    <w:rsid w:val="00E27C12"/>
    <w:rsid w:val="00E30A89"/>
    <w:rsid w:val="00E34C72"/>
    <w:rsid w:val="00E36450"/>
    <w:rsid w:val="00E44828"/>
    <w:rsid w:val="00E533B4"/>
    <w:rsid w:val="00E53B2E"/>
    <w:rsid w:val="00E54941"/>
    <w:rsid w:val="00E6255F"/>
    <w:rsid w:val="00E62A96"/>
    <w:rsid w:val="00E70CB7"/>
    <w:rsid w:val="00E752EC"/>
    <w:rsid w:val="00E81155"/>
    <w:rsid w:val="00E86BDB"/>
    <w:rsid w:val="00E870FE"/>
    <w:rsid w:val="00E87BC2"/>
    <w:rsid w:val="00E87E59"/>
    <w:rsid w:val="00E940CA"/>
    <w:rsid w:val="00E96A23"/>
    <w:rsid w:val="00EA1415"/>
    <w:rsid w:val="00EA3F08"/>
    <w:rsid w:val="00EA402A"/>
    <w:rsid w:val="00EA5CF5"/>
    <w:rsid w:val="00EA6483"/>
    <w:rsid w:val="00EA7035"/>
    <w:rsid w:val="00EB0A5C"/>
    <w:rsid w:val="00EB239C"/>
    <w:rsid w:val="00EB5981"/>
    <w:rsid w:val="00EC48A1"/>
    <w:rsid w:val="00ED1828"/>
    <w:rsid w:val="00ED2673"/>
    <w:rsid w:val="00ED3114"/>
    <w:rsid w:val="00ED5D48"/>
    <w:rsid w:val="00EE30E4"/>
    <w:rsid w:val="00EE6629"/>
    <w:rsid w:val="00EE6F42"/>
    <w:rsid w:val="00EF24FC"/>
    <w:rsid w:val="00EF704F"/>
    <w:rsid w:val="00EF7A6F"/>
    <w:rsid w:val="00F03CB4"/>
    <w:rsid w:val="00F10B9A"/>
    <w:rsid w:val="00F143E5"/>
    <w:rsid w:val="00F16195"/>
    <w:rsid w:val="00F2081B"/>
    <w:rsid w:val="00F23BAA"/>
    <w:rsid w:val="00F25D12"/>
    <w:rsid w:val="00F3127F"/>
    <w:rsid w:val="00F31A92"/>
    <w:rsid w:val="00F32FB3"/>
    <w:rsid w:val="00F33C7D"/>
    <w:rsid w:val="00F37F73"/>
    <w:rsid w:val="00F455D6"/>
    <w:rsid w:val="00F47CED"/>
    <w:rsid w:val="00F5765A"/>
    <w:rsid w:val="00F61DEB"/>
    <w:rsid w:val="00F623EA"/>
    <w:rsid w:val="00F63208"/>
    <w:rsid w:val="00F7297D"/>
    <w:rsid w:val="00F7774D"/>
    <w:rsid w:val="00F81055"/>
    <w:rsid w:val="00F823F3"/>
    <w:rsid w:val="00F970F9"/>
    <w:rsid w:val="00F97897"/>
    <w:rsid w:val="00FA2FC7"/>
    <w:rsid w:val="00FA69AF"/>
    <w:rsid w:val="00FB0CF0"/>
    <w:rsid w:val="00FC1499"/>
    <w:rsid w:val="00FC165A"/>
    <w:rsid w:val="00FD430A"/>
    <w:rsid w:val="00FD7C7E"/>
    <w:rsid w:val="00FE1107"/>
    <w:rsid w:val="00FE3096"/>
    <w:rsid w:val="00FF092A"/>
    <w:rsid w:val="00FF3B79"/>
    <w:rsid w:val="00FF4799"/>
    <w:rsid w:val="00FF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7F55D07-9FD7-4736-8319-DFB6265EB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05A56"/>
    <w:pPr>
      <w:spacing w:after="0"/>
    </w:pPr>
    <w:rPr>
      <w:rFonts w:ascii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05A56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205A56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D44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6D446B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6D446B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6D446B"/>
    <w:rPr>
      <w:rFonts w:ascii="Times New Roman" w:hAnsi="Times New Roman" w:cs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6D446B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6D446B"/>
    <w:rPr>
      <w:rFonts w:ascii="Times New Roman" w:hAnsi="Times New Roman" w:cs="Times New Roman"/>
      <w:sz w:val="24"/>
    </w:rPr>
  </w:style>
  <w:style w:type="character" w:customStyle="1" w:styleId="spanr">
    <w:name w:val="span_r"/>
    <w:basedOn w:val="Predvolenpsmoodseku"/>
    <w:rsid w:val="004F2971"/>
    <w:rPr>
      <w:rFonts w:cs="Times New Roman"/>
    </w:rPr>
  </w:style>
  <w:style w:type="paragraph" w:styleId="Bezriadkovania">
    <w:name w:val="No Spacing"/>
    <w:uiPriority w:val="1"/>
    <w:qFormat/>
    <w:rsid w:val="00A7113A"/>
    <w:pPr>
      <w:suppressAutoHyphens/>
      <w:spacing w:after="0" w:line="240" w:lineRule="auto"/>
    </w:pPr>
    <w:rPr>
      <w:rFonts w:ascii="Calibri" w:hAnsi="Calibri" w:cs="Times New Roman"/>
      <w:lang w:eastAsia="zh-CN"/>
    </w:rPr>
  </w:style>
  <w:style w:type="character" w:styleId="slostrany">
    <w:name w:val="page number"/>
    <w:basedOn w:val="Predvolenpsmoodseku"/>
    <w:uiPriority w:val="99"/>
    <w:rsid w:val="00FC165A"/>
    <w:rPr>
      <w:rFonts w:cs="Times New Roman"/>
    </w:rPr>
  </w:style>
  <w:style w:type="table" w:styleId="Mriekatabuky">
    <w:name w:val="Table Grid"/>
    <w:basedOn w:val="Normlnatabuka"/>
    <w:uiPriority w:val="59"/>
    <w:rsid w:val="00FC165A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16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FC165A"/>
    <w:pPr>
      <w:spacing w:line="240" w:lineRule="auto"/>
      <w:jc w:val="both"/>
    </w:pPr>
    <w:rPr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FC165A"/>
    <w:rPr>
      <w:rFonts w:ascii="Times New Roman" w:hAnsi="Times New Roman" w:cs="Times New Roman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343C64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43C64"/>
    <w:pPr>
      <w:spacing w:after="200" w:line="240" w:lineRule="auto"/>
    </w:pPr>
    <w:rPr>
      <w:rFonts w:asciiTheme="minorHAnsi" w:hAnsiTheme="minorHAnsi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343C64"/>
    <w:rPr>
      <w:rFonts w:cs="Times New Roman"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9D1E26"/>
    <w:pPr>
      <w:spacing w:line="240" w:lineRule="auto"/>
    </w:pPr>
    <w:rPr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9D1E26"/>
    <w:pPr>
      <w:spacing w:line="240" w:lineRule="auto"/>
    </w:pPr>
    <w:rPr>
      <w:szCs w:val="24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9D1E26"/>
    <w:rPr>
      <w:rFonts w:ascii="Times New Roman" w:hAnsi="Times New Roman" w:cs="Times New Roman"/>
      <w:sz w:val="24"/>
      <w:szCs w:val="24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122A8"/>
    <w:pPr>
      <w:spacing w:after="0"/>
    </w:pPr>
    <w:rPr>
      <w:rFonts w:ascii="Times New Roman" w:hAnsi="Times New Roman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7122A8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21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1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1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1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21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10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21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1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1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1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21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1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21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1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1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1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21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1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21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D0F84-ABD3-4AB0-87DC-690197D1B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1795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Filipova Viera</dc:creator>
  <cp:keywords/>
  <dc:description/>
  <cp:lastModifiedBy>Vuckovska Katarina</cp:lastModifiedBy>
  <cp:revision>2</cp:revision>
  <cp:lastPrinted>2021-07-27T10:32:00Z</cp:lastPrinted>
  <dcterms:created xsi:type="dcterms:W3CDTF">2021-08-18T08:34:00Z</dcterms:created>
  <dcterms:modified xsi:type="dcterms:W3CDTF">2021-08-18T08:34:00Z</dcterms:modified>
</cp:coreProperties>
</file>