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1D5708" w:rsidRDefault="00634B9C" w:rsidP="00634B9C">
      <w:pPr>
        <w:spacing w:after="0"/>
        <w:jc w:val="center"/>
        <w:rPr>
          <w:rFonts w:ascii="Times New Roman" w:hAnsi="Times New Roman" w:cs="Times New Roman"/>
          <w:b/>
          <w:noProof w:val="0"/>
          <w:sz w:val="25"/>
          <w:szCs w:val="25"/>
        </w:rPr>
      </w:pPr>
      <w:r w:rsidRPr="001D5708">
        <w:rPr>
          <w:rFonts w:ascii="Times New Roman" w:hAnsi="Times New Roman" w:cs="Times New Roman"/>
          <w:b/>
          <w:noProof w:val="0"/>
          <w:sz w:val="25"/>
          <w:szCs w:val="25"/>
        </w:rPr>
        <w:t>PREDKLADACIA SPRÁVA</w:t>
      </w:r>
    </w:p>
    <w:p w:rsidR="00634B9C" w:rsidRPr="001D5708" w:rsidRDefault="00634B9C" w:rsidP="00634B9C">
      <w:pPr>
        <w:spacing w:after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9815AF" w:rsidRPr="001D5708" w:rsidRDefault="009815AF">
      <w:pPr>
        <w:pStyle w:val="Normlnywebov"/>
        <w:jc w:val="both"/>
        <w:divId w:val="1004943613"/>
      </w:pPr>
      <w:r w:rsidRPr="001D5708">
        <w:t>Na základe ustanovenia § 70 ods. 2 zákona Národnej rady Slovenskej republiky č. 350/1996 Z. z. o rokovacom poriadku Národnej rady Slovenskej republiky v znení zákona č. 399/2015 Z. z. a podľa článku 31 Legislatívnych pravidiel vlády Slovenskej republiky,  </w:t>
      </w:r>
      <w:r w:rsidR="00A763A0">
        <w:t xml:space="preserve">predkladá </w:t>
      </w:r>
      <w:r w:rsidRPr="001D5708">
        <w:t>Ministerstvo kultúry Slovenskej republiky (ďalej len „m</w:t>
      </w:r>
      <w:r w:rsidR="00A763A0">
        <w:t>inisterstvo kultúry“) n</w:t>
      </w:r>
      <w:r w:rsidRPr="001D5708">
        <w:t>ávrh skupiny poslancov Národnej rady Slovenskej republiky na vydanie zákona, ktorým sa dopĺňa zákon č. 49/2002 Z. z. o ochrane pamiatkového fondu v znení neskorších predpisov a o doplnení zákona č. 326/2005 Z. z. o lesoch v znení neskorších predpisov (tlač 593) (ďalej len „poslanecký návrh zákona“).</w:t>
      </w:r>
    </w:p>
    <w:p w:rsidR="009815AF" w:rsidRPr="001D5708" w:rsidRDefault="009815AF">
      <w:pPr>
        <w:pStyle w:val="Normlnywebov"/>
        <w:jc w:val="both"/>
        <w:divId w:val="1004943613"/>
      </w:pPr>
      <w:r w:rsidRPr="001D5708">
        <w:t>Ministerstvo kultúry k predloženému poslaneckému návrhu zákona uvádza:</w:t>
      </w:r>
    </w:p>
    <w:p w:rsidR="009815AF" w:rsidRPr="001D5708" w:rsidRDefault="009815AF">
      <w:pPr>
        <w:pStyle w:val="Normlnywebov"/>
        <w:jc w:val="both"/>
        <w:divId w:val="1004943613"/>
      </w:pPr>
      <w:r w:rsidRPr="001D5708">
        <w:rPr>
          <w:rStyle w:val="Siln"/>
        </w:rPr>
        <w:t>Všeobecne</w:t>
      </w:r>
    </w:p>
    <w:p w:rsidR="009815AF" w:rsidRPr="001D5708" w:rsidRDefault="009815AF">
      <w:pPr>
        <w:pStyle w:val="Normlnywebov"/>
        <w:jc w:val="both"/>
        <w:divId w:val="1004943613"/>
      </w:pPr>
      <w:r w:rsidRPr="001D5708">
        <w:t>Cieľom predloženého návrhu zákona je rozšírenie právnej úpravy využitia lesných pozemkov vo vlastníctve štátu a pozemkov tvoriacich ostatný majetok vo vlastníctve štátu na verejnoprospešný účel, ktorým bude obnova národných kultúrnych pamiatok a hradov alebo torzálnej architektúry, ktoré nie sú vyhlásené za národnú kultúrnu pamiatku. V čl. I sa na tento účel dopĺňa kompetencia krajského pamiatkového úradu. V čl. II návrhu zákona sa zákon č. 326/2005 Z. z. o lesoch v znení neskorších predpisov dopĺňa osobitným ustanovením, ktoré upravuje vzťahy k lesnému majetku štátu a k ostatnému majetku štátu v prípadoch, ak sa na týchto pozemkoch nachádza stavba hradu, alebo jeho torzálna architektúra, národná kultúrna pamiatka, pamiatková rezervácia alebo pamiatková zóna. Návrh konkretizuje postup správcu majetku štátu v prípadoch, ak starostlivosť o tieto objekty zabezpečuje obec, vyšší územný celok, občianske združenie alebo nezisková organizácia. Návrh nadväzuje na viacročnú prax na obnove hradov, ktorá sa začala v roku 2008 a odstraňuje prekážky, ktoré vyplynuli z doterajšej aplikačnej praxe. Zároveň návrh určuje postup správcu lesného majetku štátu v tomto procese, konkretizuje podmienky uplatnenia postupu a deklaruje, že uvedené činnosti sú vykonávané za verejnoprospešným účelom. Výsledkom navrhovanej právnej úpravy bude zabezpečenie zmluvného vzťahu k pozemku, na ktorom sa realizuje verejnoprospešná činnosť, čo následne umožní, aby osoby, ktoré túto činnosť vykonávajú, mohli získať podporu z verejných alebo európskych zdrojov na jej realizáciu.</w:t>
      </w:r>
    </w:p>
    <w:p w:rsidR="009815AF" w:rsidRPr="001D5708" w:rsidRDefault="009815AF">
      <w:pPr>
        <w:pStyle w:val="Normlnywebov"/>
        <w:divId w:val="1004943613"/>
      </w:pPr>
      <w:r w:rsidRPr="001D5708">
        <w:rPr>
          <w:rStyle w:val="Siln"/>
        </w:rPr>
        <w:t>Stanovisko</w:t>
      </w:r>
    </w:p>
    <w:p w:rsidR="009815AF" w:rsidRPr="001D5708" w:rsidRDefault="009815AF">
      <w:pPr>
        <w:pStyle w:val="Normlnywebov"/>
        <w:jc w:val="both"/>
        <w:divId w:val="1004943613"/>
      </w:pPr>
      <w:r w:rsidRPr="001D5708">
        <w:t>Ministerstvo kultúry zaujíma k poslaneckému návrhu zákona toto stanovisko:</w:t>
      </w:r>
    </w:p>
    <w:p w:rsidR="009815AF" w:rsidRPr="001D5708" w:rsidRDefault="009815AF">
      <w:pPr>
        <w:pStyle w:val="Normlnywebov"/>
        <w:jc w:val="both"/>
        <w:divId w:val="1004943613"/>
      </w:pPr>
      <w:r w:rsidRPr="001D5708">
        <w:t>Ministerstvo kultúry navrhované doplnenie právnej úpravy považuje za účelné a dôvodné a súhlasí s cieľom predloženého poslaneckého návrhu zákona, ktorým je využitie lesných pozemkov vo vlastníctve štátu a pozemkov tvoriacich ostatný majetok vo vlastníctve štátu na verejnoprospešný účel, ktorým je obnova národných kultúrnych pamiatok a hradov a torzálnej architektúry, ktoré nie sú národnou kultúrnou pamiatkou.</w:t>
      </w:r>
    </w:p>
    <w:p w:rsidR="009815AF" w:rsidRPr="001D5708" w:rsidRDefault="009815AF">
      <w:pPr>
        <w:pStyle w:val="Normlnywebov"/>
        <w:jc w:val="both"/>
        <w:divId w:val="1004943613"/>
      </w:pPr>
      <w:r w:rsidRPr="001D5708">
        <w:t>Ministerstvo kultúry uplatňuje k poslaneckému návrhu zákona tieto pripomienky:</w:t>
      </w: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  navrhujeme slová „podľa osobitného predpisu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10ac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)“ nahradiť slovami „podľa osobitného predpisu,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10ab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)“.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Navrhujeme upraviť označenie poznámky pod čiarou a súčasne doplniť na konci poznámky slová „v znení zákona č.  .../2021 Z. z.“.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5B7B17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Do úvodnej vety v čl. II navrhujeme doplniť skrátenú citáciu zákona č. 120/2021 Z. z. a zákona č. 310/2021 Z. z. Zároveň navrhujeme</w:t>
      </w:r>
      <w:r w:rsidR="003430EE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v úvodnej vete vypustiť slová „mení a“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v súlade s názvom návrhu zákona.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5B7B17" w:rsidRPr="001D5708" w:rsidRDefault="005B7B17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2 vložiť za slovo „uzavrieť“ slová „na základe záväzného stanoviska orgánu štátnej správy na ochranu pamiatkového fondu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74i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)“.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Spresnenie ustanovenia a zosúladenie s formuláciou odseku 4.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4 druhej vete vypustiť slová „podľa odseku 1“ pre nadbytočnosť a na konci odseku 4 odkaz 74i presunúť za bodku.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5 úvodnej  vete vypustiť slová „podľa odseku 1“ pre nadbytočnosť.</w:t>
      </w:r>
    </w:p>
    <w:p w:rsidR="005B7B17" w:rsidRPr="001D5708" w:rsidRDefault="005B7B17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v § 50c ods. 6 úvodnej vete navrhujeme za slovo „osoba“ vložiť čiarku a slová „podľa odseku 2“ nahradiť slovami „s ktorou sa má zmluva uzatvoriť,“.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Spresnenie ustanovenia.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6 písm. c) vypustiť slová „v rozsahu podľa písmena a)“.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6 písm. d) presunúť odkaz 1b za čiarku.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7 písm. c) vypustiť slovo „pričom“ z dôvodu nadbytočnosti.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7 písm. d) upraviť nasledovne:</w:t>
      </w:r>
    </w:p>
    <w:p w:rsidR="009815AF" w:rsidRPr="001D5708" w:rsidRDefault="009815AF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„d) o vylúčení povinnosti správcu uhradiť náklady na zabezpečovanie účelu podľa odseku 1 vynaložené počas trvania zmluvy a prechodu záväzkov vzniknutých v súvislosti so 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lastRenderedPageBreak/>
        <w:t>zabezpečovaním účelu podľa odseku 1 na správcu v prípade zániku zmluvy podľa odseku 4,“.</w:t>
      </w:r>
    </w:p>
    <w:p w:rsidR="005B7B17" w:rsidRPr="001D5708" w:rsidRDefault="005B7B17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8 text začínajúci v treťom riadku presunúť do druhého riadku. Pripomienka platí aj pre § 50c ods. 11.</w:t>
      </w:r>
    </w:p>
    <w:p w:rsidR="005B7B17" w:rsidRPr="001D5708" w:rsidRDefault="005B7B17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9 poslednej vete nahradiť slovo „registra“ slovami „Centrálneho registra zmlúv“.</w:t>
      </w:r>
    </w:p>
    <w:p w:rsidR="005B7B17" w:rsidRPr="001D5708" w:rsidRDefault="005B7B17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5B7B17" w:rsidRPr="001D5708" w:rsidRDefault="005B7B17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Spresnenie.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10 vypustiť pre nadbytočnosť čiarku za slovom „pamiatku“ a slová „za pamiatkovú rezerváciu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74m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) a pamiatkovú zónu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74n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)“. Súčasne navrhujeme vypustiť poznámky pod čiarou k odkazom 74m a 74n.</w:t>
      </w:r>
    </w:p>
    <w:p w:rsidR="005B7B17" w:rsidRPr="001D5708" w:rsidRDefault="005B7B17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left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Navrhovaný verejnoprospešným účel využitia lesných pozemkov vo vlastníctve štátu a pozemkov tvoriacich ostatný majetok vo vlastníctve štátu odporúčame zadefinovať len prostredníctvom obnovy národných kultúrnych pamiatok a hradov a torzálnej architektúry, ktoré nie sú vyhlásené za národnú kultúrnu pamiatku. Navrhované širšie vymedzenie verejnoprospešného účelu aj prostredníctvom obnovy hradov a torzálnej architektúry, ktoré nie sú pamiatkovou rezerváciou alebo pamiatkovou zónou považujeme z hľadiska účelu predloženého návrhu zákona, ako aj z hľadiska ochrany pamiatkového fondu a pamiatkových hodnôt za nadbytočné. Okrem uvedeného sa zabezpečí napríklad zosúladenie odseku 10 s odsekom 6 písm. c), ktorý používa pojem „objekt podľa odseku 10“, pričom pamiatkovú rezerváciu ani pamiatkovú zónu nie je možné označiť za „objekt“.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10 na konci vypustiť horné úvodzovky. 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5B7B17" w:rsidP="005B7B17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l. II bod 1 navrhujeme v § 50c ods. 11 presunúť odkaz 23 za bodku.</w:t>
      </w:r>
    </w:p>
    <w:p w:rsidR="005B7B17" w:rsidRPr="001D5708" w:rsidRDefault="005B7B17" w:rsidP="005B7B17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9815AF" w:rsidRPr="001D5708" w:rsidRDefault="009815AF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Odôvodnenie: Legislatívno-technická pripomienka.</w:t>
      </w:r>
    </w:p>
    <w:p w:rsidR="00AC7B3D" w:rsidRPr="001D5708" w:rsidRDefault="00AC7B3D" w:rsidP="005B7B17">
      <w:pPr>
        <w:pStyle w:val="Bezriadkovania"/>
        <w:ind w:firstLine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AC7B3D" w:rsidRPr="001D5708" w:rsidRDefault="00AC7B3D" w:rsidP="00AC7B3D">
      <w:pPr>
        <w:pStyle w:val="Bezriadkovania"/>
        <w:numPr>
          <w:ilvl w:val="0"/>
          <w:numId w:val="16"/>
        </w:numPr>
        <w:ind w:left="426" w:hanging="426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 čl. II bod 1 v poznámke pod čiarou k odkazu 74k navrhujeme opraviť uvedený publikačný zdroj (skratku „Z. z.“ nahradiť skratkou „Zb.“).</w:t>
      </w:r>
    </w:p>
    <w:p w:rsidR="005B7B17" w:rsidRPr="001D5708" w:rsidRDefault="005B7B17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5B7B17" w:rsidRPr="001D5708" w:rsidRDefault="001D5708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Me</w:t>
      </w:r>
      <w:r w:rsidR="00AC7B3D" w:rsidRPr="001D5708">
        <w:rPr>
          <w:rFonts w:ascii="Times New Roman" w:hAnsi="Times New Roman" w:cs="Times New Roman"/>
          <w:noProof w:val="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z</w:t>
      </w:r>
      <w:r w:rsidR="00AC7B3D" w:rsidRPr="001D5708">
        <w:rPr>
          <w:rFonts w:ascii="Times New Roman" w:hAnsi="Times New Roman" w:cs="Times New Roman"/>
          <w:noProof w:val="0"/>
          <w:sz w:val="24"/>
          <w:szCs w:val="24"/>
          <w:u w:val="single"/>
        </w:rPr>
        <w:t>irezortné pripomienkové konanie:</w:t>
      </w: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6D4277" w:rsidRPr="001D5708" w:rsidRDefault="006D4277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Poslanecký návrh zákona bol predmetom medzirezortného pripomienkového konania.</w:t>
      </w:r>
    </w:p>
    <w:p w:rsidR="00B14E72" w:rsidRPr="001D5708" w:rsidRDefault="00B14E72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6D4277" w:rsidRPr="001D5708" w:rsidRDefault="006D4277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b/>
          <w:noProof w:val="0"/>
          <w:sz w:val="24"/>
          <w:szCs w:val="24"/>
        </w:rPr>
        <w:t>Ministerstvo dopravy a výstavby Slovenskej republiky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uplatnilo k poslaneckému návrhu zákona dve obyčajné pripomienky, ktoré majú legislatívno-technický charakter. Obsah pripomienok sa čiastočne prekrýva s pripomienkami ministerstva kultúry</w:t>
      </w:r>
      <w:r w:rsidR="00B14E72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, a teda už sú </w:t>
      </w:r>
      <w:r w:rsidR="00B14E72" w:rsidRPr="001D5708">
        <w:rPr>
          <w:rFonts w:ascii="Times New Roman" w:hAnsi="Times New Roman" w:cs="Times New Roman"/>
          <w:noProof w:val="0"/>
          <w:sz w:val="24"/>
          <w:szCs w:val="24"/>
        </w:rPr>
        <w:lastRenderedPageBreak/>
        <w:t>zapracované do stanoviska ministerstva kultúry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>. Zvyšný obsah pripomien</w:t>
      </w:r>
      <w:r w:rsidR="00B14E72" w:rsidRPr="001D5708">
        <w:rPr>
          <w:rFonts w:ascii="Times New Roman" w:hAnsi="Times New Roman" w:cs="Times New Roman"/>
          <w:noProof w:val="0"/>
          <w:sz w:val="24"/>
          <w:szCs w:val="24"/>
        </w:rPr>
        <w:t>ok vyhodnotilo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ministerstvo kultúry</w:t>
      </w:r>
      <w:r w:rsidR="00B14E72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tak, že ich nezapracovalo do stanoviska, pretože to nepovažovalo za potrebné.</w:t>
      </w:r>
    </w:p>
    <w:p w:rsidR="00B14E72" w:rsidRPr="001D5708" w:rsidRDefault="00B14E72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B14E72" w:rsidRPr="001D5708" w:rsidRDefault="00B14E72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b/>
          <w:noProof w:val="0"/>
          <w:sz w:val="24"/>
          <w:szCs w:val="24"/>
        </w:rPr>
        <w:t>Ministerstvo pôdohospodárstva a rozvoja vidieka Slovenskej republiky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uplatnilo k poslaneckému návrhu zákona dve obyčajné pripomienky, ktoré majú legislatívno-technický charakter. Obe pripomienky sú zapracované do stanoviska ministerstva kultúry.</w:t>
      </w:r>
    </w:p>
    <w:p w:rsidR="00B14E72" w:rsidRPr="001D5708" w:rsidRDefault="00B14E72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AC7B3D" w:rsidRPr="001D5708" w:rsidRDefault="00B14E72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b/>
          <w:noProof w:val="0"/>
          <w:sz w:val="24"/>
          <w:szCs w:val="24"/>
        </w:rPr>
        <w:t>Ministerstvo financií Slovenskej republiky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upla</w:t>
      </w:r>
      <w:r w:rsidR="00AC7B3D" w:rsidRPr="001D5708">
        <w:rPr>
          <w:rFonts w:ascii="Times New Roman" w:hAnsi="Times New Roman" w:cs="Times New Roman"/>
          <w:noProof w:val="0"/>
          <w:sz w:val="24"/>
          <w:szCs w:val="24"/>
        </w:rPr>
        <w:t>tnilo k poslaneckému návrhu zákona jednu zásadnú pripomienku v tomto znení:</w:t>
      </w: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„</w:t>
      </w:r>
      <w:r w:rsidRPr="001D5708">
        <w:rPr>
          <w:rFonts w:ascii="Times New Roman" w:hAnsi="Times New Roman" w:cs="Times New Roman"/>
          <w:i/>
          <w:noProof w:val="0"/>
          <w:sz w:val="24"/>
          <w:szCs w:val="24"/>
        </w:rPr>
        <w:t xml:space="preserve">Predloženým poslaneckým návrhom zákona sa rozširuje právna úprava využívania lesných pozemkov vo vlastníctve štátu a pozemkov tvoriacich ostatný majetok vo vlastníctve štátu na verejnoprospešné účely, a to na verejnoprospešný účel, ktorým bude obnova národných kultúrnych pamiatok a hradov alebo torzálnej architektúry. V čl. I sa na tento účel dopĺňa v zákone č. 49/2002 Z. z. o ochrane pamiatkového fondu v znení neskorších predpisov kompetencia krajského pamiatkového úradu. V čl. II sa v zákone č. 326/2005 Z. z. o lesoch v znení neskorších predpisov dopĺňa § 50c, ktorý upravuje vzťahy k lesnému majetku štátu a k ostatnému majetku štátu v prípadoch, ak sa na týchto pozemkoch nachádza stavba hradu, alebo jeho torzálna architektúra, národná kultúrna pamiatka, pamiatková rezervácia alebo pamiatková zóna. </w:t>
      </w: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i/>
          <w:noProof w:val="0"/>
          <w:sz w:val="24"/>
          <w:szCs w:val="24"/>
        </w:rPr>
        <w:t xml:space="preserve">Vzhľadom na to, že predkladateľ návrhu zákona (skupina poslancov) neuviedol a nezdôvodnil všetky predpokladané finančné dôsledky návrhu na rozpočet verejnej správy, pričom neuviedol ani návrh na úhradu zvýšených výdavkov alebo na úhradu úbytku príjmov v súlade s § 33 zákona č. 523/2004 Z. z. o rozpočtových pravidlách verejnej správy a o zmene a doplnení niektorých zákonov v znení neskorších predpisov, žiadame v stanovisku uvedenom v predkladacej správe </w:t>
      </w: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i/>
          <w:noProof w:val="0"/>
          <w:sz w:val="24"/>
          <w:szCs w:val="24"/>
        </w:rPr>
        <w:t xml:space="preserve">a) kvantifikovať vplyv návrhu zákona na rozpočet verejnej správy, keďže návrh zákona počíta s prevodom vlastníctva, pričom prevod vlastníctva nemusí byť vo všetkých prípadoch iba bezodplatný a preto predložený materiál bude mať pravdepodobne vplyv na rozpočet verejnej správy, </w:t>
      </w:r>
    </w:p>
    <w:p w:rsidR="00B14E72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i/>
          <w:noProof w:val="0"/>
          <w:sz w:val="24"/>
          <w:szCs w:val="24"/>
        </w:rPr>
        <w:t>b) uviesť, že v prípade schválenia návrhu zákona v Národnej rade SR budú všetky negatívne vplyvy vyplývajúce z návrhu zákona zabezpečené v rámci schválených limitov dotknutých subjektov verejnej správy na príslušné rozpočtové obdobie, bez dodatočných požiadaviek na štátny rozpočet.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>“.</w:t>
      </w: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Vyjadrenie k zásadnej pripomienke Ministerstva financií Slovenskej republiky:</w:t>
      </w: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</w:p>
    <w:p w:rsidR="00AC7B3D" w:rsidRPr="001D5708" w:rsidRDefault="00AC7B3D" w:rsidP="00B14E72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Keďže 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predkladateľom návrhu zákona nie je ministerstvo kultúry, ale </w:t>
      </w:r>
      <w:r w:rsidRPr="001D5708">
        <w:rPr>
          <w:rFonts w:ascii="Times New Roman" w:hAnsi="Times New Roman" w:cs="Times New Roman"/>
          <w:noProof w:val="0"/>
          <w:sz w:val="24"/>
          <w:szCs w:val="24"/>
        </w:rPr>
        <w:t>poslanci Nár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>odnej rady Slovenskej republiky, ministerstvo kultúry</w:t>
      </w:r>
      <w:r w:rsidR="001D5708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sa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D5708">
        <w:rPr>
          <w:rFonts w:ascii="Times New Roman" w:hAnsi="Times New Roman" w:cs="Times New Roman"/>
          <w:noProof w:val="0"/>
          <w:sz w:val="24"/>
          <w:szCs w:val="24"/>
        </w:rPr>
        <w:t xml:space="preserve">v súčasnosti 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>nevie</w:t>
      </w:r>
      <w:r w:rsidR="001D5708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vyjadriť k rozpočtovým vplyvom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D5708">
        <w:rPr>
          <w:rFonts w:ascii="Times New Roman" w:hAnsi="Times New Roman" w:cs="Times New Roman"/>
          <w:noProof w:val="0"/>
          <w:sz w:val="24"/>
          <w:szCs w:val="24"/>
        </w:rPr>
        <w:t xml:space="preserve">poslaneckého návrhu zákona </w:t>
      </w:r>
      <w:r w:rsidR="001D5708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ani 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kvantifikovať vplyv </w:t>
      </w:r>
      <w:r w:rsidR="001D5708">
        <w:rPr>
          <w:rFonts w:ascii="Times New Roman" w:hAnsi="Times New Roman" w:cs="Times New Roman"/>
          <w:noProof w:val="0"/>
          <w:sz w:val="24"/>
          <w:szCs w:val="24"/>
        </w:rPr>
        <w:t xml:space="preserve">poslaneckého 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>návrhu zákona na ro</w:t>
      </w:r>
      <w:r w:rsidR="002747FD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zpočet verejnej správy. Súčasne </w:t>
      </w:r>
      <w:r w:rsidR="001D5708">
        <w:rPr>
          <w:rFonts w:ascii="Times New Roman" w:hAnsi="Times New Roman" w:cs="Times New Roman"/>
          <w:noProof w:val="0"/>
          <w:sz w:val="24"/>
          <w:szCs w:val="24"/>
        </w:rPr>
        <w:t>uvádzame</w:t>
      </w:r>
      <w:r w:rsidR="002747FD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, že 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v aktuálnom štádiu legislatívneho procesu </w:t>
      </w:r>
      <w:r w:rsidR="001D5708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už </w:t>
      </w:r>
      <w:r w:rsidR="001D5708">
        <w:rPr>
          <w:rFonts w:ascii="Times New Roman" w:hAnsi="Times New Roman" w:cs="Times New Roman"/>
          <w:noProof w:val="0"/>
          <w:sz w:val="24"/>
          <w:szCs w:val="24"/>
        </w:rPr>
        <w:t>nemožno vstupovať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do doložky vybraných vplyvov</w:t>
      </w:r>
      <w:r w:rsidR="002747FD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k poslaneckému návrhu zákona</w:t>
      </w:r>
      <w:r w:rsidR="00AD7620" w:rsidRPr="001D5708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2747FD"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9815AF" w:rsidRPr="001D5708" w:rsidRDefault="009815AF" w:rsidP="00AC7B3D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> </w:t>
      </w:r>
    </w:p>
    <w:p w:rsidR="009815AF" w:rsidRPr="001D5708" w:rsidRDefault="00AC7B3D" w:rsidP="00AC7B3D">
      <w:pPr>
        <w:pStyle w:val="Bezriadkovania"/>
        <w:jc w:val="both"/>
        <w:divId w:val="1004943613"/>
        <w:rPr>
          <w:rFonts w:ascii="Times New Roman" w:hAnsi="Times New Roman" w:cs="Times New Roman"/>
          <w:noProof w:val="0"/>
          <w:sz w:val="24"/>
          <w:szCs w:val="24"/>
        </w:rPr>
      </w:pPr>
      <w:r w:rsidRPr="001D5708">
        <w:rPr>
          <w:rFonts w:ascii="Times New Roman" w:hAnsi="Times New Roman" w:cs="Times New Roman"/>
          <w:noProof w:val="0"/>
          <w:sz w:val="24"/>
          <w:szCs w:val="24"/>
        </w:rPr>
        <w:t xml:space="preserve">Po </w:t>
      </w:r>
      <w:r w:rsidR="009815AF" w:rsidRPr="001D5708">
        <w:rPr>
          <w:rFonts w:ascii="Times New Roman" w:hAnsi="Times New Roman" w:cs="Times New Roman"/>
          <w:noProof w:val="0"/>
          <w:sz w:val="24"/>
          <w:szCs w:val="24"/>
        </w:rPr>
        <w:t>zohľadnení vyššie uvedených pripomienok odporúča ministerstvo kultúry vláde Slovenskej republiky vysloviť</w:t>
      </w:r>
      <w:r w:rsidR="009815AF" w:rsidRPr="001D5708">
        <w:rPr>
          <w:rStyle w:val="Siln"/>
          <w:rFonts w:ascii="Times New Roman" w:hAnsi="Times New Roman" w:cs="Times New Roman"/>
          <w:noProof w:val="0"/>
          <w:sz w:val="24"/>
          <w:szCs w:val="24"/>
        </w:rPr>
        <w:t xml:space="preserve"> súhlas s poslaneckým návrhom zákona.</w:t>
      </w:r>
    </w:p>
    <w:p w:rsidR="00E076A2" w:rsidRPr="001D5708" w:rsidRDefault="00E076A2" w:rsidP="00B75BB0">
      <w:pPr>
        <w:rPr>
          <w:noProof w:val="0"/>
        </w:rPr>
      </w:pPr>
      <w:bookmarkStart w:id="0" w:name="_GoBack"/>
      <w:bookmarkEnd w:id="0"/>
    </w:p>
    <w:sectPr w:rsidR="00E076A2" w:rsidRPr="001D570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72" w:rsidRDefault="00A55572" w:rsidP="000A67D5">
      <w:pPr>
        <w:spacing w:after="0" w:line="240" w:lineRule="auto"/>
      </w:pPr>
      <w:r>
        <w:separator/>
      </w:r>
    </w:p>
  </w:endnote>
  <w:endnote w:type="continuationSeparator" w:id="0">
    <w:p w:rsidR="00A55572" w:rsidRDefault="00A5557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72" w:rsidRDefault="00A55572" w:rsidP="000A67D5">
      <w:pPr>
        <w:spacing w:after="0" w:line="240" w:lineRule="auto"/>
      </w:pPr>
      <w:r>
        <w:separator/>
      </w:r>
    </w:p>
  </w:footnote>
  <w:footnote w:type="continuationSeparator" w:id="0">
    <w:p w:rsidR="00A55572" w:rsidRDefault="00A55572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74B"/>
    <w:multiLevelType w:val="multilevel"/>
    <w:tmpl w:val="9408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25BF"/>
    <w:multiLevelType w:val="multilevel"/>
    <w:tmpl w:val="A586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678"/>
    <w:multiLevelType w:val="multilevel"/>
    <w:tmpl w:val="C7D2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630C"/>
    <w:multiLevelType w:val="multilevel"/>
    <w:tmpl w:val="0A5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613B"/>
    <w:multiLevelType w:val="multilevel"/>
    <w:tmpl w:val="D8A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24521"/>
    <w:multiLevelType w:val="multilevel"/>
    <w:tmpl w:val="77FC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27EA0"/>
    <w:multiLevelType w:val="multilevel"/>
    <w:tmpl w:val="2A36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35DFE"/>
    <w:multiLevelType w:val="hybridMultilevel"/>
    <w:tmpl w:val="17D22C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70DF5"/>
    <w:multiLevelType w:val="multilevel"/>
    <w:tmpl w:val="1F28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B6E32"/>
    <w:multiLevelType w:val="multilevel"/>
    <w:tmpl w:val="A2D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6796F"/>
    <w:multiLevelType w:val="multilevel"/>
    <w:tmpl w:val="B0DC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B59E6"/>
    <w:multiLevelType w:val="multilevel"/>
    <w:tmpl w:val="1482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33EC8"/>
    <w:multiLevelType w:val="hybridMultilevel"/>
    <w:tmpl w:val="6770CB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607E"/>
    <w:multiLevelType w:val="multilevel"/>
    <w:tmpl w:val="15B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0"/>
    <w:lvlOverride w:ilvl="0">
      <w:startOverride w:val="14"/>
    </w:lvlOverride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D5708"/>
    <w:rsid w:val="002109B0"/>
    <w:rsid w:val="0021228E"/>
    <w:rsid w:val="00230F3C"/>
    <w:rsid w:val="0026610F"/>
    <w:rsid w:val="002702D6"/>
    <w:rsid w:val="002747FD"/>
    <w:rsid w:val="002A5577"/>
    <w:rsid w:val="003111B8"/>
    <w:rsid w:val="00322014"/>
    <w:rsid w:val="003430EE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7B17"/>
    <w:rsid w:val="005E5E58"/>
    <w:rsid w:val="00634B9C"/>
    <w:rsid w:val="00642FB8"/>
    <w:rsid w:val="00657226"/>
    <w:rsid w:val="006A3681"/>
    <w:rsid w:val="006D4277"/>
    <w:rsid w:val="006D6F75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815AF"/>
    <w:rsid w:val="009B2526"/>
    <w:rsid w:val="009C6C5C"/>
    <w:rsid w:val="009D6F8B"/>
    <w:rsid w:val="00A05DD1"/>
    <w:rsid w:val="00A54A16"/>
    <w:rsid w:val="00A55572"/>
    <w:rsid w:val="00A763A0"/>
    <w:rsid w:val="00AC7B3D"/>
    <w:rsid w:val="00AD7620"/>
    <w:rsid w:val="00AF457A"/>
    <w:rsid w:val="00B133CC"/>
    <w:rsid w:val="00B14E72"/>
    <w:rsid w:val="00B67ED2"/>
    <w:rsid w:val="00B75BB0"/>
    <w:rsid w:val="00B81906"/>
    <w:rsid w:val="00B8553C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41BFA"/>
    <w:rsid w:val="00D7179C"/>
    <w:rsid w:val="00D85172"/>
    <w:rsid w:val="00D969AC"/>
    <w:rsid w:val="00DA34D9"/>
    <w:rsid w:val="00DC0BD9"/>
    <w:rsid w:val="00DC63A2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9815AF"/>
    <w:rPr>
      <w:b/>
      <w:bCs/>
    </w:rPr>
  </w:style>
  <w:style w:type="paragraph" w:styleId="Bezriadkovania">
    <w:name w:val="No Spacing"/>
    <w:uiPriority w:val="1"/>
    <w:qFormat/>
    <w:rsid w:val="00B14E72"/>
    <w:pPr>
      <w:spacing w:after="0" w:line="240" w:lineRule="auto"/>
    </w:pPr>
    <w:rPr>
      <w:noProof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9815AF"/>
    <w:rPr>
      <w:b/>
      <w:bCs/>
    </w:rPr>
  </w:style>
  <w:style w:type="paragraph" w:styleId="Bezriadkovania">
    <w:name w:val="No Spacing"/>
    <w:uiPriority w:val="1"/>
    <w:qFormat/>
    <w:rsid w:val="00B14E72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8.2021 14:43:04"/>
    <f:field ref="objchangedby" par="" text="Administrator, System"/>
    <f:field ref="objmodifiedat" par="" text="10.8.2021 14:43:0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C56C71-AAA1-4220-B610-50767656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2021-08-19T10:49:00Z</dcterms:created>
  <dcterms:modified xsi:type="dcterms:W3CDTF">2021-08-20T05:54:00Z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Ivana Strižencová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podľa § 70 ods. 2 zákona NR SR č. 350/1996 Z. z. </vt:lpwstr>
  </property>
  <property fmtid="{D5CDD505-2E9C-101B-9397-08002B2CF9AE}" pid="16" name="FSC#SKEDITIONSLOVLEX@103.510:plny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7" name="FSC#SKEDITIONSLOVLEX@103.510:rezortcislopredpis">
    <vt:lpwstr>MK-6379/2021-110/17283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LP/2021/445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Bezpredmetné</vt:lpwstr>
  </property>
  <property fmtid="{D5CDD505-2E9C-101B-9397-08002B2CF9AE}" pid="56" name="FSC#SKEDITIONSLOVLEX@103.510:AttrStrListDocPropAltRiesenia">
    <vt:lpwstr>Nepredkladajú sa</vt:lpwstr>
  </property>
  <property fmtid="{D5CDD505-2E9C-101B-9397-08002B2CF9AE}" pid="57" name="FSC#SKEDITIONSLOVLEX@103.510:AttrStrListDocPropStanoviskoGest">
    <vt:lpwstr>Bezpredmetné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ustanovenia §&amp;nbsp;70 ods.&amp;nbsp;2 zákona Národnej rady Slovenskej republiky č.&amp;nbsp;350/1996 Z.&amp;nbsp;z. o&amp;nbsp;rokovacom poriadku Národnej rady Slovenskej republiky v znení zákona č. 399/2015 Z. z. a podľa článku</vt:lpwstr>
  </property>
  <property fmtid="{D5CDD505-2E9C-101B-9397-08002B2CF9AE}" pid="130" name="FSC#COOSYSTEM@1.1:Container">
    <vt:lpwstr>COO.2145.1000.3.4503515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&lt;p&gt;Vzhľadom na skutočnosť, že ide o poslanecký návrh zákona, verejnosť sa na jeho príprave&lt;/p&gt;&lt;p&gt;nepodieľala.&lt;/p&gt;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lač 593)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lač 593)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10. 8. 2021</vt:lpwstr>
  </property>
</Properties>
</file>