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DF089C" w14:paraId="65953E26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28F03F02" w14:textId="77777777" w:rsidR="009F2DFA" w:rsidRPr="00DF089C" w:rsidRDefault="008A1252" w:rsidP="00DF089C">
            <w:pPr>
              <w:widowControl w:val="0"/>
              <w:jc w:val="center"/>
              <w:rPr>
                <w:b/>
                <w:sz w:val="24"/>
              </w:rPr>
            </w:pPr>
            <w:r w:rsidRPr="00DF089C">
              <w:rPr>
                <w:b/>
                <w:sz w:val="24"/>
              </w:rPr>
              <w:t>Analýza v</w:t>
            </w:r>
            <w:r w:rsidR="009F2DFA" w:rsidRPr="00DF089C">
              <w:rPr>
                <w:b/>
                <w:sz w:val="24"/>
              </w:rPr>
              <w:t>plyv</w:t>
            </w:r>
            <w:r w:rsidRPr="00DF089C">
              <w:rPr>
                <w:b/>
                <w:sz w:val="24"/>
              </w:rPr>
              <w:t>ov</w:t>
            </w:r>
            <w:r w:rsidR="009F2DFA" w:rsidRPr="00DF089C">
              <w:rPr>
                <w:b/>
                <w:sz w:val="24"/>
              </w:rPr>
              <w:t xml:space="preserve"> na podnikateľské prostredie </w:t>
            </w:r>
          </w:p>
          <w:p w14:paraId="23AE0226" w14:textId="77777777" w:rsidR="009F2DFA" w:rsidRPr="00DF089C" w:rsidRDefault="009F2DFA" w:rsidP="00DF089C">
            <w:pPr>
              <w:widowControl w:val="0"/>
              <w:jc w:val="center"/>
              <w:rPr>
                <w:b/>
                <w:sz w:val="24"/>
              </w:rPr>
            </w:pPr>
            <w:r w:rsidRPr="00DF089C">
              <w:rPr>
                <w:b/>
                <w:sz w:val="24"/>
              </w:rPr>
              <w:t xml:space="preserve">(vrátane </w:t>
            </w:r>
            <w:r w:rsidR="00780BA6" w:rsidRPr="00DF089C">
              <w:rPr>
                <w:b/>
                <w:sz w:val="24"/>
              </w:rPr>
              <w:t xml:space="preserve">testu </w:t>
            </w:r>
            <w:r w:rsidRPr="00DF089C">
              <w:rPr>
                <w:b/>
                <w:sz w:val="24"/>
              </w:rPr>
              <w:t>MSP)</w:t>
            </w:r>
          </w:p>
        </w:tc>
      </w:tr>
      <w:tr w:rsidR="009F2DFA" w:rsidRPr="00DF089C" w14:paraId="680CAF5B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297E298C" w14:textId="77777777" w:rsidR="009F2DFA" w:rsidRPr="00DF089C" w:rsidRDefault="009F2DFA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DF089C" w14:paraId="53FF7080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DF089C" w14:paraId="7AE6781C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9B02B8C" w14:textId="77777777" w:rsidR="009F2DFA" w:rsidRPr="00DF089C" w:rsidRDefault="009F2DFA" w:rsidP="00DF089C">
                      <w:pPr>
                        <w:widowControl w:val="0"/>
                        <w:jc w:val="center"/>
                      </w:pPr>
                      <w:r w:rsidRPr="00DF089C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836C82" w14:textId="77777777" w:rsidR="009F2DFA" w:rsidRPr="00DF089C" w:rsidRDefault="009F2DFA" w:rsidP="00DF089C">
                  <w:pPr>
                    <w:widowControl w:val="0"/>
                    <w:rPr>
                      <w:b/>
                    </w:rPr>
                  </w:pPr>
                  <w:r w:rsidRPr="00DF089C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DF089C" w14:paraId="70C4E55B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69AD5E9" w14:textId="77777777" w:rsidR="009F2DFA" w:rsidRPr="00DF089C" w:rsidRDefault="009F2DFA" w:rsidP="00DF089C">
                      <w:pPr>
                        <w:widowControl w:val="0"/>
                        <w:jc w:val="center"/>
                      </w:pPr>
                      <w:r w:rsidRPr="00DF089C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D0D42B5" w14:textId="77777777" w:rsidR="009F2DFA" w:rsidRPr="00DF089C" w:rsidRDefault="009F2DFA" w:rsidP="00DF089C">
                  <w:pPr>
                    <w:widowControl w:val="0"/>
                    <w:rPr>
                      <w:b/>
                    </w:rPr>
                  </w:pPr>
                  <w:r w:rsidRPr="00DF089C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DF089C" w14:paraId="5BF9370B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C9FB876" w14:textId="77777777" w:rsidR="009F2DFA" w:rsidRPr="00DF089C" w:rsidRDefault="008B5470" w:rsidP="00DF089C">
                      <w:pPr>
                        <w:widowControl w:val="0"/>
                        <w:jc w:val="center"/>
                      </w:pPr>
                      <w:r w:rsidRPr="00DF089C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6746FFE" w14:textId="77777777" w:rsidR="009F2DFA" w:rsidRPr="00DF089C" w:rsidRDefault="009F2DFA" w:rsidP="00DF089C">
                  <w:pPr>
                    <w:widowControl w:val="0"/>
                  </w:pPr>
                  <w:r w:rsidRPr="00DF089C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02C17DB0" w14:textId="77777777" w:rsidR="009F2DFA" w:rsidRPr="00DF089C" w:rsidRDefault="009F2DFA" w:rsidP="00DF089C">
            <w:pPr>
              <w:widowControl w:val="0"/>
              <w:rPr>
                <w:b/>
              </w:rPr>
            </w:pPr>
          </w:p>
        </w:tc>
      </w:tr>
      <w:tr w:rsidR="009F2DFA" w:rsidRPr="00DF089C" w14:paraId="0DC821BB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098BB4C0" w14:textId="77777777" w:rsidR="009F2DFA" w:rsidRPr="00DF089C" w:rsidRDefault="002B1108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3</w:t>
            </w:r>
            <w:r w:rsidR="009F2DFA" w:rsidRPr="00DF089C">
              <w:rPr>
                <w:b/>
              </w:rPr>
              <w:t>.1 Dotknuté podnikateľské subjekty</w:t>
            </w:r>
          </w:p>
          <w:p w14:paraId="4FA1D07D" w14:textId="77777777" w:rsidR="009F2DFA" w:rsidRPr="00DF089C" w:rsidRDefault="009F2DFA" w:rsidP="00DF089C">
            <w:pPr>
              <w:widowControl w:val="0"/>
              <w:ind w:left="284"/>
              <w:rPr>
                <w:b/>
              </w:rPr>
            </w:pPr>
            <w:r w:rsidRPr="00DF089C">
              <w:t xml:space="preserve"> - </w:t>
            </w:r>
            <w:r w:rsidRPr="00DF089C">
              <w:rPr>
                <w:b/>
              </w:rPr>
              <w:t>z toho MSP</w:t>
            </w:r>
          </w:p>
        </w:tc>
      </w:tr>
      <w:tr w:rsidR="009F2DFA" w:rsidRPr="00DF089C" w14:paraId="10ED3C53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1C2C000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Uveďte, aké podnikateľské subjekty budú predkladaným návrhom ovplyvnené.</w:t>
            </w:r>
          </w:p>
          <w:p w14:paraId="374C9B43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Aký je ich počet?</w:t>
            </w:r>
          </w:p>
        </w:tc>
      </w:tr>
      <w:tr w:rsidR="009F2DFA" w:rsidRPr="00DF089C" w14:paraId="6413644F" w14:textId="77777777" w:rsidTr="00BE1941">
        <w:trPr>
          <w:trHeight w:val="923"/>
        </w:trPr>
        <w:tc>
          <w:tcPr>
            <w:tcW w:w="9212" w:type="dxa"/>
            <w:tcBorders>
              <w:bottom w:val="single" w:sz="4" w:space="0" w:color="auto"/>
            </w:tcBorders>
          </w:tcPr>
          <w:p w14:paraId="782FED9A" w14:textId="77777777" w:rsidR="008B5470" w:rsidRPr="00DF089C" w:rsidRDefault="008B5470" w:rsidP="00DF089C">
            <w:pPr>
              <w:widowControl w:val="0"/>
              <w:jc w:val="both"/>
            </w:pPr>
            <w:r w:rsidRPr="00DF089C">
              <w:t>Pozitívny vplyv na podnikateľské prostredie sa predpokladá v tom prí</w:t>
            </w:r>
            <w:r w:rsidR="00DA2440" w:rsidRPr="00DF089C">
              <w:t xml:space="preserve">pade, ak podnikateľské subjekty budú potraviny po uplynutí dátumu minimálnej trvanlivosti predávať namiesto bezodplatného prevodu takýchto potravín charitatívnym organizáciám bez nároku na finančnú odmenu. </w:t>
            </w:r>
          </w:p>
          <w:p w14:paraId="61BB28A6" w14:textId="77777777" w:rsidR="009F2DFA" w:rsidRPr="00DF089C" w:rsidRDefault="008B5470" w:rsidP="00DF089C">
            <w:pPr>
              <w:widowControl w:val="0"/>
              <w:jc w:val="both"/>
            </w:pPr>
            <w:r w:rsidRPr="00DF089C">
              <w:t xml:space="preserve">Veľkoobchod, maloobchod a distribúcia, viac ako </w:t>
            </w:r>
            <w:r w:rsidR="0074051A" w:rsidRPr="00DF089C">
              <w:t>5000</w:t>
            </w:r>
            <w:r w:rsidR="0074051A" w:rsidRPr="00DF089C">
              <w:rPr>
                <w:color w:val="FF0000"/>
              </w:rPr>
              <w:t xml:space="preserve"> </w:t>
            </w:r>
          </w:p>
        </w:tc>
      </w:tr>
      <w:tr w:rsidR="009F2DFA" w:rsidRPr="00DF089C" w14:paraId="76A84AC8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C1C24" w14:textId="77777777" w:rsidR="009F2DFA" w:rsidRPr="00DF089C" w:rsidRDefault="002B1108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3</w:t>
            </w:r>
            <w:r w:rsidR="009F2DFA" w:rsidRPr="00DF089C">
              <w:rPr>
                <w:b/>
              </w:rPr>
              <w:t>.2 Vyhodnotenie konzultácií</w:t>
            </w:r>
          </w:p>
          <w:p w14:paraId="20D06B12" w14:textId="77777777" w:rsidR="009F2DFA" w:rsidRPr="00DF089C" w:rsidRDefault="009F2DFA" w:rsidP="00DF089C">
            <w:pPr>
              <w:widowControl w:val="0"/>
              <w:rPr>
                <w:b/>
              </w:rPr>
            </w:pPr>
            <w:r w:rsidRPr="00DF089C">
              <w:t xml:space="preserve">       - </w:t>
            </w:r>
            <w:r w:rsidRPr="00DF089C">
              <w:rPr>
                <w:b/>
              </w:rPr>
              <w:t>z toho MSP</w:t>
            </w:r>
          </w:p>
        </w:tc>
      </w:tr>
      <w:tr w:rsidR="009F2DFA" w:rsidRPr="00DF089C" w14:paraId="22A0746B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3149D22B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Uveďte, akou formou (verejné alebo cielené konzultácie a prečo) a s kým bol návrh konzultovaný.</w:t>
            </w:r>
          </w:p>
          <w:p w14:paraId="78108AAB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Ako dlho trvali konzultácie?</w:t>
            </w:r>
          </w:p>
          <w:p w14:paraId="2DA4B42A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DF089C" w14:paraId="5EC524CD" w14:textId="77777777" w:rsidTr="00BE1941">
        <w:trPr>
          <w:trHeight w:val="443"/>
        </w:trPr>
        <w:tc>
          <w:tcPr>
            <w:tcW w:w="9212" w:type="dxa"/>
            <w:tcBorders>
              <w:bottom w:val="single" w:sz="4" w:space="0" w:color="auto"/>
            </w:tcBorders>
          </w:tcPr>
          <w:p w14:paraId="009EF974" w14:textId="77777777" w:rsidR="0009011F" w:rsidRPr="00DF089C" w:rsidRDefault="0009011F" w:rsidP="00DF089C">
            <w:pPr>
              <w:widowControl w:val="0"/>
              <w:jc w:val="both"/>
              <w:rPr>
                <w:rFonts w:ascii="Times" w:hAnsi="Times" w:cs="Times"/>
                <w:bCs/>
              </w:rPr>
            </w:pPr>
            <w:r w:rsidRPr="00DF089C">
              <w:t>Verejnosť bola informovaná prostredníctvom uznesenia vlády SR z 24. júna 2020 č. 400/2020 tzv. „podnikateľské kilečko 1“ pripraveného zo strany Ministerstva hospodárstva SR. Na webovom sídle Ministerstva pôdohospodárstva a rozvoja vidieka SR bola dňa 17.9. 2020 zverejnená predbežná informácia o príprave predkladaného právneho predpisu:</w:t>
            </w:r>
            <w:r w:rsidRPr="00DF089C">
              <w:rPr>
                <w:rFonts w:ascii="Times" w:hAnsi="Times" w:cs="Times"/>
                <w:bCs/>
              </w:rPr>
              <w:t>(</w:t>
            </w:r>
            <w:hyperlink r:id="rId8" w:history="1">
              <w:r w:rsidRPr="00DF089C">
                <w:rPr>
                  <w:rStyle w:val="Hypertextovprepojenie"/>
                  <w:rFonts w:ascii="Times" w:hAnsi="Times" w:cs="Times"/>
                  <w:bCs/>
                </w:rPr>
                <w:t>https://www.mpsr.sk/aktualne/predbezna-informacia/15863/</w:t>
              </w:r>
            </w:hyperlink>
            <w:r w:rsidRPr="00DF089C">
              <w:rPr>
                <w:rFonts w:ascii="Times" w:hAnsi="Times" w:cs="Times"/>
                <w:bCs/>
              </w:rPr>
              <w:t xml:space="preserve">) </w:t>
            </w:r>
          </w:p>
          <w:p w14:paraId="6DD47CAD" w14:textId="77777777" w:rsidR="0009011F" w:rsidRPr="00DF089C" w:rsidRDefault="0009011F" w:rsidP="00DF089C">
            <w:pPr>
              <w:widowControl w:val="0"/>
              <w:jc w:val="both"/>
            </w:pPr>
            <w:r w:rsidRPr="00DF089C">
              <w:t xml:space="preserve">Okrem toho, komory zastrešujúce slovenských výrobcov boli informované o pripravovanej novele zákona o potravinách prostredníctvom online mítingov.  </w:t>
            </w:r>
          </w:p>
          <w:p w14:paraId="0BBFF921" w14:textId="77777777" w:rsidR="0009011F" w:rsidRPr="00DF089C" w:rsidRDefault="0009011F" w:rsidP="00DF089C">
            <w:pPr>
              <w:widowControl w:val="0"/>
              <w:jc w:val="both"/>
            </w:pPr>
            <w:r w:rsidRPr="00DF089C">
              <w:t>Nakoľko podnikateľská obec nesúhlasí s prevzatím zodpovednosti za bezpečnosť potravín, ktorým uplynul dátum minimálnej trvanlivosti, nie je predpoklad, že bude tento spôsob často využívaný.</w:t>
            </w:r>
          </w:p>
        </w:tc>
      </w:tr>
      <w:tr w:rsidR="009F2DFA" w:rsidRPr="00DF089C" w14:paraId="57EBF3E8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C21C70E" w14:textId="77777777" w:rsidR="009F2DFA" w:rsidRPr="00DF089C" w:rsidRDefault="002B1108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3</w:t>
            </w:r>
            <w:r w:rsidR="009F2DFA" w:rsidRPr="00DF089C">
              <w:rPr>
                <w:b/>
              </w:rPr>
              <w:t>.3 Náklady regulácie</w:t>
            </w:r>
          </w:p>
          <w:p w14:paraId="46DE4438" w14:textId="77777777" w:rsidR="009F2DFA" w:rsidRPr="00DF089C" w:rsidRDefault="009F2DFA" w:rsidP="00DF089C">
            <w:pPr>
              <w:widowControl w:val="0"/>
              <w:rPr>
                <w:b/>
              </w:rPr>
            </w:pPr>
            <w:r w:rsidRPr="00DF089C">
              <w:t xml:space="preserve">      - </w:t>
            </w:r>
            <w:r w:rsidRPr="00DF089C">
              <w:rPr>
                <w:b/>
              </w:rPr>
              <w:t>z toho MSP</w:t>
            </w:r>
          </w:p>
        </w:tc>
      </w:tr>
      <w:tr w:rsidR="009F2DFA" w:rsidRPr="00DF089C" w14:paraId="7F95E32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1F8E3C6" w14:textId="77777777" w:rsidR="009F2DFA" w:rsidRPr="00DF089C" w:rsidRDefault="002B1108" w:rsidP="00DF089C">
            <w:pPr>
              <w:widowControl w:val="0"/>
              <w:rPr>
                <w:b/>
                <w:i/>
              </w:rPr>
            </w:pPr>
            <w:r w:rsidRPr="00DF089C">
              <w:rPr>
                <w:b/>
                <w:i/>
              </w:rPr>
              <w:t>3</w:t>
            </w:r>
            <w:r w:rsidR="009F2DFA" w:rsidRPr="00DF089C">
              <w:rPr>
                <w:b/>
                <w:i/>
              </w:rPr>
              <w:t>.3.1 Priame finančné náklady</w:t>
            </w:r>
          </w:p>
          <w:p w14:paraId="1446EA44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DF089C" w14:paraId="680E01B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439498F" w14:textId="77777777" w:rsidR="0009011F" w:rsidRPr="00DF089C" w:rsidRDefault="0009011F" w:rsidP="00DF089C">
            <w:pPr>
              <w:widowControl w:val="0"/>
              <w:jc w:val="both"/>
            </w:pPr>
            <w:r w:rsidRPr="00DF089C">
              <w:t>Pravdepodobne dôjde k zvýšeniu nákladov na dane, nakoľko úpravou dôjde k zvýšeniu príjmov z predaja potravín po dátume minimálnej trvanlivosti, z ktorých bude následne nevyhnutné zaplatiť daň z príjmu a tiež DPH.</w:t>
            </w:r>
            <w:r w:rsidR="00B476F0" w:rsidRPr="00DF089C">
              <w:t xml:space="preserve"> </w:t>
            </w:r>
            <w:r w:rsidRPr="00DF089C">
              <w:t>V prípade odovzdania oprávneným charitatívnym organizáciám, v zmysle platnej legislatívy v oblasti daní, je možné uplatniť si obstarávaciu cenu ako daňový výdavok.</w:t>
            </w:r>
            <w:r w:rsidR="00B476F0" w:rsidRPr="00DF089C">
              <w:t xml:space="preserve"> </w:t>
            </w:r>
            <w:r w:rsidRPr="00DF089C">
              <w:t>Po začatí uplatňovanie predmetnej novely bude na podnikateľskom subjekte, či zvolí predaj takýchto potravín alebo ich daruje.</w:t>
            </w:r>
            <w:r w:rsidR="00B476F0" w:rsidRPr="00DF089C">
              <w:t xml:space="preserve"> </w:t>
            </w:r>
            <w:r w:rsidRPr="00DF089C">
              <w:t>Vyčíslenie týchto nákladov resp. úspor nie je reálne možné nakoľko sa jedná o sortiment potravín v rôznych druhov a rôznych cenových reláciách, tiež nie je možné odhadnúť koľko subjektov bude takéto potraviny predávať a koľko ich daruje.</w:t>
            </w:r>
          </w:p>
          <w:p w14:paraId="14C7B184" w14:textId="77777777" w:rsidR="0009011F" w:rsidRPr="00DF089C" w:rsidRDefault="0009011F" w:rsidP="00DF089C">
            <w:pPr>
              <w:widowControl w:val="0"/>
              <w:jc w:val="both"/>
              <w:rPr>
                <w:u w:val="single"/>
              </w:rPr>
            </w:pPr>
            <w:r w:rsidRPr="00DF089C">
              <w:rPr>
                <w:u w:val="single"/>
              </w:rPr>
              <w:t>K dispozície tiež nie sú verejne dostupné relevantné údaje, ktoré by bolo možné pre výpočet nákladov/úspor použiť.</w:t>
            </w:r>
            <w:r w:rsidR="00B476F0" w:rsidRPr="00DF089C">
              <w:rPr>
                <w:u w:val="single"/>
              </w:rPr>
              <w:t xml:space="preserve"> </w:t>
            </w:r>
            <w:r w:rsidRPr="00DF089C">
              <w:rPr>
                <w:u w:val="single"/>
              </w:rPr>
              <w:t>V prípade, že by boli tieto výpočty realizované z odhadnutých údajov, nebolo by ich možné považovať za relevantné, keďže ide o množstvo neznámych premenných, ovplyvňujúcich tento výpočet.</w:t>
            </w:r>
          </w:p>
          <w:p w14:paraId="4BF1E221" w14:textId="77777777" w:rsidR="00B476F0" w:rsidRPr="00DF089C" w:rsidRDefault="00B476F0" w:rsidP="00DF089C">
            <w:pPr>
              <w:widowControl w:val="0"/>
              <w:jc w:val="both"/>
            </w:pPr>
            <w:r w:rsidRPr="00DF089C">
              <w:t>Zníženie poplatkov za odpad nie je možné vyčísliť a to vzhľadom na absenciu údajov o množstve odpadov uskladnených na skládkach odpadov, prípadne likvidovaným iným spôsobom. Pokiaľ by výpočty boli výpočty realizované na základe odhadov, boli by nepresné.</w:t>
            </w:r>
          </w:p>
          <w:p w14:paraId="197CE947" w14:textId="1E3FD645" w:rsidR="00B476F0" w:rsidRPr="00DF089C" w:rsidRDefault="00D842D2" w:rsidP="00DF089C">
            <w:pPr>
              <w:widowControl w:val="0"/>
              <w:jc w:val="both"/>
            </w:pPr>
            <w:r w:rsidRPr="00DF089C">
              <w:t>Okrem toho nie je možné pre výpočet nákladov regulácie použiť modelový príklad založený vypočítaný na základe ziskovej (čistej) marže potravinových reťazcov vzhľadom na absenciu údajov nie len o množstve, ktoré nie sú aktuálne k dispozícii, ale aj údaje o nákupných a predajných cenách takýchto produktov, ktorými Ministerstvo pôdohospodárstva a rozvoja vidieka aktuálne nedisponuje.</w:t>
            </w:r>
          </w:p>
        </w:tc>
      </w:tr>
      <w:tr w:rsidR="009F2DFA" w:rsidRPr="00DF089C" w14:paraId="652AEFE6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C658B4B" w14:textId="77777777" w:rsidR="009F2DFA" w:rsidRPr="00DF089C" w:rsidRDefault="002B1108" w:rsidP="00DF089C">
            <w:pPr>
              <w:widowControl w:val="0"/>
              <w:rPr>
                <w:b/>
                <w:i/>
              </w:rPr>
            </w:pPr>
            <w:r w:rsidRPr="00DF089C">
              <w:rPr>
                <w:b/>
                <w:i/>
              </w:rPr>
              <w:t>3</w:t>
            </w:r>
            <w:r w:rsidR="009F2DFA" w:rsidRPr="00DF089C">
              <w:rPr>
                <w:b/>
                <w:i/>
              </w:rPr>
              <w:t>.3.2 Nepriame finančné náklady</w:t>
            </w:r>
          </w:p>
          <w:p w14:paraId="5E9DC211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 xml:space="preserve">Vyžaduje si predkladaný návrh dodatočné náklady na nákup tovarov alebo služieb? </w:t>
            </w:r>
            <w:r w:rsidR="00B31A8E" w:rsidRPr="00DF089C">
              <w:rPr>
                <w:i/>
              </w:rPr>
              <w:t xml:space="preserve">Zvyšuje predkladaný návrh náklady súvisiace so zamestnávaním? </w:t>
            </w:r>
            <w:r w:rsidRPr="00DF089C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DF089C" w14:paraId="752D14D5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B422FB5" w14:textId="77777777" w:rsidR="009F2DFA" w:rsidRPr="00DF089C" w:rsidRDefault="007C13D1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Nie.</w:t>
            </w:r>
          </w:p>
        </w:tc>
      </w:tr>
      <w:tr w:rsidR="009F2DFA" w:rsidRPr="00DF089C" w14:paraId="3DF7B0E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D8526AA" w14:textId="77777777" w:rsidR="009F2DFA" w:rsidRPr="00DF089C" w:rsidRDefault="002B1108" w:rsidP="00DF089C">
            <w:pPr>
              <w:widowControl w:val="0"/>
              <w:rPr>
                <w:b/>
                <w:i/>
              </w:rPr>
            </w:pPr>
            <w:r w:rsidRPr="00DF089C">
              <w:rPr>
                <w:b/>
                <w:i/>
              </w:rPr>
              <w:t>3</w:t>
            </w:r>
            <w:r w:rsidR="009F2DFA" w:rsidRPr="00DF089C">
              <w:rPr>
                <w:b/>
                <w:i/>
              </w:rPr>
              <w:t>.3.3 Administratívne náklady</w:t>
            </w:r>
            <w:bookmarkStart w:id="0" w:name="_GoBack"/>
            <w:bookmarkEnd w:id="0"/>
          </w:p>
          <w:p w14:paraId="58292830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DF089C" w14:paraId="3090FD6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2494961" w14:textId="77777777" w:rsidR="009F2DFA" w:rsidRPr="00DF089C" w:rsidRDefault="007C13D1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lastRenderedPageBreak/>
              <w:t>Nie.</w:t>
            </w:r>
          </w:p>
        </w:tc>
      </w:tr>
      <w:tr w:rsidR="009F2DFA" w:rsidRPr="00DF089C" w14:paraId="0EF64B01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45575414" w14:textId="77777777" w:rsidR="009F2DFA" w:rsidRPr="00DF089C" w:rsidRDefault="002B1108" w:rsidP="00DF089C">
            <w:pPr>
              <w:widowControl w:val="0"/>
              <w:rPr>
                <w:i/>
              </w:rPr>
            </w:pPr>
            <w:r w:rsidRPr="00DF089C">
              <w:rPr>
                <w:b/>
                <w:i/>
              </w:rPr>
              <w:t>3</w:t>
            </w:r>
            <w:r w:rsidR="009F2DFA" w:rsidRPr="00DF089C">
              <w:rPr>
                <w:b/>
                <w:i/>
              </w:rPr>
              <w:t>.3.4 Súhrnná tabuľka nákladov regulácie</w:t>
            </w:r>
          </w:p>
          <w:p w14:paraId="42416B6B" w14:textId="77777777" w:rsidR="009F2DFA" w:rsidRPr="00DF089C" w:rsidRDefault="009F2DFA" w:rsidP="00DF089C">
            <w:pPr>
              <w:widowControl w:val="0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DF089C" w14:paraId="2F07DE38" w14:textId="77777777" w:rsidTr="007B71A4">
              <w:tc>
                <w:tcPr>
                  <w:tcW w:w="2993" w:type="dxa"/>
                </w:tcPr>
                <w:p w14:paraId="62C2ADC7" w14:textId="77777777" w:rsidR="009F2DFA" w:rsidRPr="00DF089C" w:rsidRDefault="009F2DFA" w:rsidP="00DF089C">
                  <w:pPr>
                    <w:widowControl w:val="0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61919730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2961FBDC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DF089C" w14:paraId="10678DDE" w14:textId="77777777" w:rsidTr="007B71A4">
              <w:tc>
                <w:tcPr>
                  <w:tcW w:w="2993" w:type="dxa"/>
                </w:tcPr>
                <w:p w14:paraId="5BE4E621" w14:textId="77777777" w:rsidR="009F2DFA" w:rsidRPr="00DF089C" w:rsidRDefault="009F2DFA" w:rsidP="00DF089C">
                  <w:pPr>
                    <w:widowControl w:val="0"/>
                    <w:rPr>
                      <w:i/>
                    </w:rPr>
                  </w:pPr>
                  <w:r w:rsidRPr="00DF089C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775D6D61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563A29EF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0</w:t>
                  </w:r>
                </w:p>
              </w:tc>
            </w:tr>
            <w:tr w:rsidR="009F2DFA" w:rsidRPr="00DF089C" w14:paraId="4ADCAD80" w14:textId="77777777" w:rsidTr="007B71A4">
              <w:tc>
                <w:tcPr>
                  <w:tcW w:w="2993" w:type="dxa"/>
                </w:tcPr>
                <w:p w14:paraId="6FBA4188" w14:textId="77777777" w:rsidR="009F2DFA" w:rsidRPr="00DF089C" w:rsidRDefault="009F2DFA" w:rsidP="00DF089C">
                  <w:pPr>
                    <w:widowControl w:val="0"/>
                    <w:rPr>
                      <w:i/>
                    </w:rPr>
                  </w:pPr>
                  <w:r w:rsidRPr="00DF089C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5770EDF9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22665522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0</w:t>
                  </w:r>
                </w:p>
              </w:tc>
            </w:tr>
            <w:tr w:rsidR="009F2DFA" w:rsidRPr="00DF089C" w14:paraId="282E462C" w14:textId="77777777" w:rsidTr="007B71A4">
              <w:tc>
                <w:tcPr>
                  <w:tcW w:w="2993" w:type="dxa"/>
                </w:tcPr>
                <w:p w14:paraId="0EF8F187" w14:textId="77777777" w:rsidR="009F2DFA" w:rsidRPr="00DF089C" w:rsidRDefault="009F2DFA" w:rsidP="00DF089C">
                  <w:pPr>
                    <w:widowControl w:val="0"/>
                    <w:rPr>
                      <w:i/>
                    </w:rPr>
                  </w:pPr>
                  <w:r w:rsidRPr="00DF089C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7F567C57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3ED0D91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i/>
                    </w:rPr>
                  </w:pPr>
                  <w:r w:rsidRPr="00DF089C">
                    <w:rPr>
                      <w:i/>
                    </w:rPr>
                    <w:t>0</w:t>
                  </w:r>
                </w:p>
              </w:tc>
            </w:tr>
            <w:tr w:rsidR="009F2DFA" w:rsidRPr="00DF089C" w14:paraId="583F414D" w14:textId="77777777" w:rsidTr="007B71A4">
              <w:tc>
                <w:tcPr>
                  <w:tcW w:w="2993" w:type="dxa"/>
                </w:tcPr>
                <w:p w14:paraId="1246DF4D" w14:textId="77777777" w:rsidR="009F2DFA" w:rsidRPr="00DF089C" w:rsidRDefault="009F2DFA" w:rsidP="00DF089C">
                  <w:pPr>
                    <w:widowControl w:val="0"/>
                    <w:rPr>
                      <w:b/>
                      <w:i/>
                    </w:rPr>
                  </w:pPr>
                  <w:r w:rsidRPr="00DF089C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43F1543B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DF089C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1C392B4F" w14:textId="77777777" w:rsidR="009F2DFA" w:rsidRPr="00DF089C" w:rsidRDefault="009F2DFA" w:rsidP="00DF089C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DF089C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0DB90B61" w14:textId="77777777" w:rsidR="009F2DFA" w:rsidRPr="00DF089C" w:rsidRDefault="009F2DFA" w:rsidP="00DF089C">
            <w:pPr>
              <w:widowControl w:val="0"/>
              <w:rPr>
                <w:i/>
              </w:rPr>
            </w:pPr>
          </w:p>
        </w:tc>
      </w:tr>
      <w:tr w:rsidR="009F2DFA" w:rsidRPr="00DF089C" w14:paraId="6C484789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9A812C6" w14:textId="77777777" w:rsidR="009F2DFA" w:rsidRPr="00DF089C" w:rsidRDefault="002B1108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3</w:t>
            </w:r>
            <w:r w:rsidR="009F2DFA" w:rsidRPr="00DF089C">
              <w:rPr>
                <w:b/>
              </w:rPr>
              <w:t>.4 Konkurencieschopnosť a správanie sa podnikov na trhu</w:t>
            </w:r>
          </w:p>
          <w:p w14:paraId="5FE4EC40" w14:textId="77777777" w:rsidR="009F2DFA" w:rsidRPr="00DF089C" w:rsidRDefault="009F2DFA" w:rsidP="00DF089C">
            <w:pPr>
              <w:widowControl w:val="0"/>
            </w:pPr>
            <w:r w:rsidRPr="00DF089C">
              <w:rPr>
                <w:b/>
              </w:rPr>
              <w:t xml:space="preserve">       </w:t>
            </w:r>
            <w:r w:rsidRPr="00DF089C">
              <w:t xml:space="preserve">- </w:t>
            </w:r>
            <w:r w:rsidRPr="00DF089C">
              <w:rPr>
                <w:b/>
              </w:rPr>
              <w:t>z toho MSP</w:t>
            </w:r>
          </w:p>
        </w:tc>
      </w:tr>
      <w:tr w:rsidR="009F2DFA" w:rsidRPr="00DF089C" w14:paraId="723B2979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BED4F60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DF089C">
              <w:rPr>
                <w:i/>
              </w:rPr>
              <w:t>mikro</w:t>
            </w:r>
            <w:proofErr w:type="spellEnd"/>
            <w:r w:rsidRPr="00DF089C">
              <w:rPr>
                <w:i/>
              </w:rPr>
              <w:t>, malé a stredné podniky tzv. MSP)? Ak áno, popíšte.</w:t>
            </w:r>
          </w:p>
          <w:p w14:paraId="4A0AF269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1028C80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Ako ovplyvní cenu alebo dostupnosť základných zdrojov (suroviny, mechanizmy, pracovná sila, energie atď.)?</w:t>
            </w:r>
          </w:p>
          <w:p w14:paraId="79D4C29E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Ovplyvňuje prístup k financiám? Ak áno, ako?</w:t>
            </w:r>
          </w:p>
        </w:tc>
      </w:tr>
      <w:tr w:rsidR="009F2DFA" w:rsidRPr="00DF089C" w14:paraId="0549AE22" w14:textId="77777777" w:rsidTr="007E1542">
        <w:trPr>
          <w:trHeight w:val="326"/>
        </w:trPr>
        <w:tc>
          <w:tcPr>
            <w:tcW w:w="9212" w:type="dxa"/>
            <w:tcBorders>
              <w:bottom w:val="single" w:sz="4" w:space="0" w:color="auto"/>
            </w:tcBorders>
          </w:tcPr>
          <w:p w14:paraId="62B2ED62" w14:textId="77777777" w:rsidR="009F2DFA" w:rsidRPr="00DF089C" w:rsidRDefault="007C13D1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Nie.</w:t>
            </w:r>
          </w:p>
        </w:tc>
      </w:tr>
      <w:tr w:rsidR="009F2DFA" w:rsidRPr="00DF089C" w14:paraId="29298F84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6AA068B" w14:textId="77777777" w:rsidR="009F2DFA" w:rsidRPr="00DF089C" w:rsidRDefault="002B1108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3</w:t>
            </w:r>
            <w:r w:rsidR="009F2DFA" w:rsidRPr="00DF089C">
              <w:rPr>
                <w:b/>
              </w:rPr>
              <w:t xml:space="preserve">.5 Inovácie </w:t>
            </w:r>
          </w:p>
          <w:p w14:paraId="73CA0B89" w14:textId="77777777" w:rsidR="009F2DFA" w:rsidRPr="00DF089C" w:rsidRDefault="009F2DFA" w:rsidP="00DF089C">
            <w:pPr>
              <w:widowControl w:val="0"/>
              <w:rPr>
                <w:b/>
              </w:rPr>
            </w:pPr>
            <w:r w:rsidRPr="00DF089C">
              <w:t xml:space="preserve">       - </w:t>
            </w:r>
            <w:r w:rsidRPr="00DF089C">
              <w:rPr>
                <w:b/>
              </w:rPr>
              <w:t>z toho MSP</w:t>
            </w:r>
          </w:p>
        </w:tc>
      </w:tr>
      <w:tr w:rsidR="009F2DFA" w:rsidRPr="00DF089C" w14:paraId="7FD2C4F7" w14:textId="77777777" w:rsidTr="007B71A4">
        <w:tc>
          <w:tcPr>
            <w:tcW w:w="9212" w:type="dxa"/>
          </w:tcPr>
          <w:p w14:paraId="3A738176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Uveďte, ako podporuje navrhovaná zmena inovácie.</w:t>
            </w:r>
          </w:p>
          <w:p w14:paraId="7C3A62C8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Zjednodušuje uvedenie alebo rozšírenie nových výrobných metód, technológií a výrobkov na trh?</w:t>
            </w:r>
          </w:p>
          <w:p w14:paraId="66EC8778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 xml:space="preserve">Uveďte, ako vplýva navrhovaná zmena na </w:t>
            </w:r>
            <w:r w:rsidR="00904C9B" w:rsidRPr="00DF089C">
              <w:rPr>
                <w:i/>
              </w:rPr>
              <w:t xml:space="preserve">jednotlivé </w:t>
            </w:r>
            <w:r w:rsidRPr="00DF089C">
              <w:rPr>
                <w:i/>
              </w:rPr>
              <w:t>práva duševného vlastníctva (</w:t>
            </w:r>
            <w:r w:rsidR="00904C9B" w:rsidRPr="00DF089C">
              <w:rPr>
                <w:i/>
              </w:rPr>
              <w:t xml:space="preserve">napr. </w:t>
            </w:r>
            <w:r w:rsidRPr="00DF089C">
              <w:rPr>
                <w:i/>
              </w:rPr>
              <w:t xml:space="preserve">patenty, ochranné známky, </w:t>
            </w:r>
            <w:r w:rsidR="00904C9B" w:rsidRPr="00DF089C">
              <w:rPr>
                <w:i/>
              </w:rPr>
              <w:t>autorské práva</w:t>
            </w:r>
            <w:r w:rsidRPr="00DF089C">
              <w:rPr>
                <w:i/>
              </w:rPr>
              <w:t>, vlastníctvo know-how).</w:t>
            </w:r>
          </w:p>
          <w:p w14:paraId="1B15E754" w14:textId="77777777" w:rsidR="009F2DFA" w:rsidRPr="00DF089C" w:rsidRDefault="009F2DFA" w:rsidP="00DF089C">
            <w:pPr>
              <w:widowControl w:val="0"/>
              <w:rPr>
                <w:i/>
              </w:rPr>
            </w:pPr>
            <w:r w:rsidRPr="00DF089C">
              <w:rPr>
                <w:i/>
              </w:rPr>
              <w:t>Podporuje vyššiu efektivitu výroby/využívania zdrojov? Ak áno, ako?</w:t>
            </w:r>
          </w:p>
          <w:p w14:paraId="32584819" w14:textId="77777777" w:rsidR="00837639" w:rsidRPr="00DF089C" w:rsidRDefault="00837639" w:rsidP="00DF089C">
            <w:pPr>
              <w:widowControl w:val="0"/>
            </w:pPr>
            <w:r w:rsidRPr="00DF089C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DF089C" w14:paraId="19AA9845" w14:textId="77777777" w:rsidTr="007E1542">
        <w:trPr>
          <w:trHeight w:val="316"/>
        </w:trPr>
        <w:tc>
          <w:tcPr>
            <w:tcW w:w="9212" w:type="dxa"/>
          </w:tcPr>
          <w:p w14:paraId="53DB286C" w14:textId="77777777" w:rsidR="009F2DFA" w:rsidRPr="00DF089C" w:rsidRDefault="007E1542" w:rsidP="00DF089C">
            <w:pPr>
              <w:widowControl w:val="0"/>
              <w:rPr>
                <w:b/>
              </w:rPr>
            </w:pPr>
            <w:r w:rsidRPr="00DF089C">
              <w:rPr>
                <w:b/>
              </w:rPr>
              <w:t>Nie.</w:t>
            </w:r>
          </w:p>
        </w:tc>
      </w:tr>
    </w:tbl>
    <w:p w14:paraId="6070314B" w14:textId="3D112F56" w:rsidR="00CB3623" w:rsidRPr="00DF089C" w:rsidRDefault="00CB3623" w:rsidP="00DF089C">
      <w:pPr>
        <w:widowControl w:val="0"/>
      </w:pPr>
    </w:p>
    <w:sectPr w:rsidR="00CB3623" w:rsidRPr="00DF089C" w:rsidSect="00DF089C">
      <w:footerReference w:type="default" r:id="rId9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3E0E" w14:textId="77777777" w:rsidR="00226B74" w:rsidRDefault="00226B74" w:rsidP="009F2DFA">
      <w:r>
        <w:separator/>
      </w:r>
    </w:p>
  </w:endnote>
  <w:endnote w:type="continuationSeparator" w:id="0">
    <w:p w14:paraId="5B8F98A6" w14:textId="77777777" w:rsidR="00226B74" w:rsidRDefault="00226B7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291797272"/>
      <w:docPartObj>
        <w:docPartGallery w:val="Page Numbers (Bottom of Page)"/>
        <w:docPartUnique/>
      </w:docPartObj>
    </w:sdtPr>
    <w:sdtContent>
      <w:p w14:paraId="6723B367" w14:textId="4F304164" w:rsidR="009F2DFA" w:rsidRPr="00DF089C" w:rsidRDefault="00DF089C" w:rsidP="00DF089C">
        <w:pPr>
          <w:pStyle w:val="Pta"/>
          <w:jc w:val="center"/>
          <w:rPr>
            <w:sz w:val="24"/>
          </w:rPr>
        </w:pPr>
        <w:r w:rsidRPr="00DF089C">
          <w:rPr>
            <w:sz w:val="24"/>
          </w:rPr>
          <w:fldChar w:fldCharType="begin"/>
        </w:r>
        <w:r w:rsidRPr="00DF089C">
          <w:rPr>
            <w:sz w:val="24"/>
          </w:rPr>
          <w:instrText>PAGE   \* MERGEFORMAT</w:instrText>
        </w:r>
        <w:r w:rsidRPr="00DF089C">
          <w:rPr>
            <w:sz w:val="24"/>
          </w:rPr>
          <w:fldChar w:fldCharType="separate"/>
        </w:r>
        <w:r>
          <w:rPr>
            <w:noProof/>
            <w:sz w:val="24"/>
          </w:rPr>
          <w:t>8</w:t>
        </w:r>
        <w:r w:rsidRPr="00DF089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ED0F" w14:textId="77777777" w:rsidR="00226B74" w:rsidRDefault="00226B74" w:rsidP="009F2DFA">
      <w:r>
        <w:separator/>
      </w:r>
    </w:p>
  </w:footnote>
  <w:footnote w:type="continuationSeparator" w:id="0">
    <w:p w14:paraId="72FBE9FA" w14:textId="77777777" w:rsidR="00226B74" w:rsidRDefault="00226B74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9011F"/>
    <w:rsid w:val="00097BB6"/>
    <w:rsid w:val="00154881"/>
    <w:rsid w:val="00164F77"/>
    <w:rsid w:val="00215EE8"/>
    <w:rsid w:val="00224277"/>
    <w:rsid w:val="00225D12"/>
    <w:rsid w:val="00226B74"/>
    <w:rsid w:val="002B1108"/>
    <w:rsid w:val="002C54AF"/>
    <w:rsid w:val="00357C26"/>
    <w:rsid w:val="003869FB"/>
    <w:rsid w:val="00427BF7"/>
    <w:rsid w:val="004849F4"/>
    <w:rsid w:val="004C6363"/>
    <w:rsid w:val="004F7289"/>
    <w:rsid w:val="00514F2D"/>
    <w:rsid w:val="0052297F"/>
    <w:rsid w:val="0074051A"/>
    <w:rsid w:val="00780BA6"/>
    <w:rsid w:val="007C13D1"/>
    <w:rsid w:val="007E1542"/>
    <w:rsid w:val="00837639"/>
    <w:rsid w:val="00843239"/>
    <w:rsid w:val="00857518"/>
    <w:rsid w:val="00893D95"/>
    <w:rsid w:val="008A1252"/>
    <w:rsid w:val="008B5470"/>
    <w:rsid w:val="00904C9B"/>
    <w:rsid w:val="009A1693"/>
    <w:rsid w:val="009C2AFE"/>
    <w:rsid w:val="009F2DFA"/>
    <w:rsid w:val="00B31A8E"/>
    <w:rsid w:val="00B476F0"/>
    <w:rsid w:val="00BA073A"/>
    <w:rsid w:val="00BE1941"/>
    <w:rsid w:val="00BF064B"/>
    <w:rsid w:val="00CB3623"/>
    <w:rsid w:val="00CF1A86"/>
    <w:rsid w:val="00D842D2"/>
    <w:rsid w:val="00DA2440"/>
    <w:rsid w:val="00DF089C"/>
    <w:rsid w:val="00E86AD1"/>
    <w:rsid w:val="00F41620"/>
    <w:rsid w:val="00F45B53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5EA0"/>
  <w15:docId w15:val="{2C962219-0341-4FC2-9EEC-B9B25316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9011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F7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728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728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7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728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r.sk/aktualne/predbezna-informacia/158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--vplyv-na-podnikateľské-prostredie"/>
    <f:field ref="objsubject" par="" edit="true" text=""/>
    <f:field ref="objcreatedby" par="" text="Ivankovičová, Jana, JUDr."/>
    <f:field ref="objcreatedat" par="" text="26.5.2021 15:55:47"/>
    <f:field ref="objchangedby" par="" text="Administrator, System"/>
    <f:field ref="objmodifiedat" par="" text="26.5.2021 15:55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eva.mrugova@land.gov.sk</dc:creator>
  <cp:keywords/>
  <dc:description/>
  <cp:lastModifiedBy>Illáš Martin</cp:lastModifiedBy>
  <cp:revision>3</cp:revision>
  <dcterms:created xsi:type="dcterms:W3CDTF">2021-04-15T10:55:00Z</dcterms:created>
  <dcterms:modified xsi:type="dcterms:W3CDTF">2021-09-06T18:14:00Z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9051/2021-410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26. 5. 2021</vt:lpwstr>
  </property>
  <property fmtid="{D5CDD505-2E9C-101B-9397-08002B2CF9AE}" pid="151" name="FSC#COOSYSTEM@1.1:Container">
    <vt:lpwstr>COO.2145.1000.3.4383935</vt:lpwstr>
  </property>
  <property fmtid="{D5CDD505-2E9C-101B-9397-08002B2CF9AE}" pid="152" name="FSC#FSCFOLIO@1.1001:docpropproject">
    <vt:lpwstr/>
  </property>
</Properties>
</file>