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26D7" w14:textId="15921542" w:rsidR="00605F3C" w:rsidRDefault="00605F3C" w:rsidP="00F2534D">
      <w:pPr>
        <w:pStyle w:val="Nzov"/>
      </w:pPr>
      <w:r w:rsidRPr="00903474">
        <w:t>Dôvodová správa</w:t>
      </w:r>
    </w:p>
    <w:p w14:paraId="204641F8" w14:textId="77777777" w:rsidR="008732E7" w:rsidRPr="00903474" w:rsidRDefault="008732E7" w:rsidP="00F2534D">
      <w:pPr>
        <w:pStyle w:val="Nzov"/>
        <w:jc w:val="both"/>
      </w:pPr>
    </w:p>
    <w:p w14:paraId="54C6408A" w14:textId="7E99E742" w:rsidR="006E362E" w:rsidRDefault="006E362E" w:rsidP="00F2534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176A867" w14:textId="512297DC" w:rsidR="008F6C49" w:rsidRPr="008F6C49" w:rsidRDefault="008F6C49" w:rsidP="00F2534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8F6C49">
        <w:t xml:space="preserve">Návrh zákona, ktorým sa mení a dopĺňa zákon č. 139/1998 Z. z. o omamných látkach, psychotropných látkach a prípravkoch v znení neskorších predpisov (ďalej len „návrh zákona“) sa predkladá na základe  úlohy č. 11 v mesiaci október z Plánu legislatívnych úloh vlády SR na mesiace jún až december 2021. </w:t>
      </w:r>
    </w:p>
    <w:p w14:paraId="10DDFA18" w14:textId="247DFC43" w:rsidR="00161435" w:rsidRDefault="008F6C49" w:rsidP="006E362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8F6C49">
        <w:t xml:space="preserve">Cieľom návrhu zákona je doplniť prílohu č. 1 zákona č. 139/1998 Z. z. o omamných látkach, psychotropných látkach a prípravkoch v znení neskorších predpisov (ďalej len „zákon č. 139/1998 Z. z.“) o sedem psychotropných látok I. skupiny  na základe rozhodnutia prijatého na 64. zasadnutí Komisie pre omamné látky Úradu OSN pre omamné látky a kriminalitu v dňoch 12. 4. až 16. 4. 2021 (UNODC - United </w:t>
      </w:r>
      <w:proofErr w:type="spellStart"/>
      <w:r w:rsidRPr="008F6C49">
        <w:t>Nations</w:t>
      </w:r>
      <w:proofErr w:type="spellEnd"/>
      <w:r w:rsidRPr="008F6C49">
        <w:t xml:space="preserve"> Office on </w:t>
      </w:r>
      <w:proofErr w:type="spellStart"/>
      <w:r w:rsidRPr="008F6C49">
        <w:t>Drugs</w:t>
      </w:r>
      <w:proofErr w:type="spellEnd"/>
      <w:r w:rsidRPr="008F6C49">
        <w:t xml:space="preserve"> and </w:t>
      </w:r>
      <w:proofErr w:type="spellStart"/>
      <w:r w:rsidRPr="008F6C49">
        <w:t>Crime</w:t>
      </w:r>
      <w:proofErr w:type="spellEnd"/>
      <w:r w:rsidRPr="008F6C49">
        <w:t>). Toto rozhodnutie bolo prijaté na základe hodnotenia odborného výboru pre drogovú závislosť Svetovej zdravotníckej organizácie.</w:t>
      </w:r>
      <w:r>
        <w:t xml:space="preserve"> </w:t>
      </w:r>
      <w:r w:rsidRPr="008F6C49">
        <w:t xml:space="preserve">Ďalej sa navrhuje zaradiť medzi psychotropné látky I. skupiny dve nové </w:t>
      </w:r>
      <w:proofErr w:type="spellStart"/>
      <w:r w:rsidRPr="008F6C49">
        <w:t>psychoaktívne</w:t>
      </w:r>
      <w:proofErr w:type="spellEnd"/>
      <w:r w:rsidRPr="008F6C49">
        <w:t xml:space="preserve"> látky na základe delegovanej smernice Komisie (EÚ) 2021/802 z 12. marca 2021, </w:t>
      </w:r>
      <w:r w:rsidR="008732E7" w:rsidRPr="008732E7">
        <w:t xml:space="preserve">ktorou sa mení príloha k rámcovému rozhodnutiu Rady 2004/757/SVV, pokiaľ ide o zaradenie nových </w:t>
      </w:r>
      <w:proofErr w:type="spellStart"/>
      <w:r w:rsidR="008732E7" w:rsidRPr="008732E7">
        <w:t>psychoaktívnych</w:t>
      </w:r>
      <w:proofErr w:type="spellEnd"/>
      <w:r w:rsidR="008732E7" w:rsidRPr="008732E7">
        <w:t xml:space="preserve"> látok metyl-3,3-dimetyl-2-{[1-(pent-4-én-1-yl)-1H-indazol-3-karbonyl]amino}butanoát (MDMB-4en-PINACA) a metyl-2-{[1-(4-fluórbutyl)-1H-indol-3-karbonyl]amino}-3,3-dimetylbutanoát (4F-MDMB-BICA) do vymedzenia pojmu drogy (Ú. v. EÚ L 178, 20. 5. 2021)</w:t>
      </w:r>
      <w:r w:rsidR="008732E7">
        <w:t>,</w:t>
      </w:r>
      <w:r w:rsidR="004D59F5">
        <w:t xml:space="preserve"> </w:t>
      </w:r>
      <w:r w:rsidRPr="008F6C49">
        <w:t xml:space="preserve">(ďalej len „smernica (EÚ) 2021/802“). </w:t>
      </w:r>
    </w:p>
    <w:p w14:paraId="7E770402" w14:textId="5D664918" w:rsidR="008F6C49" w:rsidRDefault="008F6C49" w:rsidP="00F2534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8F6C49">
        <w:t xml:space="preserve">Tieto dve nové </w:t>
      </w:r>
      <w:proofErr w:type="spellStart"/>
      <w:r w:rsidRPr="008F6C49">
        <w:t>psychoaktívne</w:t>
      </w:r>
      <w:proofErr w:type="spellEnd"/>
      <w:r w:rsidRPr="008F6C49">
        <w:t xml:space="preserve"> látky sa navrhujú zaradiť medzi psychotropné látky I. skupiny aj na základe rozhodnutia prijatého na 64. zasadnutí Komisie pre omamné látky Úradu OSN pre omamné látky a kriminalitu v dňoch 12. 4. až 16. 4. 2021 (UNODC - United </w:t>
      </w:r>
      <w:proofErr w:type="spellStart"/>
      <w:r w:rsidRPr="008F6C49">
        <w:t>Nations</w:t>
      </w:r>
      <w:proofErr w:type="spellEnd"/>
      <w:r w:rsidRPr="008F6C49">
        <w:t xml:space="preserve"> Office on </w:t>
      </w:r>
      <w:proofErr w:type="spellStart"/>
      <w:r w:rsidRPr="008F6C49">
        <w:t>Drugs</w:t>
      </w:r>
      <w:proofErr w:type="spellEnd"/>
      <w:r w:rsidRPr="008F6C49">
        <w:t xml:space="preserve"> and </w:t>
      </w:r>
      <w:proofErr w:type="spellStart"/>
      <w:r w:rsidRPr="008F6C49">
        <w:t>Crime</w:t>
      </w:r>
      <w:proofErr w:type="spellEnd"/>
      <w:r w:rsidRPr="008F6C49">
        <w:t>).</w:t>
      </w:r>
    </w:p>
    <w:p w14:paraId="7E482E25" w14:textId="77777777" w:rsidR="0012097D" w:rsidRDefault="008F6C49" w:rsidP="00F2534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8F6C49">
        <w:t xml:space="preserve">Navrhuje sa tiež preradiť omamnú látku </w:t>
      </w:r>
      <w:proofErr w:type="spellStart"/>
      <w:r w:rsidRPr="008F6C49">
        <w:t>Izotonitazén</w:t>
      </w:r>
      <w:proofErr w:type="spellEnd"/>
      <w:r w:rsidRPr="008F6C49">
        <w:t xml:space="preserve"> z II. skupiny omamných látok do I. skupiny omamných látok, pretože táto omamná látka nemá terapeutické použitie a podľa § 3 ods. 2 zákona č. 139/1998 Z. z.. </w:t>
      </w:r>
      <w:proofErr w:type="spellStart"/>
      <w:r w:rsidR="00960782">
        <w:t>Izotonitazén</w:t>
      </w:r>
      <w:proofErr w:type="spellEnd"/>
      <w:r w:rsidR="00960782">
        <w:t xml:space="preserve"> bol zaradený medzi omamné látky II. skupiny na základe poslaneckého pozmeňovacieho návrhu zákona pri schvaľovaní zákona č. 124/2021 Z. z., ktorým </w:t>
      </w:r>
      <w:r w:rsidR="00960782" w:rsidRPr="00960782">
        <w:t>sa mení a dopĺňa zákon č. 139/1998 Z.</w:t>
      </w:r>
      <w:r w:rsidR="00960782">
        <w:t xml:space="preserve"> </w:t>
      </w:r>
      <w:r w:rsidR="00960782" w:rsidRPr="00960782">
        <w:t>z. o omamných látkach, psychotropných látkach a prípravkoch v znení neskorších predpisov a ktorým sa mení a dopĺňa zákon č. 374/2018 Z.</w:t>
      </w:r>
      <w:r w:rsidR="00960782">
        <w:t xml:space="preserve"> </w:t>
      </w:r>
      <w:r w:rsidR="00960782" w:rsidRPr="00960782">
        <w:t>z., ktorým sa mení a dopĺňa zákon č. 153/2013 Z.</w:t>
      </w:r>
      <w:r w:rsidR="00960782">
        <w:t xml:space="preserve"> </w:t>
      </w:r>
      <w:r w:rsidR="00960782" w:rsidRPr="00960782">
        <w:t>z. o národnom zdravotníckom informačnom systéme a o zmene a doplnení niektorých zákonov v znení neskorších predpisov a ktorým sa menia a dopĺňajú niektoré zákony</w:t>
      </w:r>
      <w:r w:rsidR="00960782">
        <w:t xml:space="preserve">. Poslanecký pozmeňovací návrh zákona bol predložený na základe </w:t>
      </w:r>
      <w:r w:rsidR="00960782" w:rsidRPr="00A8519B">
        <w:t xml:space="preserve">delegovanej smernice Komisie </w:t>
      </w:r>
      <w:r w:rsidR="00960782" w:rsidRPr="00A8519B">
        <w:rPr>
          <w:color w:val="000000"/>
        </w:rPr>
        <w:t xml:space="preserve">(EÚ) 2021/802 </w:t>
      </w:r>
      <w:r w:rsidR="00960782" w:rsidRPr="00E06359">
        <w:rPr>
          <w:color w:val="000000"/>
        </w:rPr>
        <w:t>z 12. marca 2021</w:t>
      </w:r>
      <w:r w:rsidR="00960782">
        <w:rPr>
          <w:color w:val="000000"/>
        </w:rPr>
        <w:t xml:space="preserve">, </w:t>
      </w:r>
      <w:r w:rsidR="00155AF7" w:rsidRPr="00155AF7">
        <w:rPr>
          <w:rStyle w:val="Textzstupnhosymbolu1"/>
          <w:rFonts w:eastAsiaTheme="majorEastAsia"/>
          <w:color w:val="000000"/>
        </w:rPr>
        <w:t xml:space="preserve">ktorou </w:t>
      </w:r>
      <w:r w:rsidR="00155AF7" w:rsidRPr="00155AF7">
        <w:rPr>
          <w:rStyle w:val="Textzstupnhosymbolu1"/>
          <w:rFonts w:eastAsiaTheme="majorEastAsia"/>
          <w:color w:val="000000"/>
        </w:rPr>
        <w:lastRenderedPageBreak/>
        <w:t>sa mení príloha k rámcovému rozhodnutiu Rady 2004/757/SVV, pokiaľ ide o zaradenie nových psychoaktívnych látok metyl-3,3-dimetyl-2-{[1-(pent-4-én-1-yl)-1H-indazol-3-karbonyl]amino}butanoát (MDMB-4en-PINACA) a metyl-2-{[1-(4-fluórbutyl)-1H-indol-3-karbonyl]amino}-3,3-dimetylbutanoát (4F-MDMB-BICA) do vymedzenia pojmu drogy (Ú. v. EÚ L 178, 20. 5. 2021)“</w:t>
      </w:r>
      <w:r w:rsidR="00155AF7">
        <w:rPr>
          <w:rStyle w:val="Textzstupnhosymbolu1"/>
          <w:rFonts w:eastAsiaTheme="majorEastAsia"/>
          <w:color w:val="000000"/>
        </w:rPr>
        <w:t xml:space="preserve">, </w:t>
      </w:r>
      <w:r w:rsidR="00960782">
        <w:rPr>
          <w:color w:val="000000"/>
        </w:rPr>
        <w:t xml:space="preserve">ktorou sa </w:t>
      </w:r>
      <w:proofErr w:type="spellStart"/>
      <w:r w:rsidR="00960782">
        <w:rPr>
          <w:color w:val="000000"/>
        </w:rPr>
        <w:t>izotonitazén</w:t>
      </w:r>
      <w:proofErr w:type="spellEnd"/>
      <w:r w:rsidR="00960782">
        <w:rPr>
          <w:color w:val="000000"/>
        </w:rPr>
        <w:t xml:space="preserve"> zaradil medzi omamné látky.</w:t>
      </w:r>
      <w:r w:rsidRPr="008F6C49">
        <w:t xml:space="preserve"> </w:t>
      </w:r>
    </w:p>
    <w:p w14:paraId="5B6DF3FE" w14:textId="3348789F" w:rsidR="005D210C" w:rsidRDefault="008F6C49" w:rsidP="00F2534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F6C49">
        <w:rPr>
          <w:color w:val="000000"/>
        </w:rPr>
        <w:t>V prílohe č. 3 zákona č. 139/1998 Z. z. sa dopĺňa zoznam preberaných právne záväzných aktov Európskej únie.</w:t>
      </w:r>
    </w:p>
    <w:p w14:paraId="24363233" w14:textId="77777777" w:rsidR="00D32F11" w:rsidRPr="00903474" w:rsidRDefault="00D32F11" w:rsidP="00F2534D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bookmarkStart w:id="0" w:name="_GoBack"/>
      <w:bookmarkEnd w:id="0"/>
      <w:r w:rsidRPr="00903474">
        <w:rPr>
          <w:rStyle w:val="Textzstupnhosymbolu1"/>
          <w:rFonts w:eastAsiaTheme="majorEastAsia"/>
          <w:color w:val="000000"/>
        </w:rPr>
        <w:t>Nie je dôvod nesprístupňovania návrhu zákona.</w:t>
      </w:r>
    </w:p>
    <w:p w14:paraId="4E30A54B" w14:textId="77777777" w:rsidR="00D32F11" w:rsidRPr="00903474" w:rsidRDefault="00D32F11" w:rsidP="00F2534D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nie je predmetom </w:t>
      </w:r>
      <w:proofErr w:type="spellStart"/>
      <w:r w:rsidRPr="00903474">
        <w:rPr>
          <w:rStyle w:val="Textzstupnhosymbolu1"/>
          <w:rFonts w:eastAsiaTheme="majorEastAsia"/>
          <w:color w:val="000000"/>
        </w:rPr>
        <w:t>vnútrokomunitárneho</w:t>
      </w:r>
      <w:proofErr w:type="spellEnd"/>
      <w:r w:rsidRPr="00903474">
        <w:rPr>
          <w:rStyle w:val="Textzstupnhosymbolu1"/>
          <w:rFonts w:eastAsiaTheme="majorEastAsia"/>
          <w:color w:val="000000"/>
        </w:rPr>
        <w:t xml:space="preserve"> pripomienkového konania.     </w:t>
      </w:r>
    </w:p>
    <w:p w14:paraId="3B421520" w14:textId="6FBD33C6" w:rsidR="00E85994" w:rsidRPr="00903474" w:rsidRDefault="00E85994" w:rsidP="00F2534D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903474">
        <w:t>Návrh zákona nemá vplyvy na rozpočet verejnej správy, vplyvy na podnikateľské prostredie, sociálne vplyvy, vplyvy na životné prostredie, vplyvy na informatizáciu spoločnosti,</w:t>
      </w:r>
      <w:r w:rsidR="00B35500">
        <w:t xml:space="preserve"> </w:t>
      </w:r>
      <w:r w:rsidRPr="00903474">
        <w:t>vplyvy na služby verejnej správy pre občana</w:t>
      </w:r>
      <w:r w:rsidR="00B35500">
        <w:t xml:space="preserve"> ani</w:t>
      </w:r>
      <w:r w:rsidR="00B35500" w:rsidRPr="00B35500">
        <w:t xml:space="preserve"> vplyvy na manželstvo, rodičovstvo a</w:t>
      </w:r>
      <w:r w:rsidR="00B35500">
        <w:t> </w:t>
      </w:r>
      <w:r w:rsidR="00B35500" w:rsidRPr="00B35500">
        <w:t>rodinu</w:t>
      </w:r>
      <w:r w:rsidR="00B35500">
        <w:t>.</w:t>
      </w:r>
    </w:p>
    <w:p w14:paraId="71312F29" w14:textId="77777777" w:rsidR="00A94E46" w:rsidRDefault="00454F1A" w:rsidP="00F2534D">
      <w:pPr>
        <w:spacing w:line="360" w:lineRule="auto"/>
        <w:ind w:firstLine="567"/>
        <w:jc w:val="both"/>
        <w:rPr>
          <w:rStyle w:val="Textzstupnhosymbolu1"/>
          <w:rFonts w:eastAsiaTheme="majorEastAsia" w:cs="EUAlbertina"/>
          <w:color w:val="000000"/>
          <w:lang w:eastAsia="en-US"/>
        </w:rPr>
      </w:pPr>
      <w:r>
        <w:rPr>
          <w:rStyle w:val="Textzstupnhosymbolu1"/>
          <w:rFonts w:eastAsiaTheme="majorEastAsia"/>
          <w:color w:val="000000"/>
        </w:rPr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3D5AEE">
        <w:rPr>
          <w:rStyle w:val="Textzstupnhosymbolu1"/>
          <w:rFonts w:eastAsiaTheme="majorEastAsia"/>
          <w:color w:val="000000"/>
        </w:rPr>
        <w:t xml:space="preserve"> ústavnými zákonmi a nálezmi ústavného súdu, </w:t>
      </w:r>
      <w:r w:rsidR="00A86F26" w:rsidRPr="0004398A">
        <w:rPr>
          <w:rStyle w:val="Textzstupnhosymbolu1"/>
          <w:rFonts w:eastAsiaTheme="majorEastAsia"/>
          <w:color w:val="auto"/>
        </w:rPr>
        <w:t>zákonmi Slovenskej republiky a ostatnými všeobecne záväznými právnymi predpismi</w:t>
      </w:r>
      <w:r w:rsidR="00D32F11" w:rsidRPr="00903474">
        <w:rPr>
          <w:rStyle w:val="Textzstupnhosymbolu1"/>
          <w:rFonts w:eastAsiaTheme="majorEastAsia"/>
          <w:color w:val="000000"/>
        </w:rPr>
        <w:t>, s medzinárodnými zmluvami a inými medzinárodnými dokumentmi, ktorými je Slovenská republika viazaná.</w:t>
      </w:r>
    </w:p>
    <w:p w14:paraId="06EB1D20" w14:textId="073B2D78" w:rsidR="00A033AD" w:rsidRDefault="00D32F11" w:rsidP="00F2534D">
      <w:pPr>
        <w:spacing w:line="360" w:lineRule="auto"/>
        <w:ind w:firstLine="567"/>
        <w:jc w:val="both"/>
      </w:pPr>
      <w:r w:rsidRPr="00903474">
        <w:rPr>
          <w:rStyle w:val="Textzstupnhosymbolu1"/>
          <w:rFonts w:eastAsiaTheme="majorEastAsia"/>
          <w:color w:val="000000"/>
        </w:rPr>
        <w:t>Návrh zákona je v súlade s</w:t>
      </w:r>
      <w:r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p w14:paraId="74E27C77" w14:textId="2FCDDFEF" w:rsidR="00B35500" w:rsidRDefault="00B35500" w:rsidP="00F2534D">
      <w:pPr>
        <w:spacing w:line="360" w:lineRule="auto"/>
        <w:ind w:firstLine="567"/>
        <w:jc w:val="both"/>
      </w:pPr>
    </w:p>
    <w:p w14:paraId="1798CA02" w14:textId="741EFC80" w:rsidR="00B35500" w:rsidRPr="006C3D83" w:rsidRDefault="00B35500" w:rsidP="00F2534D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</w:p>
    <w:sectPr w:rsidR="00B35500" w:rsidRPr="006C3D83" w:rsidSect="00A83D3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867A" w14:textId="77777777" w:rsidR="00554297" w:rsidRDefault="00554297">
      <w:r>
        <w:separator/>
      </w:r>
    </w:p>
  </w:endnote>
  <w:endnote w:type="continuationSeparator" w:id="0">
    <w:p w14:paraId="3615E6D8" w14:textId="77777777" w:rsidR="00554297" w:rsidRDefault="0055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E80B" w14:textId="6F14B5BA" w:rsidR="00A83D3E" w:rsidRDefault="00A83D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0360B">
      <w:rPr>
        <w:noProof/>
      </w:rPr>
      <w:t>2</w:t>
    </w:r>
    <w:r>
      <w:fldChar w:fldCharType="end"/>
    </w:r>
  </w:p>
  <w:p w14:paraId="1F62B87A" w14:textId="77777777"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ADAD" w14:textId="77777777" w:rsidR="00554297" w:rsidRDefault="00554297">
      <w:r>
        <w:separator/>
      </w:r>
    </w:p>
  </w:footnote>
  <w:footnote w:type="continuationSeparator" w:id="0">
    <w:p w14:paraId="0D5CF5D6" w14:textId="77777777" w:rsidR="00554297" w:rsidRDefault="0055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064E7"/>
    <w:rsid w:val="00026B8A"/>
    <w:rsid w:val="00030474"/>
    <w:rsid w:val="0004398A"/>
    <w:rsid w:val="000665ED"/>
    <w:rsid w:val="00080C07"/>
    <w:rsid w:val="000B1FCB"/>
    <w:rsid w:val="000B4B2C"/>
    <w:rsid w:val="000B635C"/>
    <w:rsid w:val="000C0F0A"/>
    <w:rsid w:val="000C1A71"/>
    <w:rsid w:val="000D12AE"/>
    <w:rsid w:val="000D4E41"/>
    <w:rsid w:val="000E54B0"/>
    <w:rsid w:val="001102C4"/>
    <w:rsid w:val="0012097D"/>
    <w:rsid w:val="00155AF7"/>
    <w:rsid w:val="00161435"/>
    <w:rsid w:val="00195B2A"/>
    <w:rsid w:val="001D4F64"/>
    <w:rsid w:val="001D57D5"/>
    <w:rsid w:val="00202880"/>
    <w:rsid w:val="00235454"/>
    <w:rsid w:val="00251199"/>
    <w:rsid w:val="00256300"/>
    <w:rsid w:val="0026076E"/>
    <w:rsid w:val="00290250"/>
    <w:rsid w:val="002A5DF9"/>
    <w:rsid w:val="002C5660"/>
    <w:rsid w:val="002D78EA"/>
    <w:rsid w:val="0030701C"/>
    <w:rsid w:val="00320508"/>
    <w:rsid w:val="00330082"/>
    <w:rsid w:val="0033576E"/>
    <w:rsid w:val="003729CB"/>
    <w:rsid w:val="003868ED"/>
    <w:rsid w:val="00390CC1"/>
    <w:rsid w:val="003A6EE9"/>
    <w:rsid w:val="003B53AD"/>
    <w:rsid w:val="003D5AEE"/>
    <w:rsid w:val="003F29D9"/>
    <w:rsid w:val="003F70FA"/>
    <w:rsid w:val="00454F1A"/>
    <w:rsid w:val="004756CA"/>
    <w:rsid w:val="004B0D67"/>
    <w:rsid w:val="004B280C"/>
    <w:rsid w:val="004B51C7"/>
    <w:rsid w:val="004C6E3B"/>
    <w:rsid w:val="004D59F5"/>
    <w:rsid w:val="0052144E"/>
    <w:rsid w:val="00522CB6"/>
    <w:rsid w:val="00533177"/>
    <w:rsid w:val="00554297"/>
    <w:rsid w:val="00556940"/>
    <w:rsid w:val="00567D34"/>
    <w:rsid w:val="005833A5"/>
    <w:rsid w:val="00595720"/>
    <w:rsid w:val="005A445F"/>
    <w:rsid w:val="005A67F0"/>
    <w:rsid w:val="005D210C"/>
    <w:rsid w:val="005D339F"/>
    <w:rsid w:val="005D7DEE"/>
    <w:rsid w:val="005E4458"/>
    <w:rsid w:val="005E7CAD"/>
    <w:rsid w:val="005F00E9"/>
    <w:rsid w:val="005F5585"/>
    <w:rsid w:val="00605F3C"/>
    <w:rsid w:val="0060782E"/>
    <w:rsid w:val="00615A43"/>
    <w:rsid w:val="00633915"/>
    <w:rsid w:val="00633B65"/>
    <w:rsid w:val="00653A85"/>
    <w:rsid w:val="00666E6C"/>
    <w:rsid w:val="006A2AAB"/>
    <w:rsid w:val="006B10DF"/>
    <w:rsid w:val="006C2931"/>
    <w:rsid w:val="006C3D83"/>
    <w:rsid w:val="006E362E"/>
    <w:rsid w:val="006F1977"/>
    <w:rsid w:val="00716091"/>
    <w:rsid w:val="007259D2"/>
    <w:rsid w:val="00726356"/>
    <w:rsid w:val="007331DD"/>
    <w:rsid w:val="00740672"/>
    <w:rsid w:val="00742F31"/>
    <w:rsid w:val="007809FE"/>
    <w:rsid w:val="007831C1"/>
    <w:rsid w:val="00786A4A"/>
    <w:rsid w:val="00790E49"/>
    <w:rsid w:val="007936A2"/>
    <w:rsid w:val="00793D38"/>
    <w:rsid w:val="007C6F61"/>
    <w:rsid w:val="007E0763"/>
    <w:rsid w:val="007F277D"/>
    <w:rsid w:val="007F640D"/>
    <w:rsid w:val="00804AE6"/>
    <w:rsid w:val="00806FA6"/>
    <w:rsid w:val="00807378"/>
    <w:rsid w:val="00815B2D"/>
    <w:rsid w:val="00846152"/>
    <w:rsid w:val="008536D8"/>
    <w:rsid w:val="00856AF4"/>
    <w:rsid w:val="00864A73"/>
    <w:rsid w:val="008732E7"/>
    <w:rsid w:val="00891844"/>
    <w:rsid w:val="008B07F7"/>
    <w:rsid w:val="008D1F66"/>
    <w:rsid w:val="008F614E"/>
    <w:rsid w:val="008F6C49"/>
    <w:rsid w:val="00903474"/>
    <w:rsid w:val="00912724"/>
    <w:rsid w:val="0094393A"/>
    <w:rsid w:val="00960782"/>
    <w:rsid w:val="00961E12"/>
    <w:rsid w:val="009804CD"/>
    <w:rsid w:val="00980611"/>
    <w:rsid w:val="00990F5E"/>
    <w:rsid w:val="009C02BB"/>
    <w:rsid w:val="009C3713"/>
    <w:rsid w:val="009D6FBE"/>
    <w:rsid w:val="00A033AD"/>
    <w:rsid w:val="00A05468"/>
    <w:rsid w:val="00A16340"/>
    <w:rsid w:val="00A16392"/>
    <w:rsid w:val="00A236FB"/>
    <w:rsid w:val="00A3008A"/>
    <w:rsid w:val="00A31B56"/>
    <w:rsid w:val="00A73410"/>
    <w:rsid w:val="00A76645"/>
    <w:rsid w:val="00A83D3E"/>
    <w:rsid w:val="00A86F26"/>
    <w:rsid w:val="00A94E46"/>
    <w:rsid w:val="00AA7348"/>
    <w:rsid w:val="00B1376D"/>
    <w:rsid w:val="00B32EDA"/>
    <w:rsid w:val="00B35500"/>
    <w:rsid w:val="00B520C0"/>
    <w:rsid w:val="00B734D6"/>
    <w:rsid w:val="00BB07B8"/>
    <w:rsid w:val="00BC4AD2"/>
    <w:rsid w:val="00BE3622"/>
    <w:rsid w:val="00BE7305"/>
    <w:rsid w:val="00C172B5"/>
    <w:rsid w:val="00C23138"/>
    <w:rsid w:val="00C260D8"/>
    <w:rsid w:val="00C41E0B"/>
    <w:rsid w:val="00C44D05"/>
    <w:rsid w:val="00C76A1D"/>
    <w:rsid w:val="00C82BB3"/>
    <w:rsid w:val="00C9707D"/>
    <w:rsid w:val="00CA3507"/>
    <w:rsid w:val="00CB144C"/>
    <w:rsid w:val="00CB3568"/>
    <w:rsid w:val="00CF3A69"/>
    <w:rsid w:val="00CF6368"/>
    <w:rsid w:val="00D0360B"/>
    <w:rsid w:val="00D32F11"/>
    <w:rsid w:val="00D44AEE"/>
    <w:rsid w:val="00D77C53"/>
    <w:rsid w:val="00DD6E3E"/>
    <w:rsid w:val="00DF0DF1"/>
    <w:rsid w:val="00DF4E86"/>
    <w:rsid w:val="00E06350"/>
    <w:rsid w:val="00E1251F"/>
    <w:rsid w:val="00E2396C"/>
    <w:rsid w:val="00E2587C"/>
    <w:rsid w:val="00E413E1"/>
    <w:rsid w:val="00E518FB"/>
    <w:rsid w:val="00E5323A"/>
    <w:rsid w:val="00E75EC3"/>
    <w:rsid w:val="00E85994"/>
    <w:rsid w:val="00E91B50"/>
    <w:rsid w:val="00E946CC"/>
    <w:rsid w:val="00E97B8E"/>
    <w:rsid w:val="00EE0137"/>
    <w:rsid w:val="00EF04BB"/>
    <w:rsid w:val="00F103CF"/>
    <w:rsid w:val="00F2534D"/>
    <w:rsid w:val="00F52115"/>
    <w:rsid w:val="00F56C23"/>
    <w:rsid w:val="00F72780"/>
    <w:rsid w:val="00F814C4"/>
    <w:rsid w:val="00FA6FC2"/>
    <w:rsid w:val="00FE757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17C4"/>
  <w14:defaultImageDpi w14:val="0"/>
  <w15:docId w15:val="{3B8DDBB9-525C-4D00-8808-F45CFB4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všeobecná"/>
    <f:field ref="objsubject" par="" edit="true" text=""/>
    <f:field ref="objcreatedby" par="" text="Bugyiová, Veronika"/>
    <f:field ref="objcreatedat" par="" text="20.8.2021 16:05:42"/>
    <f:field ref="objchangedby" par="" text="Administrator, System"/>
    <f:field ref="objmodifiedat" par="" text="20.8.2021 16:05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Bugyiová Veronika</cp:lastModifiedBy>
  <cp:revision>13</cp:revision>
  <cp:lastPrinted>2017-06-05T13:32:00Z</cp:lastPrinted>
  <dcterms:created xsi:type="dcterms:W3CDTF">2021-09-13T09:00:00Z</dcterms:created>
  <dcterms:modified xsi:type="dcterms:W3CDTF">2021-09-16T08:49:00Z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139/1998 Z. z. o omamných látkach, psychotropných látkach a prípravkoch v znení neskorších predpisov informovaná prostredníctvom predbežnej informácie, ktorá bola zverejnená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20121-2021-OL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168 Zmluvy o fungovaní Európskej únie (Hlava XIV – Verejné zdravie) </vt:lpwstr>
  </property>
  <property fmtid="{D5CDD505-2E9C-101B-9397-08002B2CF9AE}" pid="47" name="FSC#SKEDITIONSLOVLEX@103.510:AttrStrListDocPropSekundarneLegPravoPO">
    <vt:lpwstr>Delegovaná smernica Komisie (EÚ) 2021/802 z 12. marca 2021, ktorou sa mení príloha k rámcovému rozhodnutiu Rady 2004/757/SVV, pokiaľ ide o zaradenie nových psychoaktívnych látok metyl-3,3-dimetyl-2-{[1-(pent-4-én-1-yl)-1H-indazol-3-karbonyl]amino}butanoát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9. december 2021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 začaté konanie proti Slovenskej republike</vt:lpwstr>
  </property>
  <property fmtid="{D5CDD505-2E9C-101B-9397-08002B2CF9AE}" pid="55" name="FSC#SKEDITIONSLOVLEX@103.510:AttrStrListDocPropInfoUzPreberanePP">
    <vt:lpwstr>nie  sú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nepreradenie omamnej látky Izotonitazén do skupiny I. omamných látok by nebolo možné vyvodiť trestno-právnu zodpovednosť za ich nezákonnú výro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sa predkladá na základe &amp;nbsp;úlohy č. 11 v mesiaci október z Plánu legislatívnych úloh vlády SR na mesiace jún až december 2021.&lt;/p&gt;&lt;p&gt;Cieľom návrhu zákona je doplniť prílohu č. 1 zákona č. 139/1998 Z. z. o&amp;nbsp;omamných látkach, psychotr</vt:lpwstr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COO.2145.1000.3.4517487</vt:lpwstr>
  </property>
  <property fmtid="{D5CDD505-2E9C-101B-9397-08002B2CF9AE}" pid="152" name="FSC#FSCFOLIO@1.1001:docpropproject">
    <vt:lpwstr/>
  </property>
</Properties>
</file>