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D9" w:rsidRPr="00236240" w:rsidRDefault="005959CB" w:rsidP="00056AD9">
      <w:pPr>
        <w:pStyle w:val="Nzov"/>
        <w:spacing w:line="360" w:lineRule="auto"/>
        <w:contextualSpacing/>
        <w:jc w:val="both"/>
      </w:pPr>
      <w:r w:rsidRPr="00236240">
        <w:t>Osobitná časť</w:t>
      </w:r>
    </w:p>
    <w:p w:rsidR="0093286F" w:rsidRPr="00236240" w:rsidRDefault="0093286F" w:rsidP="00056AD9">
      <w:pPr>
        <w:pStyle w:val="Nzov"/>
        <w:spacing w:line="360" w:lineRule="auto"/>
        <w:contextualSpacing/>
        <w:jc w:val="both"/>
      </w:pPr>
    </w:p>
    <w:p w:rsidR="00BE10AC" w:rsidRPr="00236240" w:rsidRDefault="005959CB" w:rsidP="00056AD9">
      <w:pPr>
        <w:pStyle w:val="Nzov"/>
        <w:spacing w:line="360" w:lineRule="auto"/>
        <w:contextualSpacing/>
        <w:jc w:val="both"/>
      </w:pPr>
      <w:r w:rsidRPr="00236240">
        <w:t>K čl. I</w:t>
      </w:r>
    </w:p>
    <w:p w:rsidR="00056AD9" w:rsidRPr="00236240" w:rsidRDefault="00056AD9" w:rsidP="00056AD9">
      <w:pPr>
        <w:pStyle w:val="Nzov"/>
        <w:spacing w:line="360" w:lineRule="auto"/>
        <w:contextualSpacing/>
        <w:jc w:val="both"/>
        <w:rPr>
          <w:b w:val="0"/>
        </w:rPr>
      </w:pPr>
    </w:p>
    <w:p w:rsidR="005959CB" w:rsidRPr="00236240" w:rsidRDefault="005959CB" w:rsidP="00056AD9">
      <w:pPr>
        <w:pStyle w:val="Nzov"/>
        <w:spacing w:line="360" w:lineRule="auto"/>
        <w:contextualSpacing/>
        <w:jc w:val="both"/>
        <w:rPr>
          <w:b w:val="0"/>
        </w:rPr>
      </w:pPr>
      <w:r w:rsidRPr="00236240">
        <w:rPr>
          <w:b w:val="0"/>
        </w:rPr>
        <w:t>K bod</w:t>
      </w:r>
      <w:r w:rsidR="001560D7" w:rsidRPr="00236240">
        <w:rPr>
          <w:b w:val="0"/>
        </w:rPr>
        <w:t>om</w:t>
      </w:r>
      <w:r w:rsidRPr="00236240">
        <w:rPr>
          <w:b w:val="0"/>
        </w:rPr>
        <w:t xml:space="preserve"> 1</w:t>
      </w:r>
      <w:r w:rsidR="001560D7" w:rsidRPr="00236240">
        <w:rPr>
          <w:b w:val="0"/>
        </w:rPr>
        <w:t xml:space="preserve"> a </w:t>
      </w:r>
      <w:r w:rsidR="000F6444" w:rsidRPr="00236240">
        <w:rPr>
          <w:b w:val="0"/>
        </w:rPr>
        <w:t>1</w:t>
      </w:r>
      <w:r w:rsidR="00B23864" w:rsidRPr="00236240">
        <w:rPr>
          <w:b w:val="0"/>
        </w:rPr>
        <w:t>2</w:t>
      </w:r>
    </w:p>
    <w:p w:rsidR="00236240" w:rsidRPr="00236240" w:rsidRDefault="001560D7" w:rsidP="00056AD9">
      <w:pPr>
        <w:pStyle w:val="Standard"/>
        <w:spacing w:after="0" w:line="360" w:lineRule="auto"/>
        <w:ind w:firstLine="708"/>
        <w:contextualSpacing/>
        <w:rPr>
          <w:rFonts w:ascii="Times New Roman" w:hAnsi="Times New Roman" w:cs="Times New Roman"/>
          <w:sz w:val="24"/>
          <w:szCs w:val="24"/>
        </w:rPr>
      </w:pPr>
      <w:r w:rsidRPr="00236240">
        <w:rPr>
          <w:rFonts w:ascii="Times New Roman" w:hAnsi="Times New Roman" w:cs="Times New Roman"/>
          <w:sz w:val="24"/>
          <w:szCs w:val="24"/>
        </w:rPr>
        <w:t>Na základe rozhodnutia prijatého na 64. zasadnutí Komisie pre omamné látky Úradu OSN pre omamné látky a kriminalitu v dňoch 12. 4. až 16. 4. 2021 sa zaraďuje do skupiny I.  omamných látok Izotonitazén. Látka  vykazuje podobnú účinnosť ako morfín, ale na rozdiel od morfínu sa vo forme lieku nepoužíva. Táto látka bola na základe poslaneckého pozmeňovacieho návrhu zaradená medzi omamné látky II. skupiny na základe delegovanej smernice Komisie č. 2020/1687</w:t>
      </w:r>
      <w:r w:rsidR="00FE7507" w:rsidRPr="00236240">
        <w:rPr>
          <w:rFonts w:ascii="Times New Roman" w:hAnsi="Times New Roman" w:cs="Times New Roman"/>
          <w:sz w:val="24"/>
          <w:szCs w:val="24"/>
        </w:rPr>
        <w:t xml:space="preserve">, z 2. septembra 2020, ktorou sa mení príloha k rámcovému rozhodnutiu Rady 2004/757/SVV, pokiaľ ide o zahrnutie novej psychoaktívnej látky N, N-dietyl-2-[[4-(1-metyletoxy) fenyl]metyl]-5-nitro-1H-benzimidazol-1- etánamín (izotonitazén) do vymedzenia pojmu drogy </w:t>
      </w:r>
      <w:r w:rsidR="00236240" w:rsidRPr="00236240">
        <w:rPr>
          <w:rFonts w:ascii="Times New Roman" w:hAnsi="Times New Roman" w:cs="Times New Roman"/>
          <w:sz w:val="24"/>
          <w:szCs w:val="24"/>
        </w:rPr>
        <w:t xml:space="preserve">(Ú. v. EÚ L 178, 20. 5. 2021), </w:t>
      </w:r>
      <w:r w:rsidR="00FE7507" w:rsidRPr="00236240">
        <w:rPr>
          <w:rFonts w:ascii="Times New Roman" w:hAnsi="Times New Roman" w:cs="Times New Roman"/>
          <w:sz w:val="24"/>
          <w:szCs w:val="24"/>
        </w:rPr>
        <w:t>(ďalej len „delegovaná smernica Komisie (EÚ) 2021/802 z 12. marca 2021“)</w:t>
      </w:r>
      <w:r w:rsidRPr="00236240">
        <w:rPr>
          <w:rFonts w:ascii="Times New Roman" w:hAnsi="Times New Roman" w:cs="Times New Roman"/>
          <w:sz w:val="24"/>
          <w:szCs w:val="24"/>
        </w:rPr>
        <w:t xml:space="preserve">. </w:t>
      </w:r>
    </w:p>
    <w:p w:rsidR="00236240" w:rsidRPr="00236240" w:rsidRDefault="00236240" w:rsidP="00056AD9">
      <w:pPr>
        <w:pStyle w:val="Standard"/>
        <w:spacing w:after="0" w:line="360" w:lineRule="auto"/>
        <w:ind w:firstLine="708"/>
        <w:contextualSpacing/>
        <w:rPr>
          <w:rFonts w:ascii="Times New Roman" w:hAnsi="Times New Roman" w:cs="Times New Roman"/>
          <w:sz w:val="24"/>
          <w:szCs w:val="24"/>
        </w:rPr>
      </w:pPr>
    </w:p>
    <w:p w:rsidR="001560D7" w:rsidRPr="00236240" w:rsidRDefault="001560D7" w:rsidP="00056AD9">
      <w:pPr>
        <w:pStyle w:val="Standard"/>
        <w:spacing w:after="0" w:line="360" w:lineRule="auto"/>
        <w:ind w:firstLine="708"/>
        <w:contextualSpacing/>
        <w:rPr>
          <w:rFonts w:ascii="Times New Roman" w:hAnsi="Times New Roman" w:cs="Times New Roman"/>
          <w:sz w:val="24"/>
          <w:szCs w:val="24"/>
        </w:rPr>
      </w:pPr>
      <w:r w:rsidRPr="00236240">
        <w:rPr>
          <w:rFonts w:ascii="Times New Roman" w:hAnsi="Times New Roman" w:cs="Times New Roman"/>
          <w:sz w:val="24"/>
          <w:szCs w:val="24"/>
        </w:rPr>
        <w:t xml:space="preserve">Vzhľadom na to, že izotonitazén sa nepoužíva pri liečbe, navrhuje sa v súlade s § 3 ods. 2 zákona </w:t>
      </w:r>
      <w:r w:rsidR="007C6EE7" w:rsidRPr="00236240">
        <w:rPr>
          <w:rFonts w:ascii="Times New Roman" w:hAnsi="Times New Roman" w:cs="Times New Roman"/>
          <w:sz w:val="24"/>
          <w:szCs w:val="24"/>
        </w:rPr>
        <w:t xml:space="preserve"> č. 139/1998 Z. z. o omamných látkach, psychotropných látkach a prípravkoch v znení neskorších predpisov (ďalej len „§ 3 ods. 2 zákona“) </w:t>
      </w:r>
      <w:r w:rsidRPr="00236240">
        <w:rPr>
          <w:rFonts w:ascii="Times New Roman" w:hAnsi="Times New Roman" w:cs="Times New Roman"/>
          <w:sz w:val="24"/>
          <w:szCs w:val="24"/>
        </w:rPr>
        <w:t xml:space="preserve">vyradiť izotonitazén z II. skupiny omamných látok a zaradiť túto látku do I. skupiny omamných látok. </w:t>
      </w:r>
      <w:r w:rsidR="009C0F59" w:rsidRPr="00236240">
        <w:rPr>
          <w:rFonts w:ascii="Times New Roman" w:hAnsi="Times New Roman" w:cs="Times New Roman"/>
          <w:sz w:val="24"/>
          <w:szCs w:val="24"/>
        </w:rPr>
        <w:t>Látka spôsobuje eufóriu, má podobné vlastnosti ako ópioidové analgetiká (anodyná)</w:t>
      </w:r>
      <w:r w:rsidR="00506CA9" w:rsidRPr="00236240">
        <w:rPr>
          <w:rFonts w:ascii="Times New Roman" w:hAnsi="Times New Roman" w:cs="Times New Roman"/>
          <w:sz w:val="24"/>
          <w:szCs w:val="24"/>
        </w:rPr>
        <w:t>, ktoré sa používajú ako lieky a sú zaradené do II. skupiny omamných látok</w:t>
      </w:r>
      <w:r w:rsidR="009C0F59" w:rsidRPr="00236240">
        <w:rPr>
          <w:rFonts w:ascii="Times New Roman" w:hAnsi="Times New Roman" w:cs="Times New Roman"/>
          <w:sz w:val="24"/>
          <w:szCs w:val="24"/>
        </w:rPr>
        <w:t>.</w:t>
      </w:r>
      <w:r w:rsidR="00506CA9" w:rsidRPr="00236240">
        <w:rPr>
          <w:rFonts w:ascii="Times New Roman" w:hAnsi="Times New Roman" w:cs="Times New Roman"/>
          <w:sz w:val="24"/>
          <w:szCs w:val="24"/>
        </w:rPr>
        <w:t xml:space="preserve"> </w:t>
      </w:r>
      <w:r w:rsidR="00923791" w:rsidRPr="00236240">
        <w:rPr>
          <w:rFonts w:ascii="Times New Roman" w:hAnsi="Times New Roman" w:cs="Times New Roman"/>
          <w:sz w:val="24"/>
          <w:szCs w:val="24"/>
          <w:lang w:eastAsia="sk-SK"/>
        </w:rPr>
        <w:t xml:space="preserve">Podľa zákona č. 362/2011 Z. z. o liekoch a zdravotníckych pomôckach a o zmene a doplnení niektorých zákonov v znení neskorších predpisov (ďalej len „zákon č. 362/2011 Z. z.“) </w:t>
      </w:r>
      <w:r w:rsidR="00506CA9" w:rsidRPr="00236240">
        <w:rPr>
          <w:rFonts w:ascii="Times New Roman" w:hAnsi="Times New Roman" w:cs="Times New Roman"/>
          <w:sz w:val="24"/>
          <w:szCs w:val="24"/>
        </w:rPr>
        <w:t xml:space="preserve">sa predpisujú na osobitné tlačivá lekárskych predpisov so šikmým modrým pruhom s dvomi kópiami, aby sa zabezpečila evidencia a kontrola vydaných liekov z ich obsahom. Je nebezpečné, aby sa takáto omamná látka voľne predávala na ulici a vyrábala sa nezákonnými subjektmi. </w:t>
      </w:r>
    </w:p>
    <w:p w:rsidR="00056AD9" w:rsidRPr="00236240" w:rsidRDefault="00056AD9" w:rsidP="00056AD9">
      <w:pPr>
        <w:pStyle w:val="Standard"/>
        <w:spacing w:after="0" w:line="360" w:lineRule="auto"/>
        <w:ind w:firstLine="708"/>
        <w:contextualSpacing/>
        <w:rPr>
          <w:rFonts w:ascii="Times New Roman" w:hAnsi="Times New Roman" w:cs="Times New Roman"/>
          <w:sz w:val="24"/>
          <w:szCs w:val="24"/>
        </w:rPr>
      </w:pPr>
    </w:p>
    <w:p w:rsidR="00B23864" w:rsidRPr="00236240" w:rsidRDefault="00B23864" w:rsidP="00056AD9">
      <w:pPr>
        <w:pStyle w:val="Textbody"/>
        <w:spacing w:after="0" w:line="360" w:lineRule="auto"/>
        <w:rPr>
          <w:rFonts w:ascii="Times New Roman" w:hAnsi="Times New Roman" w:cs="Times New Roman"/>
          <w:sz w:val="24"/>
          <w:szCs w:val="24"/>
          <w:lang w:eastAsia="sk-SK"/>
        </w:rPr>
      </w:pPr>
      <w:r w:rsidRPr="00236240">
        <w:rPr>
          <w:rFonts w:ascii="Times New Roman" w:hAnsi="Times New Roman" w:cs="Times New Roman"/>
          <w:sz w:val="24"/>
          <w:szCs w:val="24"/>
          <w:lang w:eastAsia="sk-SK"/>
        </w:rPr>
        <w:t>K bodu 2</w:t>
      </w:r>
    </w:p>
    <w:p w:rsidR="00B23864" w:rsidRPr="00236240" w:rsidRDefault="00B23864" w:rsidP="00056AD9">
      <w:pPr>
        <w:widowControl/>
        <w:suppressAutoHyphens w:val="0"/>
        <w:autoSpaceDE w:val="0"/>
        <w:adjustRightInd w:val="0"/>
        <w:spacing w:after="0" w:line="360" w:lineRule="auto"/>
        <w:ind w:firstLine="709"/>
        <w:textAlignment w:val="auto"/>
        <w:rPr>
          <w:rFonts w:ascii="Times New Roman" w:hAnsi="Times New Roman" w:cs="Times New Roman"/>
          <w:sz w:val="24"/>
          <w:szCs w:val="24"/>
          <w:lang w:eastAsia="sk-SK"/>
        </w:rPr>
      </w:pPr>
      <w:r w:rsidRPr="00236240">
        <w:rPr>
          <w:rFonts w:ascii="Times New Roman" w:hAnsi="Times New Roman" w:cs="Times New Roman"/>
          <w:sz w:val="24"/>
          <w:szCs w:val="24"/>
        </w:rPr>
        <w:t xml:space="preserve">Ministerstva vnútra SR navrhlo látku alfa D2PV zaradiť do skupiny I.  psychotropných látok. Je to </w:t>
      </w:r>
      <w:r w:rsidRPr="00236240">
        <w:rPr>
          <w:rFonts w:ascii="Times New Roman" w:eastAsiaTheme="minorHAnsi" w:hAnsi="Times New Roman" w:cs="Times New Roman"/>
          <w:kern w:val="0"/>
          <w:sz w:val="24"/>
          <w:szCs w:val="24"/>
        </w:rPr>
        <w:t xml:space="preserve">nová psychoaktívna látka dostupná vo forme väčších kryštálov hnedej farby. Okrem stimulačného účinku vyvoláva stratu vedomia a zhoršenie kognitívnych a motorických funkcií ako aj halucinácie opakujúce sa aj v čase, keď lázka nebola konzumovaná, tzv. flashback. Neexistujú žiadne kontrolované štúdie o jeho liečebnom alebo priemyselnom využití. </w:t>
      </w:r>
    </w:p>
    <w:p w:rsidR="005959CB" w:rsidRPr="00236240" w:rsidRDefault="005959CB" w:rsidP="00056AD9">
      <w:pPr>
        <w:pStyle w:val="Nzov"/>
        <w:spacing w:line="360" w:lineRule="auto"/>
        <w:contextualSpacing/>
        <w:jc w:val="both"/>
      </w:pPr>
      <w:r w:rsidRPr="00236240">
        <w:rPr>
          <w:b w:val="0"/>
        </w:rPr>
        <w:lastRenderedPageBreak/>
        <w:t xml:space="preserve">K bodu </w:t>
      </w:r>
      <w:r w:rsidR="00B23864" w:rsidRPr="00236240">
        <w:rPr>
          <w:b w:val="0"/>
        </w:rPr>
        <w:t>3</w:t>
      </w:r>
    </w:p>
    <w:p w:rsidR="00056AD9" w:rsidRPr="00236240" w:rsidRDefault="001560D7" w:rsidP="0093286F">
      <w:pPr>
        <w:pStyle w:val="Textbody"/>
        <w:spacing w:after="0" w:line="360" w:lineRule="auto"/>
        <w:ind w:firstLine="709"/>
        <w:rPr>
          <w:rFonts w:ascii="Times New Roman" w:hAnsi="Times New Roman" w:cs="Times New Roman"/>
          <w:sz w:val="24"/>
          <w:szCs w:val="24"/>
        </w:rPr>
      </w:pPr>
      <w:r w:rsidRPr="00236240">
        <w:rPr>
          <w:rFonts w:ascii="Times New Roman" w:hAnsi="Times New Roman" w:cs="Times New Roman"/>
          <w:sz w:val="24"/>
          <w:szCs w:val="24"/>
        </w:rPr>
        <w:t>Na základe rozhodnutia prijatého na 64. zasadnutí Komisie pre omamné látky Úradu OSN pre omamné látky a kriminalitu v dňoch 12. 4. až 16. 4. 2021 sa zaraďuj</w:t>
      </w:r>
      <w:r w:rsidR="009C0F59" w:rsidRPr="00236240">
        <w:rPr>
          <w:rFonts w:ascii="Times New Roman" w:hAnsi="Times New Roman" w:cs="Times New Roman"/>
          <w:sz w:val="24"/>
          <w:szCs w:val="24"/>
        </w:rPr>
        <w:t>ú</w:t>
      </w:r>
      <w:r w:rsidRPr="00236240">
        <w:rPr>
          <w:rFonts w:ascii="Times New Roman" w:hAnsi="Times New Roman" w:cs="Times New Roman"/>
          <w:sz w:val="24"/>
          <w:szCs w:val="24"/>
        </w:rPr>
        <w:t xml:space="preserve"> do skupiny I. </w:t>
      </w:r>
      <w:r w:rsidR="009C0F59" w:rsidRPr="00236240">
        <w:rPr>
          <w:rFonts w:ascii="Times New Roman" w:hAnsi="Times New Roman" w:cs="Times New Roman"/>
          <w:sz w:val="24"/>
          <w:szCs w:val="24"/>
        </w:rPr>
        <w:t xml:space="preserve">psychotropných látok dve nové látky: difenidín a diklazepam. Ani jedna z týchto látok nemá terapeutické použitie a preto sa v súlade s § 3 ods. 2 zákona navrhujú zaradiť do I. skupiny psychotropných látok. </w:t>
      </w:r>
      <w:r w:rsidR="00734871" w:rsidRPr="00236240">
        <w:rPr>
          <w:rFonts w:ascii="Times New Roman" w:hAnsi="Times New Roman" w:cs="Times New Roman"/>
          <w:sz w:val="24"/>
          <w:szCs w:val="24"/>
        </w:rPr>
        <w:t>Svetová zdravotníck</w:t>
      </w:r>
      <w:r w:rsidR="003F27CA" w:rsidRPr="00236240">
        <w:rPr>
          <w:rFonts w:ascii="Times New Roman" w:hAnsi="Times New Roman" w:cs="Times New Roman"/>
          <w:sz w:val="24"/>
          <w:szCs w:val="24"/>
        </w:rPr>
        <w:t>a</w:t>
      </w:r>
      <w:r w:rsidR="00734871" w:rsidRPr="00236240">
        <w:rPr>
          <w:rFonts w:ascii="Times New Roman" w:hAnsi="Times New Roman" w:cs="Times New Roman"/>
          <w:sz w:val="24"/>
          <w:szCs w:val="24"/>
        </w:rPr>
        <w:t xml:space="preserve"> organizácia vo svojom stanovisku uviedla, že difenidín</w:t>
      </w:r>
      <w:r w:rsidR="00506CA9" w:rsidRPr="00236240">
        <w:rPr>
          <w:rFonts w:ascii="Times New Roman" w:hAnsi="Times New Roman" w:cs="Times New Roman"/>
          <w:sz w:val="24"/>
          <w:szCs w:val="24"/>
        </w:rPr>
        <w:t xml:space="preserve"> a diklazepam</w:t>
      </w:r>
      <w:r w:rsidR="00734871" w:rsidRPr="00236240">
        <w:rPr>
          <w:rFonts w:ascii="Times New Roman" w:hAnsi="Times New Roman" w:cs="Times New Roman"/>
          <w:sz w:val="24"/>
          <w:szCs w:val="24"/>
        </w:rPr>
        <w:t>, ak sa vyrába</w:t>
      </w:r>
      <w:r w:rsidR="00506CA9" w:rsidRPr="00236240">
        <w:rPr>
          <w:rFonts w:ascii="Times New Roman" w:hAnsi="Times New Roman" w:cs="Times New Roman"/>
          <w:sz w:val="24"/>
          <w:szCs w:val="24"/>
        </w:rPr>
        <w:t>jú</w:t>
      </w:r>
      <w:r w:rsidR="00734871" w:rsidRPr="00236240">
        <w:rPr>
          <w:rFonts w:ascii="Times New Roman" w:hAnsi="Times New Roman" w:cs="Times New Roman"/>
          <w:sz w:val="24"/>
          <w:szCs w:val="24"/>
        </w:rPr>
        <w:t xml:space="preserve"> nezákonne predstavu</w:t>
      </w:r>
      <w:r w:rsidR="006A7A0B" w:rsidRPr="00236240">
        <w:rPr>
          <w:rFonts w:ascii="Times New Roman" w:hAnsi="Times New Roman" w:cs="Times New Roman"/>
          <w:sz w:val="24"/>
          <w:szCs w:val="24"/>
        </w:rPr>
        <w:t>j</w:t>
      </w:r>
      <w:r w:rsidR="00506CA9" w:rsidRPr="00236240">
        <w:rPr>
          <w:rFonts w:ascii="Times New Roman" w:hAnsi="Times New Roman" w:cs="Times New Roman"/>
          <w:sz w:val="24"/>
          <w:szCs w:val="24"/>
        </w:rPr>
        <w:t>ú</w:t>
      </w:r>
      <w:r w:rsidR="00734871" w:rsidRPr="00236240">
        <w:rPr>
          <w:rFonts w:ascii="Times New Roman" w:hAnsi="Times New Roman" w:cs="Times New Roman"/>
          <w:sz w:val="24"/>
          <w:szCs w:val="24"/>
        </w:rPr>
        <w:t xml:space="preserve">  </w:t>
      </w:r>
      <w:r w:rsidR="00506CA9" w:rsidRPr="00236240">
        <w:rPr>
          <w:rFonts w:ascii="Times New Roman" w:hAnsi="Times New Roman" w:cs="Times New Roman"/>
          <w:sz w:val="24"/>
          <w:szCs w:val="24"/>
        </w:rPr>
        <w:t>riziko  pre verejné zdravie.</w:t>
      </w:r>
      <w:r w:rsidR="00734871" w:rsidRPr="00236240">
        <w:rPr>
          <w:rFonts w:ascii="Times New Roman" w:hAnsi="Times New Roman" w:cs="Times New Roman"/>
          <w:sz w:val="24"/>
          <w:szCs w:val="24"/>
        </w:rPr>
        <w:t xml:space="preserve"> </w:t>
      </w:r>
    </w:p>
    <w:p w:rsidR="0093286F" w:rsidRPr="00236240" w:rsidRDefault="0093286F" w:rsidP="0093286F">
      <w:pPr>
        <w:pStyle w:val="Textbody"/>
        <w:spacing w:after="0" w:line="360" w:lineRule="auto"/>
        <w:ind w:firstLine="709"/>
        <w:rPr>
          <w:rFonts w:ascii="Times New Roman" w:hAnsi="Times New Roman" w:cs="Times New Roman"/>
          <w:sz w:val="24"/>
          <w:szCs w:val="24"/>
        </w:rPr>
      </w:pPr>
    </w:p>
    <w:p w:rsidR="00BC585A" w:rsidRPr="00236240" w:rsidRDefault="000F6444" w:rsidP="00056AD9">
      <w:pPr>
        <w:pStyle w:val="Nzov"/>
        <w:spacing w:before="0" w:line="360" w:lineRule="auto"/>
        <w:ind w:hanging="47"/>
        <w:contextualSpacing/>
        <w:jc w:val="both"/>
        <w:rPr>
          <w:b w:val="0"/>
        </w:rPr>
      </w:pPr>
      <w:r w:rsidRPr="00236240">
        <w:rPr>
          <w:b w:val="0"/>
        </w:rPr>
        <w:t xml:space="preserve">K bodu </w:t>
      </w:r>
      <w:r w:rsidR="00B23864" w:rsidRPr="00236240">
        <w:rPr>
          <w:b w:val="0"/>
        </w:rPr>
        <w:t>4</w:t>
      </w:r>
    </w:p>
    <w:p w:rsidR="00056AD9" w:rsidRPr="00236240" w:rsidRDefault="000F6444" w:rsidP="00056AD9">
      <w:pPr>
        <w:widowControl/>
        <w:suppressAutoHyphens w:val="0"/>
        <w:autoSpaceDE w:val="0"/>
        <w:adjustRightInd w:val="0"/>
        <w:spacing w:after="0" w:line="360" w:lineRule="auto"/>
        <w:ind w:firstLine="708"/>
        <w:textAlignment w:val="auto"/>
        <w:rPr>
          <w:rFonts w:ascii="Times New Roman" w:hAnsi="Times New Roman" w:cs="Times New Roman"/>
          <w:sz w:val="24"/>
          <w:szCs w:val="24"/>
        </w:rPr>
      </w:pPr>
      <w:r w:rsidRPr="00236240">
        <w:rPr>
          <w:rFonts w:ascii="Times New Roman" w:eastAsiaTheme="minorHAnsi" w:hAnsi="Times New Roman" w:cs="Times New Roman"/>
          <w:kern w:val="0"/>
          <w:sz w:val="24"/>
          <w:szCs w:val="24"/>
        </w:rPr>
        <w:t xml:space="preserve">Látka efenidín je menej známa nová disociačná látka z triedy diaryletylamínov štrukturálne je príbuzná s diaryletylamínmi, napr.: difenidínom a metoxfenidínom. Účinky konzumácie sú útlm, halucinácie, anestézia, disociačná anestézia (stavy mimo tela), poruchy pamäte atď. Neexistujú žiadne kontrolované štúdie o jeho liečebnom alebo priemyselnom využití. Navrhované zaradenie – I. skupina, omamné látky. </w:t>
      </w:r>
      <w:r w:rsidRPr="00236240">
        <w:rPr>
          <w:rFonts w:ascii="Times New Roman" w:hAnsi="Times New Roman" w:cs="Times New Roman"/>
          <w:sz w:val="24"/>
          <w:szCs w:val="24"/>
          <w:lang w:eastAsia="sk-SK"/>
        </w:rPr>
        <w:t>Ministerstvo vnútra SR  n</w:t>
      </w:r>
      <w:r w:rsidRPr="00236240">
        <w:rPr>
          <w:rFonts w:ascii="Times New Roman" w:hAnsi="Times New Roman" w:cs="Times New Roman"/>
          <w:sz w:val="24"/>
          <w:szCs w:val="24"/>
        </w:rPr>
        <w:t xml:space="preserve">avrhuje zaradiť túto látku do I. skupiny omamných látok. S prihliadnutím na ustanovenie § 3 ods. 2 zákona Ministerstvo zdravotníctva SR navrhuje zaradenie látky do I. skupiny psychotropných látok.    </w:t>
      </w:r>
    </w:p>
    <w:p w:rsidR="0093286F" w:rsidRPr="00236240" w:rsidRDefault="0093286F" w:rsidP="0093286F">
      <w:pPr>
        <w:pStyle w:val="Nzov"/>
        <w:spacing w:before="0" w:line="360" w:lineRule="auto"/>
        <w:ind w:hanging="47"/>
        <w:contextualSpacing/>
        <w:jc w:val="both"/>
        <w:rPr>
          <w:b w:val="0"/>
        </w:rPr>
      </w:pPr>
    </w:p>
    <w:p w:rsidR="005959CB" w:rsidRPr="00236240" w:rsidRDefault="005959CB" w:rsidP="0093286F">
      <w:pPr>
        <w:pStyle w:val="Nzov"/>
        <w:spacing w:before="0" w:line="360" w:lineRule="auto"/>
        <w:ind w:hanging="47"/>
        <w:contextualSpacing/>
        <w:jc w:val="both"/>
        <w:rPr>
          <w:b w:val="0"/>
        </w:rPr>
      </w:pPr>
      <w:r w:rsidRPr="00236240">
        <w:rPr>
          <w:b w:val="0"/>
        </w:rPr>
        <w:t xml:space="preserve">K bodu </w:t>
      </w:r>
      <w:r w:rsidR="00B23864" w:rsidRPr="00236240">
        <w:rPr>
          <w:b w:val="0"/>
        </w:rPr>
        <w:t>5</w:t>
      </w:r>
    </w:p>
    <w:p w:rsidR="00BE10AC" w:rsidRPr="00236240" w:rsidRDefault="0018254D" w:rsidP="0093286F">
      <w:pPr>
        <w:widowControl/>
        <w:suppressAutoHyphens w:val="0"/>
        <w:autoSpaceDE w:val="0"/>
        <w:adjustRightInd w:val="0"/>
        <w:spacing w:after="0" w:line="360" w:lineRule="auto"/>
        <w:ind w:firstLine="567"/>
        <w:textAlignment w:val="auto"/>
        <w:rPr>
          <w:rFonts w:ascii="Times New Roman" w:eastAsiaTheme="minorHAnsi" w:hAnsi="Times New Roman" w:cs="Times New Roman"/>
          <w:kern w:val="0"/>
          <w:sz w:val="24"/>
          <w:szCs w:val="24"/>
        </w:rPr>
      </w:pPr>
      <w:r w:rsidRPr="00236240">
        <w:rPr>
          <w:rFonts w:ascii="Times New Roman" w:hAnsi="Times New Roman" w:cs="Times New Roman"/>
          <w:sz w:val="24"/>
          <w:szCs w:val="24"/>
        </w:rPr>
        <w:t>Ministerstva vnútra SR navrhlo látku eutylón zaradiť</w:t>
      </w:r>
      <w:r w:rsidR="00B376CA" w:rsidRPr="00236240">
        <w:rPr>
          <w:rFonts w:ascii="Times New Roman" w:hAnsi="Times New Roman" w:cs="Times New Roman"/>
          <w:sz w:val="24"/>
          <w:szCs w:val="24"/>
        </w:rPr>
        <w:t xml:space="preserve"> do skupiny I.  psychotropných látok. J</w:t>
      </w:r>
      <w:r w:rsidRPr="00236240">
        <w:rPr>
          <w:rFonts w:ascii="Times New Roman" w:eastAsiaTheme="minorHAnsi" w:hAnsi="Times New Roman" w:cs="Times New Roman"/>
          <w:kern w:val="0"/>
          <w:sz w:val="24"/>
          <w:szCs w:val="24"/>
        </w:rPr>
        <w:t>e stimula</w:t>
      </w:r>
      <w:r w:rsidR="00B376CA" w:rsidRPr="00236240">
        <w:rPr>
          <w:rFonts w:ascii="Times New Roman" w:eastAsiaTheme="minorHAnsi" w:hAnsi="Times New Roman" w:cs="Times New Roman"/>
          <w:kern w:val="0"/>
          <w:sz w:val="24"/>
          <w:szCs w:val="24"/>
        </w:rPr>
        <w:t>čnou látkou</w:t>
      </w:r>
      <w:r w:rsidRPr="00236240">
        <w:rPr>
          <w:rFonts w:ascii="Times New Roman" w:eastAsiaTheme="minorHAnsi" w:hAnsi="Times New Roman" w:cs="Times New Roman"/>
          <w:kern w:val="0"/>
          <w:sz w:val="24"/>
          <w:szCs w:val="24"/>
        </w:rPr>
        <w:t xml:space="preserve"> zo skupiny katinónov</w:t>
      </w:r>
      <w:r w:rsidR="00B376CA" w:rsidRPr="00236240">
        <w:rPr>
          <w:rFonts w:ascii="Times New Roman" w:eastAsiaTheme="minorHAnsi" w:hAnsi="Times New Roman" w:cs="Times New Roman"/>
          <w:kern w:val="0"/>
          <w:sz w:val="24"/>
          <w:szCs w:val="24"/>
        </w:rPr>
        <w:t>. Je</w:t>
      </w:r>
      <w:r w:rsidRPr="00236240">
        <w:rPr>
          <w:rFonts w:ascii="Times New Roman" w:eastAsiaTheme="minorHAnsi" w:hAnsi="Times New Roman" w:cs="Times New Roman"/>
          <w:kern w:val="0"/>
          <w:sz w:val="24"/>
          <w:szCs w:val="24"/>
        </w:rPr>
        <w:t xml:space="preserve"> dostupn</w:t>
      </w:r>
      <w:r w:rsidR="00B376CA" w:rsidRPr="00236240">
        <w:rPr>
          <w:rFonts w:ascii="Times New Roman" w:eastAsiaTheme="minorHAnsi" w:hAnsi="Times New Roman" w:cs="Times New Roman"/>
          <w:kern w:val="0"/>
          <w:sz w:val="24"/>
          <w:szCs w:val="24"/>
        </w:rPr>
        <w:t>á</w:t>
      </w:r>
      <w:r w:rsidRPr="00236240">
        <w:rPr>
          <w:rFonts w:ascii="Times New Roman" w:eastAsiaTheme="minorHAnsi" w:hAnsi="Times New Roman" w:cs="Times New Roman"/>
          <w:kern w:val="0"/>
          <w:sz w:val="24"/>
          <w:szCs w:val="24"/>
        </w:rPr>
        <w:t xml:space="preserve"> vo forme bielych kryštálov,</w:t>
      </w:r>
      <w:r w:rsidR="00B376CA" w:rsidRPr="00236240">
        <w:rPr>
          <w:rFonts w:ascii="Times New Roman" w:eastAsiaTheme="minorHAnsi" w:hAnsi="Times New Roman" w:cs="Times New Roman"/>
          <w:kern w:val="0"/>
          <w:sz w:val="24"/>
          <w:szCs w:val="24"/>
        </w:rPr>
        <w:t xml:space="preserve"> </w:t>
      </w:r>
      <w:r w:rsidRPr="00236240">
        <w:rPr>
          <w:rFonts w:ascii="Times New Roman" w:eastAsiaTheme="minorHAnsi" w:hAnsi="Times New Roman" w:cs="Times New Roman"/>
          <w:kern w:val="0"/>
          <w:sz w:val="24"/>
          <w:szCs w:val="24"/>
        </w:rPr>
        <w:t>vôňou pripomína 3-CMC, 4-CMC alebo 3-MMC. Účinky konzumácie eutyl</w:t>
      </w:r>
      <w:r w:rsidR="00B376CA" w:rsidRPr="00236240">
        <w:rPr>
          <w:rFonts w:ascii="Times New Roman" w:eastAsiaTheme="minorHAnsi" w:hAnsi="Times New Roman" w:cs="Times New Roman"/>
          <w:kern w:val="0"/>
          <w:sz w:val="24"/>
          <w:szCs w:val="24"/>
        </w:rPr>
        <w:t>ó</w:t>
      </w:r>
      <w:r w:rsidRPr="00236240">
        <w:rPr>
          <w:rFonts w:ascii="Times New Roman" w:eastAsiaTheme="minorHAnsi" w:hAnsi="Times New Roman" w:cs="Times New Roman"/>
          <w:kern w:val="0"/>
          <w:sz w:val="24"/>
          <w:szCs w:val="24"/>
        </w:rPr>
        <w:t>nu sú</w:t>
      </w:r>
      <w:r w:rsidR="00B376CA" w:rsidRPr="00236240">
        <w:rPr>
          <w:rFonts w:ascii="Times New Roman" w:eastAsiaTheme="minorHAnsi" w:hAnsi="Times New Roman" w:cs="Times New Roman"/>
          <w:kern w:val="0"/>
          <w:sz w:val="24"/>
          <w:szCs w:val="24"/>
        </w:rPr>
        <w:t xml:space="preserve"> </w:t>
      </w:r>
      <w:r w:rsidRPr="00236240">
        <w:rPr>
          <w:rFonts w:ascii="Times New Roman" w:eastAsiaTheme="minorHAnsi" w:hAnsi="Times New Roman" w:cs="Times New Roman"/>
          <w:kern w:val="0"/>
          <w:sz w:val="24"/>
          <w:szCs w:val="24"/>
        </w:rPr>
        <w:t>podobné ako u amfetamínov a iných stimulantov, t.</w:t>
      </w:r>
      <w:r w:rsidR="00B376CA" w:rsidRPr="00236240">
        <w:rPr>
          <w:rFonts w:ascii="Times New Roman" w:eastAsiaTheme="minorHAnsi" w:hAnsi="Times New Roman" w:cs="Times New Roman"/>
          <w:kern w:val="0"/>
          <w:sz w:val="24"/>
          <w:szCs w:val="24"/>
        </w:rPr>
        <w:t xml:space="preserve"> </w:t>
      </w:r>
      <w:r w:rsidRPr="00236240">
        <w:rPr>
          <w:rFonts w:ascii="Times New Roman" w:eastAsiaTheme="minorHAnsi" w:hAnsi="Times New Roman" w:cs="Times New Roman"/>
          <w:kern w:val="0"/>
          <w:sz w:val="24"/>
          <w:szCs w:val="24"/>
        </w:rPr>
        <w:t>j. má stimulujúce účinky, potláča chuť</w:t>
      </w:r>
      <w:r w:rsidR="00B376CA" w:rsidRPr="00236240">
        <w:rPr>
          <w:rFonts w:ascii="Times New Roman" w:eastAsiaTheme="minorHAnsi" w:hAnsi="Times New Roman" w:cs="Times New Roman"/>
          <w:kern w:val="0"/>
          <w:sz w:val="24"/>
          <w:szCs w:val="24"/>
        </w:rPr>
        <w:t xml:space="preserve"> </w:t>
      </w:r>
      <w:r w:rsidRPr="00236240">
        <w:rPr>
          <w:rFonts w:ascii="Times New Roman" w:eastAsiaTheme="minorHAnsi" w:hAnsi="Times New Roman" w:cs="Times New Roman"/>
          <w:kern w:val="0"/>
          <w:sz w:val="24"/>
          <w:szCs w:val="24"/>
        </w:rPr>
        <w:t>do jedla, spôsobuje dehydratáciu halucinácie, psychózy a záchvaty. Neexistujú žiadne</w:t>
      </w:r>
      <w:r w:rsidR="00B376CA" w:rsidRPr="00236240">
        <w:rPr>
          <w:rFonts w:ascii="Times New Roman" w:eastAsiaTheme="minorHAnsi" w:hAnsi="Times New Roman" w:cs="Times New Roman"/>
          <w:kern w:val="0"/>
          <w:sz w:val="24"/>
          <w:szCs w:val="24"/>
        </w:rPr>
        <w:t xml:space="preserve"> </w:t>
      </w:r>
      <w:r w:rsidRPr="00236240">
        <w:rPr>
          <w:rFonts w:ascii="Times New Roman" w:eastAsiaTheme="minorHAnsi" w:hAnsi="Times New Roman" w:cs="Times New Roman"/>
          <w:kern w:val="0"/>
          <w:sz w:val="24"/>
          <w:szCs w:val="24"/>
        </w:rPr>
        <w:t xml:space="preserve">kontrolované štúdie o jeho liečebnom alebo priemyselnom využití. </w:t>
      </w:r>
      <w:r w:rsidR="00C51B11" w:rsidRPr="00236240">
        <w:rPr>
          <w:rFonts w:ascii="Times New Roman" w:hAnsi="Times New Roman" w:cs="Times New Roman"/>
          <w:sz w:val="24"/>
          <w:szCs w:val="24"/>
        </w:rPr>
        <w:t xml:space="preserve">Na základe návrhu Ministerstva vnútra SR sa látka </w:t>
      </w:r>
      <w:r w:rsidR="00C51B11" w:rsidRPr="00236240">
        <w:rPr>
          <w:rFonts w:ascii="Times New Roman" w:eastAsiaTheme="minorHAnsi" w:hAnsi="Times New Roman" w:cs="Times New Roman"/>
          <w:bCs/>
          <w:kern w:val="0"/>
          <w:sz w:val="24"/>
          <w:szCs w:val="24"/>
        </w:rPr>
        <w:t xml:space="preserve">3-fluórfenmetrazín navrhuje zaradiť </w:t>
      </w:r>
      <w:r w:rsidR="00C51B11" w:rsidRPr="00236240">
        <w:rPr>
          <w:rFonts w:ascii="Times New Roman" w:hAnsi="Times New Roman" w:cs="Times New Roman"/>
          <w:sz w:val="24"/>
          <w:szCs w:val="24"/>
        </w:rPr>
        <w:t>do skupiny I.  psychotropných látok. Látka je d</w:t>
      </w:r>
      <w:r w:rsidR="00C51B11" w:rsidRPr="00236240">
        <w:rPr>
          <w:rFonts w:ascii="Times New Roman" w:eastAsiaTheme="minorHAnsi" w:hAnsi="Times New Roman" w:cs="Times New Roman"/>
          <w:kern w:val="0"/>
          <w:sz w:val="24"/>
          <w:szCs w:val="24"/>
        </w:rPr>
        <w:t>ostupná vo forme bieleho kryštalického</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prášku, prípadne v tabletách. 3-fluórfenmetrazín je derivát fenmetrazínu, látky</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amfetamínového typu, ktorý je</w:t>
      </w:r>
      <w:r w:rsidR="0015261C" w:rsidRPr="00236240">
        <w:rPr>
          <w:rFonts w:ascii="Times New Roman" w:eastAsiaTheme="minorHAnsi" w:hAnsi="Times New Roman" w:cs="Times New Roman"/>
          <w:kern w:val="0"/>
          <w:sz w:val="24"/>
          <w:szCs w:val="24"/>
        </w:rPr>
        <w:t xml:space="preserve"> zaradená do skupiny II psychotropných látok a je</w:t>
      </w:r>
      <w:r w:rsidR="00C51B11" w:rsidRPr="00236240">
        <w:rPr>
          <w:rFonts w:ascii="Times New Roman" w:eastAsiaTheme="minorHAnsi" w:hAnsi="Times New Roman" w:cs="Times New Roman"/>
          <w:kern w:val="0"/>
          <w:sz w:val="24"/>
          <w:szCs w:val="24"/>
        </w:rPr>
        <w:t xml:space="preserve"> uveden</w:t>
      </w:r>
      <w:r w:rsidR="0015261C" w:rsidRPr="00236240">
        <w:rPr>
          <w:rFonts w:ascii="Times New Roman" w:eastAsiaTheme="minorHAnsi" w:hAnsi="Times New Roman" w:cs="Times New Roman"/>
          <w:kern w:val="0"/>
          <w:sz w:val="24"/>
          <w:szCs w:val="24"/>
        </w:rPr>
        <w:t>á</w:t>
      </w:r>
      <w:r w:rsidR="00C51B11" w:rsidRPr="00236240">
        <w:rPr>
          <w:rFonts w:ascii="Times New Roman" w:eastAsiaTheme="minorHAnsi" w:hAnsi="Times New Roman" w:cs="Times New Roman"/>
          <w:kern w:val="0"/>
          <w:sz w:val="24"/>
          <w:szCs w:val="24"/>
        </w:rPr>
        <w:t xml:space="preserve"> v zozname II Dohovoru </w:t>
      </w:r>
      <w:r w:rsidR="0015261C" w:rsidRPr="00236240">
        <w:rPr>
          <w:rFonts w:ascii="Times New Roman" w:eastAsiaTheme="minorHAnsi" w:hAnsi="Times New Roman" w:cs="Times New Roman"/>
          <w:kern w:val="0"/>
          <w:sz w:val="24"/>
          <w:szCs w:val="24"/>
        </w:rPr>
        <w:t xml:space="preserve">OSN </w:t>
      </w:r>
      <w:r w:rsidR="00C51B11" w:rsidRPr="00236240">
        <w:rPr>
          <w:rFonts w:ascii="Times New Roman" w:eastAsiaTheme="minorHAnsi" w:hAnsi="Times New Roman" w:cs="Times New Roman"/>
          <w:kern w:val="0"/>
          <w:sz w:val="24"/>
          <w:szCs w:val="24"/>
        </w:rPr>
        <w:t>o psychotropných látkach</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z roku 1971. U ľudí sú je</w:t>
      </w:r>
      <w:r w:rsidR="0015261C" w:rsidRPr="00236240">
        <w:rPr>
          <w:rFonts w:ascii="Times New Roman" w:eastAsiaTheme="minorHAnsi" w:hAnsi="Times New Roman" w:cs="Times New Roman"/>
          <w:kern w:val="0"/>
          <w:sz w:val="24"/>
          <w:szCs w:val="24"/>
        </w:rPr>
        <w:t>j</w:t>
      </w:r>
      <w:r w:rsidR="00C51B11" w:rsidRPr="00236240">
        <w:rPr>
          <w:rFonts w:ascii="Times New Roman" w:eastAsiaTheme="minorHAnsi" w:hAnsi="Times New Roman" w:cs="Times New Roman"/>
          <w:kern w:val="0"/>
          <w:sz w:val="24"/>
          <w:szCs w:val="24"/>
        </w:rPr>
        <w:t xml:space="preserve"> účinky podobné účinkom </w:t>
      </w:r>
      <w:r w:rsidR="0015261C" w:rsidRPr="00236240">
        <w:rPr>
          <w:rFonts w:ascii="Times New Roman" w:eastAsiaTheme="minorHAnsi" w:hAnsi="Times New Roman" w:cs="Times New Roman"/>
          <w:kern w:val="0"/>
          <w:sz w:val="24"/>
          <w:szCs w:val="24"/>
        </w:rPr>
        <w:t>a</w:t>
      </w:r>
      <w:r w:rsidR="00C51B11" w:rsidRPr="00236240">
        <w:rPr>
          <w:rFonts w:ascii="Times New Roman" w:eastAsiaTheme="minorHAnsi" w:hAnsi="Times New Roman" w:cs="Times New Roman"/>
          <w:kern w:val="0"/>
          <w:sz w:val="24"/>
          <w:szCs w:val="24"/>
        </w:rPr>
        <w:t>mfetamínu, t.</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j. má stimulačné</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účinky, zvyšuje zhovorčivosť, vyvoláva nespavosť a pod. Medzi nežiaduce fyzické účinky</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patrí tachykardia, delírium a vznik záchvatov. Neexistujú žiadne kontrolované štúdie o</w:t>
      </w:r>
      <w:r w:rsidR="0015261C" w:rsidRPr="00236240">
        <w:rPr>
          <w:rFonts w:ascii="Times New Roman" w:eastAsiaTheme="minorHAnsi" w:hAnsi="Times New Roman" w:cs="Times New Roman"/>
          <w:kern w:val="0"/>
          <w:sz w:val="24"/>
          <w:szCs w:val="24"/>
        </w:rPr>
        <w:t xml:space="preserve"> </w:t>
      </w:r>
      <w:r w:rsidR="00C51B11" w:rsidRPr="00236240">
        <w:rPr>
          <w:rFonts w:ascii="Times New Roman" w:eastAsiaTheme="minorHAnsi" w:hAnsi="Times New Roman" w:cs="Times New Roman"/>
          <w:kern w:val="0"/>
          <w:sz w:val="24"/>
          <w:szCs w:val="24"/>
        </w:rPr>
        <w:t>je</w:t>
      </w:r>
      <w:r w:rsidR="0015261C" w:rsidRPr="00236240">
        <w:rPr>
          <w:rFonts w:ascii="Times New Roman" w:eastAsiaTheme="minorHAnsi" w:hAnsi="Times New Roman" w:cs="Times New Roman"/>
          <w:kern w:val="0"/>
          <w:sz w:val="24"/>
          <w:szCs w:val="24"/>
        </w:rPr>
        <w:t>j</w:t>
      </w:r>
      <w:r w:rsidR="00C51B11" w:rsidRPr="00236240">
        <w:rPr>
          <w:rFonts w:ascii="Times New Roman" w:eastAsiaTheme="minorHAnsi" w:hAnsi="Times New Roman" w:cs="Times New Roman"/>
          <w:kern w:val="0"/>
          <w:sz w:val="24"/>
          <w:szCs w:val="24"/>
        </w:rPr>
        <w:t xml:space="preserve"> liečebnom alebo priemyselnom využití</w:t>
      </w:r>
      <w:r w:rsidR="0015261C" w:rsidRPr="00236240">
        <w:rPr>
          <w:rFonts w:ascii="Times New Roman" w:eastAsiaTheme="minorHAnsi" w:hAnsi="Times New Roman" w:cs="Times New Roman"/>
          <w:kern w:val="0"/>
          <w:sz w:val="24"/>
          <w:szCs w:val="24"/>
        </w:rPr>
        <w:t xml:space="preserve">, preto sa navrhuje zaradenie </w:t>
      </w:r>
      <w:r w:rsidR="0015261C" w:rsidRPr="00236240">
        <w:rPr>
          <w:rFonts w:ascii="Times New Roman" w:hAnsi="Times New Roman" w:cs="Times New Roman"/>
          <w:sz w:val="24"/>
          <w:szCs w:val="24"/>
        </w:rPr>
        <w:t>do skupiny I.  psychotropných látok</w:t>
      </w:r>
      <w:r w:rsidR="00C51B11" w:rsidRPr="00236240">
        <w:rPr>
          <w:rFonts w:ascii="Times New Roman" w:eastAsiaTheme="minorHAnsi" w:hAnsi="Times New Roman" w:cs="Times New Roman"/>
          <w:kern w:val="0"/>
          <w:sz w:val="24"/>
          <w:szCs w:val="24"/>
        </w:rPr>
        <w:t xml:space="preserve">. </w:t>
      </w:r>
      <w:r w:rsidR="00DC5B76" w:rsidRPr="00236240">
        <w:rPr>
          <w:rFonts w:ascii="Times New Roman" w:hAnsi="Times New Roman" w:cs="Times New Roman"/>
          <w:sz w:val="24"/>
          <w:szCs w:val="24"/>
          <w:lang w:eastAsia="sk-SK"/>
        </w:rPr>
        <w:t>Ministerstva vnútra SR  n</w:t>
      </w:r>
      <w:r w:rsidR="00DC5B76" w:rsidRPr="00236240">
        <w:rPr>
          <w:rFonts w:ascii="Times New Roman" w:hAnsi="Times New Roman" w:cs="Times New Roman"/>
          <w:sz w:val="24"/>
          <w:szCs w:val="24"/>
        </w:rPr>
        <w:t>avrhuje zaradiť túto látku do I. skupiny omamných látok. S prihliadnutím na ustanovenie § 3 ods. 2 zákona Ministerstvo zdravotníctva SR navrhuje zaradenie látky do I. s</w:t>
      </w:r>
      <w:r w:rsidR="0093286F" w:rsidRPr="00236240">
        <w:rPr>
          <w:rFonts w:ascii="Times New Roman" w:hAnsi="Times New Roman" w:cs="Times New Roman"/>
          <w:sz w:val="24"/>
          <w:szCs w:val="24"/>
        </w:rPr>
        <w:t xml:space="preserve">kupiny psychotropných látok. </w:t>
      </w:r>
      <w:r w:rsidR="001560D7" w:rsidRPr="00236240">
        <w:rPr>
          <w:rFonts w:ascii="Times New Roman" w:hAnsi="Times New Roman" w:cs="Times New Roman"/>
          <w:sz w:val="24"/>
          <w:szCs w:val="24"/>
        </w:rPr>
        <w:t xml:space="preserve">Na základe rozhodnutia prijatého na </w:t>
      </w:r>
      <w:r w:rsidR="001560D7" w:rsidRPr="00236240">
        <w:rPr>
          <w:rFonts w:ascii="Times New Roman" w:hAnsi="Times New Roman" w:cs="Times New Roman"/>
          <w:sz w:val="24"/>
          <w:szCs w:val="24"/>
        </w:rPr>
        <w:lastRenderedPageBreak/>
        <w:t xml:space="preserve">64. zasadnutí Komisie pre omamné látky Úradu OSN pre omamné látky a kriminalitu v dňoch 12. 4. až 16. 4. 2021 </w:t>
      </w:r>
      <w:r w:rsidR="00A75F7D" w:rsidRPr="00236240">
        <w:rPr>
          <w:rFonts w:ascii="Times New Roman" w:hAnsi="Times New Roman" w:cs="Times New Roman"/>
          <w:b/>
          <w:sz w:val="24"/>
          <w:szCs w:val="24"/>
        </w:rPr>
        <w:t xml:space="preserve">a </w:t>
      </w:r>
      <w:r w:rsidR="00A75F7D" w:rsidRPr="00236240">
        <w:rPr>
          <w:rFonts w:ascii="Times New Roman" w:hAnsi="Times New Roman" w:cs="Times New Roman"/>
          <w:sz w:val="24"/>
          <w:szCs w:val="24"/>
        </w:rPr>
        <w:t>delegovanej smernice Komisie (EÚ) 2021/802 z 12. marca 2021, ktorou sa mení príloha k rámcovému rozhodnutiu Rady 2004/757/SVV, pokiaľ ide o z</w:t>
      </w:r>
      <w:r w:rsidR="0093286F" w:rsidRPr="00236240">
        <w:rPr>
          <w:rFonts w:ascii="Times New Roman" w:hAnsi="Times New Roman" w:cs="Times New Roman"/>
          <w:sz w:val="24"/>
          <w:szCs w:val="24"/>
        </w:rPr>
        <w:t xml:space="preserve">aradenie nových psychoaktívnych </w:t>
      </w:r>
      <w:r w:rsidR="00A75F7D" w:rsidRPr="00236240">
        <w:rPr>
          <w:rFonts w:ascii="Times New Roman" w:hAnsi="Times New Roman" w:cs="Times New Roman"/>
          <w:sz w:val="24"/>
          <w:szCs w:val="24"/>
        </w:rPr>
        <w:t>látok metyl-3,3-dimetyl-2-{[1-(pent-4-én-1-yl)-1</w:t>
      </w:r>
      <w:r w:rsidR="00A75F7D" w:rsidRPr="00236240">
        <w:rPr>
          <w:rFonts w:ascii="Times New Roman" w:hAnsi="Times New Roman" w:cs="Times New Roman"/>
          <w:i/>
          <w:iCs/>
          <w:sz w:val="24"/>
          <w:szCs w:val="24"/>
        </w:rPr>
        <w:t>H</w:t>
      </w:r>
      <w:r w:rsidR="00A75F7D" w:rsidRPr="00236240">
        <w:rPr>
          <w:rFonts w:ascii="Times New Roman" w:hAnsi="Times New Roman" w:cs="Times New Roman"/>
          <w:sz w:val="24"/>
          <w:szCs w:val="24"/>
        </w:rPr>
        <w:t>-indazol-3-karbonyl]amino}butanoát (MDMB-4en-PINACA) a metyl-2-{[1-(4-fluórbutyl)-1</w:t>
      </w:r>
      <w:r w:rsidR="00A75F7D" w:rsidRPr="00236240">
        <w:rPr>
          <w:rFonts w:ascii="Times New Roman" w:hAnsi="Times New Roman" w:cs="Times New Roman"/>
          <w:i/>
          <w:iCs/>
          <w:sz w:val="24"/>
          <w:szCs w:val="24"/>
        </w:rPr>
        <w:t>H</w:t>
      </w:r>
      <w:r w:rsidR="00A75F7D" w:rsidRPr="00236240">
        <w:rPr>
          <w:rFonts w:ascii="Times New Roman" w:hAnsi="Times New Roman" w:cs="Times New Roman"/>
          <w:sz w:val="24"/>
          <w:szCs w:val="24"/>
        </w:rPr>
        <w:t>-indol-3-karbonyl]amino}-3,3-dimetylbutanoát (4F-MDMB-BICA) do vymedzenia pojmu drogy</w:t>
      </w:r>
      <w:r w:rsidR="00A75F7D" w:rsidRPr="00236240">
        <w:rPr>
          <w:rFonts w:ascii="Times New Roman" w:hAnsi="Times New Roman" w:cs="Times New Roman"/>
          <w:b/>
          <w:sz w:val="24"/>
          <w:szCs w:val="24"/>
        </w:rPr>
        <w:t xml:space="preserve"> </w:t>
      </w:r>
      <w:r w:rsidR="00236240" w:rsidRPr="00236240">
        <w:rPr>
          <w:rFonts w:ascii="Times New Roman" w:hAnsi="Times New Roman" w:cs="Times New Roman"/>
          <w:sz w:val="24"/>
          <w:szCs w:val="24"/>
        </w:rPr>
        <w:t>(Ú. v. EÚ L 178, 20. 5. 2021)</w:t>
      </w:r>
      <w:r w:rsidR="00236240" w:rsidRPr="00236240">
        <w:rPr>
          <w:rFonts w:ascii="Times New Roman" w:hAnsi="Times New Roman" w:cs="Times New Roman"/>
          <w:b/>
          <w:sz w:val="24"/>
          <w:szCs w:val="24"/>
        </w:rPr>
        <w:t xml:space="preserve"> </w:t>
      </w:r>
      <w:r w:rsidR="001560D7" w:rsidRPr="00236240">
        <w:rPr>
          <w:rFonts w:ascii="Times New Roman" w:hAnsi="Times New Roman" w:cs="Times New Roman"/>
          <w:sz w:val="24"/>
          <w:szCs w:val="24"/>
        </w:rPr>
        <w:t xml:space="preserve">sa zaraďuje do skupiny I.  </w:t>
      </w:r>
      <w:r w:rsidR="00506CA9" w:rsidRPr="00236240">
        <w:rPr>
          <w:rFonts w:ascii="Times New Roman" w:hAnsi="Times New Roman" w:cs="Times New Roman"/>
          <w:sz w:val="24"/>
          <w:szCs w:val="24"/>
        </w:rPr>
        <w:t>psychotropných</w:t>
      </w:r>
      <w:r w:rsidR="001560D7" w:rsidRPr="00236240">
        <w:rPr>
          <w:rFonts w:ascii="Times New Roman" w:hAnsi="Times New Roman" w:cs="Times New Roman"/>
          <w:sz w:val="24"/>
          <w:szCs w:val="24"/>
        </w:rPr>
        <w:t xml:space="preserve"> látok</w:t>
      </w:r>
      <w:r w:rsidR="005959CB" w:rsidRPr="00236240">
        <w:rPr>
          <w:rFonts w:ascii="Times New Roman" w:hAnsi="Times New Roman" w:cs="Times New Roman"/>
          <w:sz w:val="24"/>
          <w:szCs w:val="24"/>
        </w:rPr>
        <w:tab/>
      </w:r>
      <w:r w:rsidR="00772D2D" w:rsidRPr="00236240">
        <w:rPr>
          <w:rFonts w:ascii="Times New Roman" w:hAnsi="Times New Roman" w:cs="Times New Roman"/>
          <w:sz w:val="24"/>
          <w:szCs w:val="24"/>
        </w:rPr>
        <w:t xml:space="preserve">látka </w:t>
      </w:r>
      <w:r w:rsidR="00772D2D" w:rsidRPr="00236240">
        <w:rPr>
          <w:rFonts w:ascii="Times New Roman" w:eastAsia="Times New Roman" w:hAnsi="Times New Roman" w:cs="Times New Roman"/>
          <w:sz w:val="24"/>
          <w:szCs w:val="24"/>
          <w:lang w:eastAsia="sk-SK"/>
        </w:rPr>
        <w:t>4F-MDMB-BICA</w:t>
      </w:r>
      <w:r w:rsidR="00772D2D" w:rsidRPr="00236240">
        <w:rPr>
          <w:rFonts w:ascii="Times New Roman" w:hAnsi="Times New Roman" w:cs="Times New Roman"/>
          <w:sz w:val="24"/>
          <w:szCs w:val="24"/>
        </w:rPr>
        <w:t>.</w:t>
      </w:r>
      <w:r w:rsidR="00772D2D" w:rsidRPr="00236240">
        <w:rPr>
          <w:rFonts w:ascii="Times New Roman" w:eastAsia="Times New Roman" w:hAnsi="Times New Roman" w:cs="Times New Roman"/>
          <w:bCs/>
          <w:sz w:val="24"/>
          <w:szCs w:val="24"/>
          <w:lang w:eastAsia="sk-SK"/>
        </w:rPr>
        <w:t xml:space="preserve">  L</w:t>
      </w:r>
      <w:r w:rsidR="00772D2D" w:rsidRPr="00236240">
        <w:rPr>
          <w:rFonts w:ascii="Times New Roman" w:hAnsi="Times New Roman" w:cs="Times New Roman"/>
          <w:sz w:val="24"/>
          <w:szCs w:val="24"/>
        </w:rPr>
        <w:t xml:space="preserve">átka </w:t>
      </w:r>
      <w:r w:rsidR="00772D2D" w:rsidRPr="00236240">
        <w:rPr>
          <w:rFonts w:ascii="Times New Roman" w:eastAsia="Times New Roman" w:hAnsi="Times New Roman" w:cs="Times New Roman"/>
          <w:bCs/>
          <w:sz w:val="24"/>
          <w:szCs w:val="24"/>
          <w:lang w:eastAsia="sk-SK"/>
        </w:rPr>
        <w:t>4F-MDMB-BICA</w:t>
      </w:r>
      <w:r w:rsidR="00772D2D" w:rsidRPr="00236240">
        <w:rPr>
          <w:rFonts w:ascii="Times New Roman" w:hAnsi="Times New Roman" w:cs="Times New Roman"/>
          <w:sz w:val="24"/>
          <w:szCs w:val="24"/>
        </w:rPr>
        <w:t xml:space="preserve"> nemá terapeutické použitie a preto sa v súlade s § 3 ods. 2 zákona navrhuje zaradiť do I. skupiny psychotropných látok.   </w:t>
      </w:r>
      <w:r w:rsidR="00A75F7D" w:rsidRPr="00236240">
        <w:rPr>
          <w:rFonts w:ascii="Times New Roman" w:eastAsia="Times New Roman" w:hAnsi="Times New Roman" w:cs="Times New Roman"/>
          <w:sz w:val="24"/>
          <w:szCs w:val="24"/>
          <w:lang w:eastAsia="sk-SK"/>
        </w:rPr>
        <w:t>Sedem členských štátov kontroluje látku 4F-MDMB-BICA podľa vnútroštátnych právnych predpisov o kontrole drog, štyri členské štáty ju kontrolujú podľa právnych predpisov o nových psychoaktívnych látkach a jeden členský štát ju kontroluje podľa iných právnych predpisov. Vzhľadom na to, že tieto vnútroštátne kontrolné opatrenia sú už zavedené, zahrnutie látky 4F-MDMB-BICA do vymedzenia pojmu drogy</w:t>
      </w:r>
      <w:r w:rsidR="00236240" w:rsidRPr="00236240">
        <w:rPr>
          <w:rFonts w:ascii="Times New Roman" w:eastAsia="Times New Roman" w:hAnsi="Times New Roman" w:cs="Times New Roman"/>
          <w:sz w:val="24"/>
          <w:szCs w:val="24"/>
          <w:lang w:eastAsia="sk-SK"/>
        </w:rPr>
        <w:t xml:space="preserve"> </w:t>
      </w:r>
      <w:r w:rsidR="00236240" w:rsidRPr="00236240">
        <w:rPr>
          <w:rFonts w:ascii="Times New Roman" w:hAnsi="Times New Roman" w:cs="Times New Roman"/>
          <w:color w:val="000000"/>
          <w:sz w:val="24"/>
          <w:szCs w:val="24"/>
          <w:shd w:val="clear" w:color="auto" w:fill="FBFBFB"/>
        </w:rPr>
        <w:t>(Ú. v. EÚ L 178, 20. 5. 2021),</w:t>
      </w:r>
      <w:r w:rsidR="00A75F7D" w:rsidRPr="00236240">
        <w:rPr>
          <w:rFonts w:ascii="Times New Roman" w:eastAsia="Times New Roman" w:hAnsi="Times New Roman" w:cs="Times New Roman"/>
          <w:sz w:val="24"/>
          <w:szCs w:val="24"/>
          <w:lang w:eastAsia="sk-SK"/>
        </w:rPr>
        <w:t xml:space="preserve"> čím </w:t>
      </w:r>
      <w:r w:rsidR="00A8519B" w:rsidRPr="00236240">
        <w:rPr>
          <w:rFonts w:ascii="Times New Roman" w:eastAsia="Times New Roman" w:hAnsi="Times New Roman" w:cs="Times New Roman"/>
          <w:sz w:val="24"/>
          <w:szCs w:val="24"/>
          <w:lang w:eastAsia="sk-SK"/>
        </w:rPr>
        <w:t>sa</w:t>
      </w:r>
      <w:r w:rsidR="00A75F7D" w:rsidRPr="00236240">
        <w:rPr>
          <w:rFonts w:ascii="Times New Roman" w:eastAsia="Times New Roman" w:hAnsi="Times New Roman" w:cs="Times New Roman"/>
          <w:sz w:val="24"/>
          <w:szCs w:val="24"/>
          <w:lang w:eastAsia="sk-SK"/>
        </w:rPr>
        <w:t xml:space="preserve"> t</w:t>
      </w:r>
      <w:r w:rsidR="00A8519B" w:rsidRPr="00236240">
        <w:rPr>
          <w:rFonts w:ascii="Times New Roman" w:eastAsia="Times New Roman" w:hAnsi="Times New Roman" w:cs="Times New Roman"/>
          <w:sz w:val="24"/>
          <w:szCs w:val="24"/>
          <w:lang w:eastAsia="sk-SK"/>
        </w:rPr>
        <w:t>á</w:t>
      </w:r>
      <w:r w:rsidR="00A75F7D" w:rsidRPr="00236240">
        <w:rPr>
          <w:rFonts w:ascii="Times New Roman" w:eastAsia="Times New Roman" w:hAnsi="Times New Roman" w:cs="Times New Roman"/>
          <w:sz w:val="24"/>
          <w:szCs w:val="24"/>
          <w:lang w:eastAsia="sk-SK"/>
        </w:rPr>
        <w:t>to látk</w:t>
      </w:r>
      <w:r w:rsidR="00A8519B" w:rsidRPr="00236240">
        <w:rPr>
          <w:rFonts w:ascii="Times New Roman" w:eastAsia="Times New Roman" w:hAnsi="Times New Roman" w:cs="Times New Roman"/>
          <w:sz w:val="24"/>
          <w:szCs w:val="24"/>
          <w:lang w:eastAsia="sk-SK"/>
        </w:rPr>
        <w:t>a</w:t>
      </w:r>
      <w:r w:rsidR="00A75F7D" w:rsidRPr="00236240">
        <w:rPr>
          <w:rFonts w:ascii="Times New Roman" w:eastAsia="Times New Roman" w:hAnsi="Times New Roman" w:cs="Times New Roman"/>
          <w:sz w:val="24"/>
          <w:szCs w:val="24"/>
          <w:lang w:eastAsia="sk-SK"/>
        </w:rPr>
        <w:t xml:space="preserve"> sta</w:t>
      </w:r>
      <w:r w:rsidR="00A8519B" w:rsidRPr="00236240">
        <w:rPr>
          <w:rFonts w:ascii="Times New Roman" w:eastAsia="Times New Roman" w:hAnsi="Times New Roman" w:cs="Times New Roman"/>
          <w:sz w:val="24"/>
          <w:szCs w:val="24"/>
          <w:lang w:eastAsia="sk-SK"/>
        </w:rPr>
        <w:t>ne</w:t>
      </w:r>
      <w:r w:rsidR="00A75F7D" w:rsidRPr="00236240">
        <w:rPr>
          <w:rFonts w:ascii="Times New Roman" w:eastAsia="Times New Roman" w:hAnsi="Times New Roman" w:cs="Times New Roman"/>
          <w:sz w:val="24"/>
          <w:szCs w:val="24"/>
          <w:lang w:eastAsia="sk-SK"/>
        </w:rPr>
        <w:t xml:space="preserve"> predmetom trestnoprávnych ustanovení o trestných činoch a sankciách, ako sú vymedzené v rámcovom rozhodnutí 2004/757</w:t>
      </w:r>
      <w:r w:rsidR="00A8519B" w:rsidRPr="00236240">
        <w:rPr>
          <w:rFonts w:ascii="Times New Roman" w:eastAsia="Times New Roman" w:hAnsi="Times New Roman" w:cs="Times New Roman"/>
          <w:sz w:val="24"/>
          <w:szCs w:val="24"/>
          <w:lang w:eastAsia="sk-SK"/>
        </w:rPr>
        <w:t xml:space="preserve"> a </w:t>
      </w:r>
      <w:r w:rsidR="003F27CA" w:rsidRPr="00236240">
        <w:rPr>
          <w:rFonts w:ascii="Times New Roman" w:eastAsia="Times New Roman" w:hAnsi="Times New Roman" w:cs="Times New Roman"/>
          <w:sz w:val="24"/>
          <w:szCs w:val="24"/>
          <w:lang w:eastAsia="sk-SK"/>
        </w:rPr>
        <w:t>t</w:t>
      </w:r>
      <w:r w:rsidR="00A8519B" w:rsidRPr="00236240">
        <w:rPr>
          <w:rFonts w:ascii="Times New Roman" w:eastAsia="Times New Roman" w:hAnsi="Times New Roman" w:cs="Times New Roman"/>
          <w:sz w:val="24"/>
          <w:szCs w:val="24"/>
          <w:lang w:eastAsia="sk-SK"/>
        </w:rPr>
        <w:t>ým sa pomôže</w:t>
      </w:r>
      <w:r w:rsidR="00A75F7D" w:rsidRPr="00236240">
        <w:rPr>
          <w:rFonts w:ascii="Times New Roman" w:eastAsia="Times New Roman" w:hAnsi="Times New Roman" w:cs="Times New Roman"/>
          <w:sz w:val="24"/>
          <w:szCs w:val="24"/>
          <w:lang w:eastAsia="sk-SK"/>
        </w:rPr>
        <w:t xml:space="preserve"> predísť vzniku prekážok pri cezhraničnom presadzovaní práva a justičnej spolupráci a</w:t>
      </w:r>
      <w:r w:rsidR="00A8519B" w:rsidRPr="00236240">
        <w:rPr>
          <w:rFonts w:ascii="Times New Roman" w:eastAsia="Times New Roman" w:hAnsi="Times New Roman" w:cs="Times New Roman"/>
          <w:sz w:val="24"/>
          <w:szCs w:val="24"/>
          <w:lang w:eastAsia="sk-SK"/>
        </w:rPr>
        <w:t> </w:t>
      </w:r>
      <w:r w:rsidR="00A75F7D" w:rsidRPr="00236240">
        <w:rPr>
          <w:rFonts w:ascii="Times New Roman" w:eastAsia="Times New Roman" w:hAnsi="Times New Roman" w:cs="Times New Roman"/>
          <w:sz w:val="24"/>
          <w:szCs w:val="24"/>
          <w:lang w:eastAsia="sk-SK"/>
        </w:rPr>
        <w:t>prispe</w:t>
      </w:r>
      <w:r w:rsidR="00A8519B" w:rsidRPr="00236240">
        <w:rPr>
          <w:rFonts w:ascii="Times New Roman" w:eastAsia="Times New Roman" w:hAnsi="Times New Roman" w:cs="Times New Roman"/>
          <w:sz w:val="24"/>
          <w:szCs w:val="24"/>
          <w:lang w:eastAsia="sk-SK"/>
        </w:rPr>
        <w:t xml:space="preserve">je sa </w:t>
      </w:r>
      <w:r w:rsidR="00A75F7D" w:rsidRPr="00236240">
        <w:rPr>
          <w:rFonts w:ascii="Times New Roman" w:eastAsia="Times New Roman" w:hAnsi="Times New Roman" w:cs="Times New Roman"/>
          <w:sz w:val="24"/>
          <w:szCs w:val="24"/>
          <w:lang w:eastAsia="sk-SK"/>
        </w:rPr>
        <w:t>k ochrane pred rizikami, ktoré môž</w:t>
      </w:r>
      <w:r w:rsidR="00A8519B" w:rsidRPr="00236240">
        <w:rPr>
          <w:rFonts w:ascii="Times New Roman" w:eastAsia="Times New Roman" w:hAnsi="Times New Roman" w:cs="Times New Roman"/>
          <w:sz w:val="24"/>
          <w:szCs w:val="24"/>
          <w:lang w:eastAsia="sk-SK"/>
        </w:rPr>
        <w:t>u</w:t>
      </w:r>
      <w:r w:rsidR="00A75F7D" w:rsidRPr="00236240">
        <w:rPr>
          <w:rFonts w:ascii="Times New Roman" w:eastAsia="Times New Roman" w:hAnsi="Times New Roman" w:cs="Times New Roman"/>
          <w:sz w:val="24"/>
          <w:szCs w:val="24"/>
          <w:lang w:eastAsia="sk-SK"/>
        </w:rPr>
        <w:t xml:space="preserve"> predstavovať</w:t>
      </w:r>
      <w:r w:rsidR="00A8519B" w:rsidRPr="00236240">
        <w:rPr>
          <w:rFonts w:ascii="Times New Roman" w:eastAsia="Times New Roman" w:hAnsi="Times New Roman" w:cs="Times New Roman"/>
          <w:sz w:val="24"/>
          <w:szCs w:val="24"/>
          <w:lang w:eastAsia="sk-SK"/>
        </w:rPr>
        <w:t xml:space="preserve"> jej</w:t>
      </w:r>
      <w:r w:rsidR="00A75F7D" w:rsidRPr="00236240">
        <w:rPr>
          <w:rFonts w:ascii="Times New Roman" w:eastAsia="Times New Roman" w:hAnsi="Times New Roman" w:cs="Times New Roman"/>
          <w:sz w:val="24"/>
          <w:szCs w:val="24"/>
          <w:lang w:eastAsia="sk-SK"/>
        </w:rPr>
        <w:t xml:space="preserve"> dostupnosť a</w:t>
      </w:r>
      <w:r w:rsidR="00A8519B" w:rsidRPr="00236240">
        <w:rPr>
          <w:rFonts w:ascii="Times New Roman" w:eastAsia="Times New Roman" w:hAnsi="Times New Roman" w:cs="Times New Roman"/>
          <w:sz w:val="24"/>
          <w:szCs w:val="24"/>
          <w:lang w:eastAsia="sk-SK"/>
        </w:rPr>
        <w:t> </w:t>
      </w:r>
      <w:r w:rsidR="00A75F7D" w:rsidRPr="00236240">
        <w:rPr>
          <w:rFonts w:ascii="Times New Roman" w:eastAsia="Times New Roman" w:hAnsi="Times New Roman" w:cs="Times New Roman"/>
          <w:sz w:val="24"/>
          <w:szCs w:val="24"/>
          <w:lang w:eastAsia="sk-SK"/>
        </w:rPr>
        <w:t>užívanie</w:t>
      </w:r>
      <w:r w:rsidR="00A8519B" w:rsidRPr="00236240">
        <w:rPr>
          <w:rFonts w:ascii="Times New Roman" w:eastAsia="Times New Roman" w:hAnsi="Times New Roman" w:cs="Times New Roman"/>
          <w:sz w:val="24"/>
          <w:szCs w:val="24"/>
          <w:lang w:eastAsia="sk-SK"/>
        </w:rPr>
        <w:t>.</w:t>
      </w:r>
    </w:p>
    <w:p w:rsidR="0093286F" w:rsidRPr="00236240" w:rsidRDefault="0093286F" w:rsidP="0093286F">
      <w:pPr>
        <w:pStyle w:val="Nzov"/>
        <w:spacing w:before="0" w:line="360" w:lineRule="auto"/>
        <w:contextualSpacing/>
        <w:jc w:val="both"/>
        <w:rPr>
          <w:b w:val="0"/>
        </w:rPr>
      </w:pPr>
    </w:p>
    <w:p w:rsidR="005959CB" w:rsidRPr="00236240" w:rsidRDefault="005959CB" w:rsidP="0093286F">
      <w:pPr>
        <w:pStyle w:val="Nzov"/>
        <w:spacing w:before="0" w:line="360" w:lineRule="auto"/>
        <w:contextualSpacing/>
        <w:jc w:val="both"/>
      </w:pPr>
      <w:r w:rsidRPr="00236240">
        <w:rPr>
          <w:b w:val="0"/>
        </w:rPr>
        <w:t xml:space="preserve">K bodu </w:t>
      </w:r>
      <w:r w:rsidR="00B23864" w:rsidRPr="00236240">
        <w:rPr>
          <w:b w:val="0"/>
        </w:rPr>
        <w:t>6</w:t>
      </w:r>
    </w:p>
    <w:p w:rsidR="001560D7" w:rsidRPr="00236240" w:rsidRDefault="001560D7" w:rsidP="00056AD9">
      <w:pPr>
        <w:pStyle w:val="Nzov"/>
        <w:spacing w:before="0" w:line="360" w:lineRule="auto"/>
        <w:ind w:firstLine="708"/>
        <w:contextualSpacing/>
        <w:jc w:val="both"/>
        <w:rPr>
          <w:b w:val="0"/>
        </w:rPr>
      </w:pPr>
      <w:r w:rsidRPr="00236240">
        <w:rPr>
          <w:b w:val="0"/>
        </w:rPr>
        <w:t xml:space="preserve">Na základe rozhodnutia prijatého na 64. zasadnutí Komisie pre omamné látky Úradu OSN pre omamné látky a kriminalitu v dňoch 12. 4. až 16. 4. 2021 sa zaraďuje do skupiny I.  </w:t>
      </w:r>
      <w:r w:rsidR="00506CA9" w:rsidRPr="00236240">
        <w:rPr>
          <w:b w:val="0"/>
        </w:rPr>
        <w:t>psychotropných</w:t>
      </w:r>
      <w:r w:rsidRPr="00236240">
        <w:rPr>
          <w:b w:val="0"/>
        </w:rPr>
        <w:t xml:space="preserve"> látok</w:t>
      </w:r>
      <w:r w:rsidR="006A7A0B" w:rsidRPr="00236240">
        <w:rPr>
          <w:b w:val="0"/>
        </w:rPr>
        <w:t xml:space="preserve"> látka</w:t>
      </w:r>
      <w:r w:rsidRPr="00236240">
        <w:rPr>
          <w:b w:val="0"/>
        </w:rPr>
        <w:tab/>
      </w:r>
      <w:r w:rsidR="006A7A0B" w:rsidRPr="00236240">
        <w:rPr>
          <w:b w:val="0"/>
        </w:rPr>
        <w:t>Flubromazolam. Táto látka nemá terapeutické použitie a preto sa v súlade s § 3 ods. 2 zákona navrhuje zaradiť do I. skupiny psychotropných látok.   Ide o silne účinný derivát benzodiazepínu, ktorý vyvoláva dlhotrvajúci depresívny účinok na centrálny nervový systém. Zosilňuje</w:t>
      </w:r>
      <w:r w:rsidR="00257C62" w:rsidRPr="00236240">
        <w:rPr>
          <w:b w:val="0"/>
        </w:rPr>
        <w:t xml:space="preserve"> </w:t>
      </w:r>
      <w:r w:rsidR="006A7A0B" w:rsidRPr="00236240">
        <w:rPr>
          <w:b w:val="0"/>
        </w:rPr>
        <w:t>účinok kyseliny gama</w:t>
      </w:r>
      <w:r w:rsidR="00257C62" w:rsidRPr="00236240">
        <w:rPr>
          <w:b w:val="0"/>
        </w:rPr>
        <w:t xml:space="preserve"> </w:t>
      </w:r>
      <w:r w:rsidR="006A7A0B" w:rsidRPr="00236240">
        <w:rPr>
          <w:b w:val="0"/>
        </w:rPr>
        <w:t>am</w:t>
      </w:r>
      <w:r w:rsidR="00257C62" w:rsidRPr="00236240">
        <w:rPr>
          <w:b w:val="0"/>
        </w:rPr>
        <w:t>í</w:t>
      </w:r>
      <w:r w:rsidR="006A7A0B" w:rsidRPr="00236240">
        <w:rPr>
          <w:b w:val="0"/>
        </w:rPr>
        <w:t>no maslovej (GABA), ktorá ako neuromedi</w:t>
      </w:r>
      <w:r w:rsidR="00257C62" w:rsidRPr="00236240">
        <w:rPr>
          <w:b w:val="0"/>
        </w:rPr>
        <w:t>á</w:t>
      </w:r>
      <w:r w:rsidR="006A7A0B" w:rsidRPr="00236240">
        <w:rPr>
          <w:b w:val="0"/>
        </w:rPr>
        <w:t>tor</w:t>
      </w:r>
      <w:r w:rsidR="00257C62" w:rsidRPr="00236240">
        <w:rPr>
          <w:b w:val="0"/>
        </w:rPr>
        <w:t xml:space="preserve">, inhibítor, sa viaže na receptory benzodiazapínov. </w:t>
      </w:r>
      <w:r w:rsidR="006A7A0B" w:rsidRPr="00236240">
        <w:rPr>
          <w:b w:val="0"/>
        </w:rPr>
        <w:t xml:space="preserve">  </w:t>
      </w:r>
      <w:r w:rsidR="00257C62" w:rsidRPr="00236240">
        <w:rPr>
          <w:b w:val="0"/>
        </w:rPr>
        <w:t xml:space="preserve">Tento mechanizmus účinku má podobný efekt </w:t>
      </w:r>
      <w:r w:rsidR="00BD5407" w:rsidRPr="00236240">
        <w:rPr>
          <w:b w:val="0"/>
        </w:rPr>
        <w:t>aký má tria</w:t>
      </w:r>
      <w:r w:rsidR="00257C62" w:rsidRPr="00236240">
        <w:rPr>
          <w:b w:val="0"/>
        </w:rPr>
        <w:t>zolam a alprazolam, ktoré sú rovnako derivátmi benzodiazepínu</w:t>
      </w:r>
      <w:r w:rsidR="00BD5407" w:rsidRPr="00236240">
        <w:rPr>
          <w:b w:val="0"/>
        </w:rPr>
        <w:t xml:space="preserve"> a sú zaradené medzi psychotropné látky III. skupiny. Farmakokinetická štúdia preukázala, že 0,5 mg flubromazolu vyvolala silný sedatívny účinok</w:t>
      </w:r>
      <w:r w:rsidR="00D55847" w:rsidRPr="00236240">
        <w:rPr>
          <w:b w:val="0"/>
        </w:rPr>
        <w:t xml:space="preserve"> počas 10 hodín a čiastočnú amnéziu počas viac ako 24 hodín. Ako antidotum tohto účinku možno použiť flumazenil, ktorý je antagonistom benzodiazepínov. Zneužíva sa pre svoj anxiolytický, euforizujúci a sedatívny účinok. Táto látka sa veľmi  často </w:t>
      </w:r>
      <w:r w:rsidR="00C5670F" w:rsidRPr="00236240">
        <w:rPr>
          <w:b w:val="0"/>
        </w:rPr>
        <w:t>zneužíva ako liečivo a </w:t>
      </w:r>
      <w:r w:rsidR="00D55847" w:rsidRPr="00236240">
        <w:rPr>
          <w:b w:val="0"/>
        </w:rPr>
        <w:t>predáva</w:t>
      </w:r>
      <w:r w:rsidR="00C5670F" w:rsidRPr="00236240">
        <w:rPr>
          <w:b w:val="0"/>
        </w:rPr>
        <w:t xml:space="preserve"> sa</w:t>
      </w:r>
      <w:r w:rsidR="00D55847" w:rsidRPr="00236240">
        <w:rPr>
          <w:b w:val="0"/>
        </w:rPr>
        <w:t xml:space="preserve"> ako farmaceutický benzodiazepín. Následne sa vyskytli intoxikácie, ktoré vyžadovali hospitalizáciu.</w:t>
      </w:r>
    </w:p>
    <w:p w:rsidR="00056AD9" w:rsidRPr="00236240" w:rsidRDefault="00056AD9" w:rsidP="00056AD9">
      <w:pPr>
        <w:pStyle w:val="Textbody"/>
        <w:spacing w:line="360" w:lineRule="auto"/>
        <w:rPr>
          <w:rFonts w:ascii="Times New Roman" w:hAnsi="Times New Roman" w:cs="Times New Roman"/>
          <w:sz w:val="24"/>
          <w:szCs w:val="24"/>
          <w:lang w:eastAsia="sk-SK"/>
        </w:rPr>
      </w:pPr>
    </w:p>
    <w:p w:rsidR="00FF0A23" w:rsidRPr="00236240" w:rsidRDefault="00FF0A23" w:rsidP="00056AD9">
      <w:pPr>
        <w:pStyle w:val="Textbody"/>
        <w:spacing w:after="0" w:line="360" w:lineRule="auto"/>
        <w:rPr>
          <w:rFonts w:ascii="Times New Roman" w:hAnsi="Times New Roman" w:cs="Times New Roman"/>
          <w:sz w:val="24"/>
          <w:szCs w:val="24"/>
          <w:lang w:eastAsia="sk-SK"/>
        </w:rPr>
      </w:pPr>
      <w:r w:rsidRPr="00236240">
        <w:rPr>
          <w:rFonts w:ascii="Times New Roman" w:hAnsi="Times New Roman" w:cs="Times New Roman"/>
          <w:sz w:val="24"/>
          <w:szCs w:val="24"/>
          <w:lang w:eastAsia="sk-SK"/>
        </w:rPr>
        <w:lastRenderedPageBreak/>
        <w:t xml:space="preserve">K bodu </w:t>
      </w:r>
      <w:r w:rsidR="00B23864" w:rsidRPr="00236240">
        <w:rPr>
          <w:rFonts w:ascii="Times New Roman" w:hAnsi="Times New Roman" w:cs="Times New Roman"/>
          <w:sz w:val="24"/>
          <w:szCs w:val="24"/>
          <w:lang w:eastAsia="sk-SK"/>
        </w:rPr>
        <w:t>7</w:t>
      </w:r>
    </w:p>
    <w:p w:rsidR="00BE10AC" w:rsidRPr="00236240" w:rsidRDefault="00FF0A23" w:rsidP="0093286F">
      <w:pPr>
        <w:autoSpaceDE w:val="0"/>
        <w:adjustRightInd w:val="0"/>
        <w:spacing w:after="0" w:line="360" w:lineRule="auto"/>
        <w:ind w:firstLine="567"/>
        <w:rPr>
          <w:rFonts w:ascii="Times New Roman" w:hAnsi="Times New Roman" w:cs="Times New Roman"/>
          <w:sz w:val="24"/>
          <w:szCs w:val="24"/>
          <w:lang w:eastAsia="sk-SK"/>
        </w:rPr>
      </w:pPr>
      <w:r w:rsidRPr="00236240">
        <w:rPr>
          <w:rFonts w:ascii="Times New Roman" w:eastAsiaTheme="minorHAnsi" w:hAnsi="Times New Roman" w:cs="Times New Roman"/>
          <w:kern w:val="0"/>
          <w:sz w:val="24"/>
          <w:szCs w:val="24"/>
        </w:rPr>
        <w:t xml:space="preserve">Látka </w:t>
      </w:r>
      <w:r w:rsidRPr="00236240">
        <w:rPr>
          <w:rFonts w:ascii="Times New Roman" w:hAnsi="Times New Roman" w:cs="Times New Roman"/>
          <w:sz w:val="24"/>
          <w:szCs w:val="24"/>
          <w:shd w:val="clear" w:color="auto" w:fill="FFFFFF"/>
        </w:rPr>
        <w:t>(</w:t>
      </w:r>
      <w:r w:rsidRPr="00236240">
        <w:rPr>
          <w:rFonts w:ascii="Times New Roman" w:hAnsi="Times New Roman" w:cs="Times New Roman"/>
          <w:bCs/>
          <w:sz w:val="24"/>
          <w:szCs w:val="24"/>
          <w:shd w:val="clear" w:color="auto" w:fill="FFFFFF"/>
        </w:rPr>
        <w:t>3-HO-PCP</w:t>
      </w:r>
      <w:r w:rsidRPr="00236240">
        <w:rPr>
          <w:rFonts w:ascii="Times New Roman" w:hAnsi="Times New Roman" w:cs="Times New Roman"/>
          <w:sz w:val="24"/>
          <w:szCs w:val="24"/>
          <w:shd w:val="clear" w:color="auto" w:fill="FFFFFF"/>
        </w:rPr>
        <w:t xml:space="preserve">), </w:t>
      </w:r>
      <w:r w:rsidRPr="00236240">
        <w:rPr>
          <w:rFonts w:ascii="Times New Roman" w:hAnsi="Times New Roman" w:cs="Times New Roman"/>
          <w:bCs/>
          <w:sz w:val="24"/>
          <w:szCs w:val="24"/>
          <w:shd w:val="clear" w:color="auto" w:fill="FFFFFF"/>
        </w:rPr>
        <w:t>3-hydroxyfencyklidín</w:t>
      </w:r>
      <w:r w:rsidRPr="00236240">
        <w:rPr>
          <w:rFonts w:ascii="Times New Roman" w:eastAsiaTheme="minorHAnsi" w:hAnsi="Times New Roman" w:cs="Times New Roman"/>
          <w:kern w:val="0"/>
          <w:sz w:val="24"/>
          <w:szCs w:val="24"/>
        </w:rPr>
        <w:t xml:space="preserve"> je syntetická látka z chemickej triedy arylcyklohexylamínov, pričom je vyššia pravdepodobnosť vzniku závislosti ako u difenidínu, efenidínu, DCK alebo ketamínu. Po podaní vyvoláva silné disociačné, halucinogénne a v závislosti od množstva konzumovanej látky utlmujúce alebo stimulujúce účinky, vrátane porúch pamäte od amnézie po tzv. „smrť ega“ (úplná pamäťová disfunkcia krátkodobej aj dlhodobej pamäte, t. j. osoba má zablokované všetky mentálne asociácie, pripojené významy, získané preferencie a hodnotové úsudky, stráca pocit seba samého a neuvedomuje svoju vlastnú existenciu. Neexistujú žiadne kontrolované štúdie o jej liečebnom alebo priemyselnom využití. </w:t>
      </w:r>
      <w:r w:rsidRPr="00236240">
        <w:rPr>
          <w:rFonts w:ascii="Times New Roman" w:hAnsi="Times New Roman" w:cs="Times New Roman"/>
          <w:sz w:val="24"/>
          <w:szCs w:val="24"/>
          <w:lang w:eastAsia="sk-SK"/>
        </w:rPr>
        <w:t>Ministerstva vnútra SR  n</w:t>
      </w:r>
      <w:r w:rsidRPr="00236240">
        <w:rPr>
          <w:rFonts w:ascii="Times New Roman" w:hAnsi="Times New Roman" w:cs="Times New Roman"/>
          <w:sz w:val="24"/>
          <w:szCs w:val="24"/>
        </w:rPr>
        <w:t xml:space="preserve">avrhuje zaradiť túto látku do I. skupiny omamných látok. S prihliadnutím na ustanovenie § 3 ods. 2 zákona Ministerstvo zdravotníctva SR navrhuje zaradenie látky do I. skupiny psychotropných látok.    </w:t>
      </w:r>
    </w:p>
    <w:p w:rsidR="0093286F" w:rsidRPr="00236240" w:rsidRDefault="0093286F" w:rsidP="00056AD9">
      <w:pPr>
        <w:spacing w:after="0" w:line="360" w:lineRule="auto"/>
        <w:contextualSpacing/>
        <w:rPr>
          <w:rFonts w:ascii="Times New Roman" w:hAnsi="Times New Roman" w:cs="Times New Roman"/>
          <w:sz w:val="24"/>
          <w:szCs w:val="24"/>
        </w:rPr>
      </w:pPr>
    </w:p>
    <w:p w:rsidR="00FE7507" w:rsidRPr="00236240" w:rsidRDefault="00FE7507" w:rsidP="00056AD9">
      <w:pPr>
        <w:spacing w:after="0" w:line="360" w:lineRule="auto"/>
        <w:contextualSpacing/>
        <w:rPr>
          <w:rFonts w:ascii="Times New Roman" w:hAnsi="Times New Roman" w:cs="Times New Roman"/>
          <w:sz w:val="24"/>
          <w:szCs w:val="24"/>
        </w:rPr>
      </w:pPr>
      <w:r w:rsidRPr="00236240">
        <w:rPr>
          <w:rFonts w:ascii="Times New Roman" w:hAnsi="Times New Roman" w:cs="Times New Roman"/>
          <w:sz w:val="24"/>
          <w:szCs w:val="24"/>
        </w:rPr>
        <w:t xml:space="preserve">K bodu </w:t>
      </w:r>
      <w:r w:rsidR="00B23864" w:rsidRPr="00236240">
        <w:rPr>
          <w:rFonts w:ascii="Times New Roman" w:hAnsi="Times New Roman" w:cs="Times New Roman"/>
          <w:sz w:val="24"/>
          <w:szCs w:val="24"/>
        </w:rPr>
        <w:t>8</w:t>
      </w:r>
    </w:p>
    <w:p w:rsidR="00FE7507" w:rsidRPr="00236240" w:rsidRDefault="00FE7507" w:rsidP="00056AD9">
      <w:pPr>
        <w:pStyle w:val="Nzov"/>
        <w:spacing w:before="0" w:line="360" w:lineRule="auto"/>
        <w:ind w:firstLine="567"/>
        <w:contextualSpacing/>
        <w:jc w:val="both"/>
        <w:rPr>
          <w:b w:val="0"/>
        </w:rPr>
      </w:pPr>
      <w:r w:rsidRPr="00236240">
        <w:rPr>
          <w:b w:val="0"/>
        </w:rPr>
        <w:t>Na základe rozhodnutia prijatého na 64. zasadnutí Komisie pre omamné látky Úradu OSN pre omamné látky a kriminalitu v dňoch 12. 4. až 16. 4. 2021 sa zaraďuje do skupiny I.  psychotropných látok látka klonazolam. Predáva sa vo forme prášku, nápoja, tekutiny a tabliet. Táto látka nemá terapeutické použitie a preto sa v súlade s § 3 ods. 2 zákona navrhuje zaradiť do I. skupiny psychotropný</w:t>
      </w:r>
      <w:r w:rsidR="00236240" w:rsidRPr="00236240">
        <w:rPr>
          <w:b w:val="0"/>
        </w:rPr>
        <w:t>ch látok.   Svetová zdravotnícka</w:t>
      </w:r>
      <w:r w:rsidRPr="00236240">
        <w:rPr>
          <w:b w:val="0"/>
        </w:rPr>
        <w:t xml:space="preserve"> organizácia vo svojom stanovisku uviedla, že látka klonazolam, ak sa vyrába nezákonne predstavuje  riziko  pre verejné zdravie.</w:t>
      </w:r>
      <w:r w:rsidRPr="00236240">
        <w:t xml:space="preserve">  </w:t>
      </w:r>
      <w:r w:rsidRPr="00236240">
        <w:rPr>
          <w:b w:val="0"/>
        </w:rPr>
        <w:t>Ide o silne účinný derivát benzodiazepínu, ktorý vyvoláva dlhotrvajúci depresívny účinok na centrálny nervový systém. Zosilňuje účinok kyseliny gama amíno maslovej (GABA), ktorá ako neuromediátor, inhibítor, sa viaže na receptory benzodiazapínov.   Tento mechanizmus účinku má podobný efekt aký má triazolam a alprazolam, ktoré sú rovnako derivátmi benzodiazepínu a sú zaradené medzi psychotropné látky III. skupiny. Ako antidotum klonazolamu možno použiť flumazenil, ktorý je antagonistom benzodiazepínov. Zneužíva sa pre svoj anxiolytický,</w:t>
      </w:r>
      <w:r w:rsidR="00056AD9" w:rsidRPr="00236240">
        <w:rPr>
          <w:b w:val="0"/>
        </w:rPr>
        <w:t xml:space="preserve"> </w:t>
      </w:r>
      <w:r w:rsidRPr="00236240">
        <w:rPr>
          <w:b w:val="0"/>
        </w:rPr>
        <w:t>euforizujúci a sedatívny účinok. Táto látka sa veľmi  často zneužíva ako liečivo a predáva sa ako farmaceutický benzodiazepín. Následne sa vyskytli intoxikácie, ktoré vyžadovali hospitalizáciu.</w:t>
      </w:r>
    </w:p>
    <w:p w:rsidR="00676BC4" w:rsidRPr="00236240" w:rsidRDefault="00FE7507" w:rsidP="0093286F">
      <w:pPr>
        <w:pStyle w:val="Textbody"/>
        <w:spacing w:after="0" w:line="360" w:lineRule="auto"/>
        <w:rPr>
          <w:rFonts w:ascii="Times New Roman" w:hAnsi="Times New Roman" w:cs="Times New Roman"/>
          <w:sz w:val="24"/>
          <w:szCs w:val="24"/>
          <w:lang w:eastAsia="sk-SK"/>
        </w:rPr>
      </w:pPr>
      <w:r w:rsidRPr="00236240">
        <w:rPr>
          <w:rFonts w:ascii="Times New Roman" w:hAnsi="Times New Roman" w:cs="Times New Roman"/>
          <w:sz w:val="24"/>
          <w:szCs w:val="24"/>
          <w:lang w:eastAsia="sk-SK"/>
        </w:rPr>
        <w:t>V mnohých oblastiach sa zvyšuje konzumácia tejto látky, pretože zvyšuje účinok iných drog vrátane opioidov, čo môže vyvolať utlmenie CNS, ktoré sa prejavuje najčastejšie somnolenci</w:t>
      </w:r>
      <w:r w:rsidR="00676BC4" w:rsidRPr="00236240">
        <w:rPr>
          <w:rFonts w:ascii="Times New Roman" w:hAnsi="Times New Roman" w:cs="Times New Roman"/>
          <w:sz w:val="24"/>
          <w:szCs w:val="24"/>
          <w:lang w:eastAsia="sk-SK"/>
        </w:rPr>
        <w:t>ou, konfúziou a stratou vedomia.</w:t>
      </w:r>
      <w:r w:rsidR="0093286F" w:rsidRPr="00236240">
        <w:rPr>
          <w:rFonts w:ascii="Times New Roman" w:hAnsi="Times New Roman" w:cs="Times New Roman"/>
          <w:sz w:val="24"/>
          <w:szCs w:val="24"/>
          <w:lang w:eastAsia="sk-SK"/>
        </w:rPr>
        <w:t xml:space="preserve"> Na </w:t>
      </w:r>
      <w:r w:rsidR="00676BC4" w:rsidRPr="00236240">
        <w:rPr>
          <w:rFonts w:ascii="Times New Roman" w:hAnsi="Times New Roman" w:cs="Times New Roman"/>
          <w:sz w:val="24"/>
          <w:szCs w:val="24"/>
          <w:lang w:eastAsia="sk-SK"/>
        </w:rPr>
        <w:t xml:space="preserve">návrh Ministerstva vnútra SR  sa </w:t>
      </w:r>
      <w:r w:rsidR="00676BC4" w:rsidRPr="00236240">
        <w:rPr>
          <w:rFonts w:ascii="Times New Roman" w:hAnsi="Times New Roman" w:cs="Times New Roman"/>
          <w:sz w:val="24"/>
          <w:szCs w:val="24"/>
        </w:rPr>
        <w:t xml:space="preserve">zaraďuje do skupiny I.  psychotropných látok látka kratom. Táto látka obsahuje aktívne zložky alkaloidy mitragynín a 7-hydroxymitragynín s potencionálnymi analgetickými, protizápalovými alebo svalovorelaxačnými účinkami. Tmavozelené listy rastliny sa zvyčajne sušia a drvia na prášok. Dostupné sú aj vo forme </w:t>
      </w:r>
      <w:r w:rsidR="00676BC4" w:rsidRPr="00236240">
        <w:rPr>
          <w:rFonts w:ascii="Times New Roman" w:hAnsi="Times New Roman" w:cs="Times New Roman"/>
          <w:sz w:val="24"/>
          <w:szCs w:val="24"/>
        </w:rPr>
        <w:lastRenderedPageBreak/>
        <w:t>pasty, kapsuly či tablety, prípadne sa môže taktiež variť ako čaj. Podľa EMCDDA vyvoláva v prípade kratomu stimulačné účinky, napr.: bdelosť, družnosť, točenie hlavy a znížená motorická koordinácia, už malá dávka s hmotnosťou len pár gramov. Účinky sa zvyčajne prejavia do desiatich minút po požití a môžu trvať až jeden a pol hodiny. Vyššia dávka môže vyvolať účinky podobné ako po užití sedatív s trvaním do šesť hodín. Pravidelné užívanie môže vyvolať vznik závislosti s vedľajšími účinkami, napr.: nevoľnosť až zvracanie, poškodenie pečene, potenie, triaška, nespavosť či halucinácie. Singh a kol. (2014) v svojej štúdii uvádzajú, že z 293 používateľov</w:t>
      </w:r>
    </w:p>
    <w:p w:rsidR="00FE7507" w:rsidRPr="00236240" w:rsidRDefault="00676BC4" w:rsidP="00056AD9">
      <w:pPr>
        <w:autoSpaceDE w:val="0"/>
        <w:adjustRightInd w:val="0"/>
        <w:spacing w:after="0" w:line="360" w:lineRule="auto"/>
        <w:rPr>
          <w:rFonts w:ascii="Times New Roman" w:hAnsi="Times New Roman" w:cs="Times New Roman"/>
          <w:sz w:val="24"/>
          <w:szCs w:val="24"/>
          <w:lang w:eastAsia="sk-SK"/>
        </w:rPr>
      </w:pPr>
      <w:r w:rsidRPr="00236240">
        <w:rPr>
          <w:rFonts w:ascii="Times New Roman" w:hAnsi="Times New Roman" w:cs="Times New Roman"/>
          <w:sz w:val="24"/>
          <w:szCs w:val="24"/>
        </w:rPr>
        <w:t xml:space="preserve">kratomu viac ako polovica bežných používateľov (&gt; 6 mesiacov užívania) mala diagnostikovanú ťažkú formu závislosti, zatiaľ čo u 45% bola zistená mierna forma závislosti od kratomu1. Kratom patrí na zoznam zakázaných látok v Poľsku a v niektorých štátoch USA. V SRN a Rakúsku patrí medzi kontrolované látky, ktorých predaj je obmedzený. </w:t>
      </w:r>
      <w:r w:rsidRPr="00236240">
        <w:rPr>
          <w:rFonts w:ascii="Times New Roman" w:hAnsi="Times New Roman" w:cs="Times New Roman"/>
          <w:sz w:val="24"/>
          <w:szCs w:val="24"/>
          <w:lang w:eastAsia="sk-SK"/>
        </w:rPr>
        <w:t>Ministerstva vnútra SR  n</w:t>
      </w:r>
      <w:r w:rsidRPr="00236240">
        <w:rPr>
          <w:rFonts w:ascii="Times New Roman" w:hAnsi="Times New Roman" w:cs="Times New Roman"/>
          <w:sz w:val="24"/>
          <w:szCs w:val="24"/>
        </w:rPr>
        <w:t>avrhuje zaradiť kratom do I. skupiny, psychotropných látok.</w:t>
      </w:r>
    </w:p>
    <w:p w:rsidR="0093286F" w:rsidRPr="00236240" w:rsidRDefault="0093286F" w:rsidP="0093286F">
      <w:pPr>
        <w:pStyle w:val="Nzov"/>
        <w:spacing w:before="0" w:line="360" w:lineRule="auto"/>
        <w:contextualSpacing/>
        <w:jc w:val="both"/>
        <w:rPr>
          <w:b w:val="0"/>
        </w:rPr>
      </w:pPr>
    </w:p>
    <w:p w:rsidR="001560D7" w:rsidRPr="00236240" w:rsidRDefault="005959CB" w:rsidP="0093286F">
      <w:pPr>
        <w:pStyle w:val="Nzov"/>
        <w:spacing w:before="0" w:line="360" w:lineRule="auto"/>
        <w:contextualSpacing/>
        <w:jc w:val="both"/>
        <w:rPr>
          <w:b w:val="0"/>
        </w:rPr>
      </w:pPr>
      <w:r w:rsidRPr="00236240">
        <w:rPr>
          <w:b w:val="0"/>
        </w:rPr>
        <w:t>K bod</w:t>
      </w:r>
      <w:r w:rsidR="001560D7" w:rsidRPr="00236240">
        <w:rPr>
          <w:b w:val="0"/>
        </w:rPr>
        <w:t>u</w:t>
      </w:r>
      <w:r w:rsidRPr="00236240">
        <w:rPr>
          <w:b w:val="0"/>
        </w:rPr>
        <w:t xml:space="preserve"> </w:t>
      </w:r>
      <w:r w:rsidR="00B23864" w:rsidRPr="00236240">
        <w:rPr>
          <w:b w:val="0"/>
        </w:rPr>
        <w:t>9</w:t>
      </w:r>
      <w:r w:rsidRPr="00236240">
        <w:rPr>
          <w:b w:val="0"/>
        </w:rPr>
        <w:t xml:space="preserve"> </w:t>
      </w:r>
    </w:p>
    <w:tbl>
      <w:tblPr>
        <w:tblW w:w="5000" w:type="pct"/>
        <w:tblCellMar>
          <w:left w:w="0" w:type="dxa"/>
          <w:right w:w="0" w:type="dxa"/>
        </w:tblCellMar>
        <w:tblLook w:val="04A0" w:firstRow="1" w:lastRow="0" w:firstColumn="1" w:lastColumn="0" w:noHBand="0" w:noVBand="1"/>
      </w:tblPr>
      <w:tblGrid>
        <w:gridCol w:w="9360"/>
      </w:tblGrid>
      <w:tr w:rsidR="00056AD9" w:rsidRPr="00236240" w:rsidTr="004454E1">
        <w:tc>
          <w:tcPr>
            <w:tcW w:w="0" w:type="auto"/>
            <w:shd w:val="clear" w:color="auto" w:fill="auto"/>
            <w:hideMark/>
          </w:tcPr>
          <w:p w:rsidR="00A8519B" w:rsidRPr="00236240" w:rsidRDefault="001560D7" w:rsidP="0093286F">
            <w:pPr>
              <w:spacing w:after="0" w:line="360" w:lineRule="auto"/>
              <w:ind w:firstLine="567"/>
              <w:rPr>
                <w:rFonts w:ascii="Times New Roman" w:hAnsi="Times New Roman" w:cs="Times New Roman"/>
                <w:sz w:val="24"/>
                <w:szCs w:val="24"/>
              </w:rPr>
            </w:pPr>
            <w:r w:rsidRPr="00236240">
              <w:rPr>
                <w:rFonts w:ascii="Times New Roman" w:hAnsi="Times New Roman" w:cs="Times New Roman"/>
                <w:sz w:val="24"/>
                <w:szCs w:val="24"/>
              </w:rPr>
              <w:t xml:space="preserve">Na základe rozhodnutia prijatého na 64. zasadnutí Komisie pre omamné látky Úradu OSN pre omamné látky a kriminalitu v dňoch 12. 4. až 16. 4. 2021 </w:t>
            </w:r>
            <w:r w:rsidR="00A75F7D" w:rsidRPr="00236240">
              <w:rPr>
                <w:rFonts w:ascii="Times New Roman" w:hAnsi="Times New Roman" w:cs="Times New Roman"/>
                <w:b/>
                <w:sz w:val="24"/>
                <w:szCs w:val="24"/>
              </w:rPr>
              <w:t xml:space="preserve">a </w:t>
            </w:r>
            <w:r w:rsidR="00A75F7D" w:rsidRPr="00236240">
              <w:rPr>
                <w:rFonts w:ascii="Times New Roman" w:hAnsi="Times New Roman" w:cs="Times New Roman"/>
                <w:sz w:val="24"/>
                <w:szCs w:val="24"/>
              </w:rPr>
              <w:t>delegovanej smernice Komisie (EÚ) 2021/802 z 12. marca 2021, ktorou sa mení príloha k rámcovému rozhodnutiu Rady 2004/757/SVV, pokiaľ ide o zaradenie nových psychoaktívnych látok metyl-3,3-dimetyl-2-{[1-(pent-4-én-1-yl)-1</w:t>
            </w:r>
            <w:r w:rsidR="00A75F7D" w:rsidRPr="00236240">
              <w:rPr>
                <w:rFonts w:ascii="Times New Roman" w:hAnsi="Times New Roman" w:cs="Times New Roman"/>
                <w:i/>
                <w:iCs/>
                <w:sz w:val="24"/>
                <w:szCs w:val="24"/>
              </w:rPr>
              <w:t>H</w:t>
            </w:r>
            <w:r w:rsidR="00A75F7D" w:rsidRPr="00236240">
              <w:rPr>
                <w:rFonts w:ascii="Times New Roman" w:hAnsi="Times New Roman" w:cs="Times New Roman"/>
                <w:sz w:val="24"/>
                <w:szCs w:val="24"/>
              </w:rPr>
              <w:t>-indazol-3-karbonyl]amino}butanoát (MDMB-4en-PINACA) a metyl-2-{[1-(4-fluórbutyl)-1</w:t>
            </w:r>
            <w:r w:rsidR="00A75F7D" w:rsidRPr="00236240">
              <w:rPr>
                <w:rFonts w:ascii="Times New Roman" w:hAnsi="Times New Roman" w:cs="Times New Roman"/>
                <w:i/>
                <w:iCs/>
                <w:sz w:val="24"/>
                <w:szCs w:val="24"/>
              </w:rPr>
              <w:t>H</w:t>
            </w:r>
            <w:r w:rsidR="00A75F7D" w:rsidRPr="00236240">
              <w:rPr>
                <w:rFonts w:ascii="Times New Roman" w:hAnsi="Times New Roman" w:cs="Times New Roman"/>
                <w:sz w:val="24"/>
                <w:szCs w:val="24"/>
              </w:rPr>
              <w:t>-indol-3-karbonyl]amino}-3,3-dimetylbutanoát (4F-MDMB-BICA) do vymedzenia pojmu drogy</w:t>
            </w:r>
            <w:r w:rsidR="00A75F7D" w:rsidRPr="00236240">
              <w:rPr>
                <w:rFonts w:ascii="Times New Roman" w:hAnsi="Times New Roman" w:cs="Times New Roman"/>
                <w:b/>
                <w:sz w:val="24"/>
                <w:szCs w:val="24"/>
              </w:rPr>
              <w:t xml:space="preserve"> </w:t>
            </w:r>
            <w:r w:rsidR="00236240" w:rsidRPr="00236240">
              <w:rPr>
                <w:rFonts w:ascii="Times New Roman" w:hAnsi="Times New Roman" w:cs="Times New Roman"/>
                <w:sz w:val="24"/>
                <w:szCs w:val="24"/>
              </w:rPr>
              <w:t>(Ú. v. EÚ L 178, 20. 5. 2021)</w:t>
            </w:r>
            <w:r w:rsidR="00236240" w:rsidRPr="00236240">
              <w:rPr>
                <w:rFonts w:ascii="Times New Roman" w:hAnsi="Times New Roman" w:cs="Times New Roman"/>
                <w:b/>
                <w:sz w:val="24"/>
                <w:szCs w:val="24"/>
              </w:rPr>
              <w:t xml:space="preserve"> </w:t>
            </w:r>
            <w:r w:rsidRPr="00236240">
              <w:rPr>
                <w:rFonts w:ascii="Times New Roman" w:hAnsi="Times New Roman" w:cs="Times New Roman"/>
                <w:sz w:val="24"/>
                <w:szCs w:val="24"/>
              </w:rPr>
              <w:t>sa zaraďuje do skupiny I</w:t>
            </w:r>
            <w:r w:rsidR="00506CA9" w:rsidRPr="00236240">
              <w:rPr>
                <w:rFonts w:ascii="Times New Roman" w:hAnsi="Times New Roman" w:cs="Times New Roman"/>
                <w:sz w:val="24"/>
                <w:szCs w:val="24"/>
              </w:rPr>
              <w:t xml:space="preserve"> psychotropných </w:t>
            </w:r>
            <w:r w:rsidRPr="00236240">
              <w:rPr>
                <w:rFonts w:ascii="Times New Roman" w:hAnsi="Times New Roman" w:cs="Times New Roman"/>
                <w:sz w:val="24"/>
                <w:szCs w:val="24"/>
              </w:rPr>
              <w:t>látok</w:t>
            </w:r>
            <w:r w:rsidRPr="00236240">
              <w:rPr>
                <w:rFonts w:ascii="Times New Roman" w:hAnsi="Times New Roman" w:cs="Times New Roman"/>
                <w:sz w:val="24"/>
                <w:szCs w:val="24"/>
              </w:rPr>
              <w:tab/>
            </w:r>
            <w:r w:rsidR="00772D2D" w:rsidRPr="00236240">
              <w:rPr>
                <w:rFonts w:ascii="Times New Roman" w:hAnsi="Times New Roman" w:cs="Times New Roman"/>
                <w:sz w:val="24"/>
                <w:szCs w:val="24"/>
              </w:rPr>
              <w:t xml:space="preserve">látka MDMB-4en-PINACA.  Látka </w:t>
            </w:r>
            <w:r w:rsidR="00BC585A" w:rsidRPr="00236240">
              <w:rPr>
                <w:rFonts w:ascii="Times New Roman" w:hAnsi="Times New Roman" w:cs="Times New Roman"/>
                <w:sz w:val="24"/>
                <w:szCs w:val="24"/>
              </w:rPr>
              <w:t xml:space="preserve">MDMB-4en-PINACA </w:t>
            </w:r>
            <w:r w:rsidR="00772D2D" w:rsidRPr="00236240">
              <w:rPr>
                <w:rFonts w:ascii="Times New Roman" w:hAnsi="Times New Roman" w:cs="Times New Roman"/>
                <w:sz w:val="24"/>
                <w:szCs w:val="24"/>
              </w:rPr>
              <w:t xml:space="preserve">nemá terapeutické použitie a preto sa v súlade s § 3 ods. 2 zákona navrhuje zaradiť do I. </w:t>
            </w:r>
            <w:r w:rsidR="00056AD9" w:rsidRPr="00236240">
              <w:rPr>
                <w:rFonts w:ascii="Times New Roman" w:hAnsi="Times New Roman" w:cs="Times New Roman"/>
                <w:sz w:val="24"/>
                <w:szCs w:val="24"/>
              </w:rPr>
              <w:t>skupiny psychotropných látok.</w:t>
            </w:r>
            <w:r w:rsidR="0093286F" w:rsidRPr="00236240">
              <w:rPr>
                <w:rFonts w:ascii="Times New Roman" w:hAnsi="Times New Roman" w:cs="Times New Roman"/>
                <w:sz w:val="24"/>
                <w:szCs w:val="24"/>
              </w:rPr>
              <w:t xml:space="preserve"> </w:t>
            </w:r>
            <w:r w:rsidR="00A8519B" w:rsidRPr="00236240">
              <w:rPr>
                <w:rFonts w:ascii="Times New Roman" w:eastAsia="Times New Roman" w:hAnsi="Times New Roman" w:cs="Times New Roman"/>
                <w:sz w:val="24"/>
                <w:szCs w:val="24"/>
                <w:lang w:eastAsia="sk-SK"/>
              </w:rPr>
              <w:t>Deväť členských štátov kontroluje látku MDMB-4en-PINACA podľa vnútroštátnych právnych predpisov o kontrole drog, štyri členské štáty ju kontrolujú podľa právnych predpisov o nových psychoaktívnych látkach a jeden členský štát ju kontroluje podľa iných právnych predpisov. Vzhľadom na to, že tieto vnútroštátne kontrolné opatrenia sú už zavedené, zahrnutie látky MDMB-4en-PINACA do vymedzenia pojmu drogy</w:t>
            </w:r>
            <w:r w:rsidR="00236240" w:rsidRPr="00236240">
              <w:rPr>
                <w:rFonts w:ascii="Times New Roman" w:eastAsia="Times New Roman" w:hAnsi="Times New Roman" w:cs="Times New Roman"/>
                <w:sz w:val="24"/>
                <w:szCs w:val="24"/>
                <w:lang w:eastAsia="sk-SK"/>
              </w:rPr>
              <w:t xml:space="preserve"> </w:t>
            </w:r>
            <w:r w:rsidR="00236240" w:rsidRPr="00236240">
              <w:rPr>
                <w:rFonts w:ascii="Times New Roman" w:hAnsi="Times New Roman" w:cs="Times New Roman"/>
                <w:color w:val="000000"/>
                <w:sz w:val="24"/>
                <w:szCs w:val="24"/>
                <w:shd w:val="clear" w:color="auto" w:fill="FBFBFB"/>
              </w:rPr>
              <w:t>(Ú. v. EÚ L 178, 20. 5. 2021)</w:t>
            </w:r>
            <w:r w:rsidR="00A8519B" w:rsidRPr="00236240">
              <w:rPr>
                <w:rFonts w:ascii="Times New Roman" w:eastAsia="Times New Roman" w:hAnsi="Times New Roman" w:cs="Times New Roman"/>
                <w:sz w:val="24"/>
                <w:szCs w:val="24"/>
                <w:lang w:eastAsia="sk-SK"/>
              </w:rPr>
              <w:t>, čím sa táto látka stane predmetom trestnoprávnych ustanovení o trestných činoch a sankciách, ako sú vymedzené v rámcovom rozhodnutí 2004/757 a </w:t>
            </w:r>
            <w:r w:rsidR="003F27CA" w:rsidRPr="00236240">
              <w:rPr>
                <w:rFonts w:ascii="Times New Roman" w:eastAsia="Times New Roman" w:hAnsi="Times New Roman" w:cs="Times New Roman"/>
                <w:sz w:val="24"/>
                <w:szCs w:val="24"/>
                <w:lang w:eastAsia="sk-SK"/>
              </w:rPr>
              <w:t>t</w:t>
            </w:r>
            <w:r w:rsidR="00A8519B" w:rsidRPr="00236240">
              <w:rPr>
                <w:rFonts w:ascii="Times New Roman" w:eastAsia="Times New Roman" w:hAnsi="Times New Roman" w:cs="Times New Roman"/>
                <w:sz w:val="24"/>
                <w:szCs w:val="24"/>
                <w:lang w:eastAsia="sk-SK"/>
              </w:rPr>
              <w:t>ým sa pomôže predísť vzniku prekážok pri cezhraničnom presadzovaní práva a justičnej spolupráci a prispeje sa k ochrane pred rizikami, ktoré môžu predstavovať jej dostupnosť a užívanie.</w:t>
            </w:r>
            <w:r w:rsidR="0093286F" w:rsidRPr="00236240">
              <w:rPr>
                <w:rFonts w:ascii="Times New Roman" w:hAnsi="Times New Roman" w:cs="Times New Roman"/>
                <w:sz w:val="24"/>
                <w:szCs w:val="24"/>
              </w:rPr>
              <w:t xml:space="preserve"> </w:t>
            </w:r>
            <w:r w:rsidR="004454E1" w:rsidRPr="00236240">
              <w:rPr>
                <w:rFonts w:ascii="Times New Roman" w:hAnsi="Times New Roman" w:cs="Times New Roman"/>
                <w:sz w:val="24"/>
                <w:szCs w:val="24"/>
                <w:lang w:eastAsia="sk-SK"/>
              </w:rPr>
              <w:t xml:space="preserve">Na  návrh Ministerstva vnútra SR  sa </w:t>
            </w:r>
            <w:r w:rsidR="004454E1" w:rsidRPr="00236240">
              <w:rPr>
                <w:rFonts w:ascii="Times New Roman" w:hAnsi="Times New Roman" w:cs="Times New Roman"/>
                <w:sz w:val="24"/>
                <w:szCs w:val="24"/>
              </w:rPr>
              <w:t xml:space="preserve">zaraďuje do skupiny I.  psychotropných látok látka </w:t>
            </w:r>
            <w:r w:rsidR="004454E1" w:rsidRPr="00236240">
              <w:rPr>
                <w:rFonts w:ascii="Times New Roman" w:eastAsiaTheme="minorHAnsi" w:hAnsi="Times New Roman" w:cs="Times New Roman"/>
                <w:bCs/>
                <w:kern w:val="0"/>
                <w:sz w:val="24"/>
                <w:szCs w:val="24"/>
              </w:rPr>
              <w:t>MDPEP</w:t>
            </w:r>
            <w:r w:rsidR="004454E1" w:rsidRPr="00236240">
              <w:rPr>
                <w:rFonts w:ascii="Times New Roman" w:hAnsi="Times New Roman" w:cs="Times New Roman"/>
                <w:sz w:val="24"/>
                <w:szCs w:val="24"/>
              </w:rPr>
              <w:t xml:space="preserve">. </w:t>
            </w:r>
            <w:r w:rsidR="004454E1" w:rsidRPr="00236240">
              <w:rPr>
                <w:rFonts w:ascii="Times New Roman" w:eastAsiaTheme="minorHAnsi" w:hAnsi="Times New Roman" w:cs="Times New Roman"/>
                <w:kern w:val="0"/>
                <w:sz w:val="24"/>
                <w:szCs w:val="24"/>
              </w:rPr>
              <w:t xml:space="preserve">Je to menej známa nová psychoaktívna látka vo forme bielych až hnedastých kryštálov so stimulačným účinkom výraznejším ako α-PVP a pod. Účinky </w:t>
            </w:r>
            <w:r w:rsidR="004454E1" w:rsidRPr="00236240">
              <w:rPr>
                <w:rFonts w:ascii="Times New Roman" w:eastAsiaTheme="minorHAnsi" w:hAnsi="Times New Roman" w:cs="Times New Roman"/>
                <w:kern w:val="0"/>
                <w:sz w:val="24"/>
                <w:szCs w:val="24"/>
              </w:rPr>
              <w:lastRenderedPageBreak/>
              <w:t xml:space="preserve">konzumácie sú podobné ako u amfetamínov a iných stimulantov, t. j. má stimulujúce účinky, potláča chuť do jedla, spôsobuje dehydratáciu halucinácie, a pod. Neexistujú žiadne kontrolované štúdie o jeho liečebnom alebo priemyselnom využití, preto sa navrhuje táto látka zaradiť </w:t>
            </w:r>
            <w:r w:rsidR="004454E1" w:rsidRPr="00236240">
              <w:rPr>
                <w:rFonts w:ascii="Times New Roman" w:hAnsi="Times New Roman" w:cs="Times New Roman"/>
                <w:sz w:val="24"/>
                <w:szCs w:val="24"/>
              </w:rPr>
              <w:t>do skupiny I.  psychotropných látok</w:t>
            </w:r>
            <w:r w:rsidR="004454E1" w:rsidRPr="00236240">
              <w:rPr>
                <w:rFonts w:ascii="Times New Roman" w:eastAsiaTheme="minorHAnsi" w:hAnsi="Times New Roman" w:cs="Times New Roman"/>
                <w:kern w:val="0"/>
                <w:sz w:val="24"/>
                <w:szCs w:val="24"/>
              </w:rPr>
              <w:t xml:space="preserve">. </w:t>
            </w:r>
          </w:p>
          <w:p w:rsidR="00056AD9" w:rsidRPr="00236240" w:rsidRDefault="00056AD9" w:rsidP="00056AD9">
            <w:pPr>
              <w:widowControl/>
              <w:suppressAutoHyphens w:val="0"/>
              <w:autoSpaceDE w:val="0"/>
              <w:adjustRightInd w:val="0"/>
              <w:spacing w:after="0" w:line="360" w:lineRule="auto"/>
              <w:textAlignment w:val="auto"/>
              <w:rPr>
                <w:rFonts w:ascii="Times New Roman" w:eastAsia="Times New Roman" w:hAnsi="Times New Roman" w:cs="Times New Roman"/>
                <w:sz w:val="24"/>
                <w:szCs w:val="24"/>
                <w:lang w:eastAsia="sk-SK"/>
              </w:rPr>
            </w:pPr>
          </w:p>
        </w:tc>
      </w:tr>
    </w:tbl>
    <w:p w:rsidR="005959CB" w:rsidRPr="00236240" w:rsidRDefault="001560D7" w:rsidP="00056AD9">
      <w:pPr>
        <w:pStyle w:val="Nzov"/>
        <w:spacing w:before="0" w:line="360" w:lineRule="auto"/>
        <w:contextualSpacing/>
        <w:jc w:val="both"/>
        <w:rPr>
          <w:b w:val="0"/>
        </w:rPr>
      </w:pPr>
      <w:r w:rsidRPr="00236240">
        <w:rPr>
          <w:b w:val="0"/>
        </w:rPr>
        <w:lastRenderedPageBreak/>
        <w:t>K bodu</w:t>
      </w:r>
      <w:r w:rsidR="005959CB" w:rsidRPr="00236240">
        <w:rPr>
          <w:b w:val="0"/>
        </w:rPr>
        <w:t> </w:t>
      </w:r>
      <w:r w:rsidR="00B23864" w:rsidRPr="00236240">
        <w:rPr>
          <w:b w:val="0"/>
        </w:rPr>
        <w:t>10</w:t>
      </w:r>
    </w:p>
    <w:p w:rsidR="00730BE4" w:rsidRPr="00236240" w:rsidRDefault="00730BE4" w:rsidP="00056AD9">
      <w:pPr>
        <w:widowControl/>
        <w:suppressAutoHyphens w:val="0"/>
        <w:autoSpaceDE w:val="0"/>
        <w:adjustRightInd w:val="0"/>
        <w:spacing w:after="0" w:line="360" w:lineRule="auto"/>
        <w:ind w:firstLine="709"/>
        <w:textAlignment w:val="auto"/>
        <w:rPr>
          <w:rFonts w:ascii="Times New Roman" w:eastAsiaTheme="minorHAnsi" w:hAnsi="Times New Roman" w:cs="Times New Roman"/>
          <w:kern w:val="0"/>
          <w:sz w:val="24"/>
          <w:szCs w:val="24"/>
        </w:rPr>
      </w:pPr>
      <w:r w:rsidRPr="00236240">
        <w:rPr>
          <w:rFonts w:ascii="Times New Roman" w:hAnsi="Times New Roman" w:cs="Times New Roman"/>
          <w:sz w:val="24"/>
          <w:szCs w:val="24"/>
        </w:rPr>
        <w:t xml:space="preserve">Na základe návrhu Ministerstva vnútra SR sa látka </w:t>
      </w:r>
      <w:r w:rsidRPr="00236240">
        <w:rPr>
          <w:rFonts w:ascii="Times New Roman" w:eastAsiaTheme="minorHAnsi" w:hAnsi="Times New Roman" w:cs="Times New Roman"/>
          <w:bCs/>
          <w:kern w:val="0"/>
          <w:sz w:val="24"/>
          <w:szCs w:val="24"/>
        </w:rPr>
        <w:t xml:space="preserve">5-Metoxy - N,N-dialyltryptamín navrhuje zaradiť </w:t>
      </w:r>
      <w:r w:rsidRPr="00236240">
        <w:rPr>
          <w:rFonts w:ascii="Times New Roman" w:hAnsi="Times New Roman" w:cs="Times New Roman"/>
          <w:sz w:val="24"/>
          <w:szCs w:val="24"/>
        </w:rPr>
        <w:t xml:space="preserve">do skupiny I.  psychotropných látok. </w:t>
      </w:r>
      <w:r w:rsidRPr="00236240">
        <w:rPr>
          <w:rFonts w:ascii="Times New Roman" w:eastAsiaTheme="minorHAnsi" w:hAnsi="Times New Roman" w:cs="Times New Roman"/>
          <w:kern w:val="0"/>
          <w:sz w:val="24"/>
          <w:szCs w:val="24"/>
        </w:rPr>
        <w:t>je pevná látka, najčastejšie sa vyskytuje vo forme kryštalického prášku bielej, sivobielej, sivej alebo svetlohnedej farby s pálením. Zaistené</w:t>
      </w:r>
    </w:p>
    <w:p w:rsidR="00056AD9" w:rsidRPr="00236240" w:rsidRDefault="00730BE4" w:rsidP="0093286F">
      <w:pPr>
        <w:widowControl/>
        <w:suppressAutoHyphens w:val="0"/>
        <w:autoSpaceDE w:val="0"/>
        <w:adjustRightInd w:val="0"/>
        <w:spacing w:after="0" w:line="360" w:lineRule="auto"/>
        <w:textAlignment w:val="auto"/>
        <w:rPr>
          <w:rFonts w:ascii="Times New Roman" w:hAnsi="Times New Roman" w:cs="Times New Roman"/>
          <w:sz w:val="24"/>
          <w:szCs w:val="24"/>
        </w:rPr>
      </w:pPr>
      <w:r w:rsidRPr="00236240">
        <w:rPr>
          <w:rFonts w:ascii="Times New Roman" w:eastAsiaTheme="minorHAnsi" w:hAnsi="Times New Roman" w:cs="Times New Roman"/>
          <w:kern w:val="0"/>
          <w:sz w:val="24"/>
          <w:szCs w:val="24"/>
        </w:rPr>
        <w:t xml:space="preserve">boli aj žlté, fialové alebo zelené tablety. 5-MeO-DALT má chemickú štruktúru podobnú halucinogénu 3- [2- (dimetylamino) etyl] indolu (DMT). Táto látka je v SR zaradená do skupiny I. psychotropných látok, je  uvedená v zozname I Dohovoru o psychotropných látkach z roku 1971. Účinky 5-MeO-DALT sú podobné ako u iných halucinogénov, napr. DOM a LSD. Neexistujú žiadne kontrolované štúdie o jeho liečebnom alebo priemyselnom využití.  </w:t>
      </w:r>
      <w:r w:rsidRPr="00236240">
        <w:rPr>
          <w:rFonts w:ascii="Times New Roman" w:hAnsi="Times New Roman" w:cs="Times New Roman"/>
          <w:sz w:val="24"/>
          <w:szCs w:val="24"/>
          <w:lang w:eastAsia="sk-SK"/>
        </w:rPr>
        <w:t>Ministerstvo vnútra SR  n</w:t>
      </w:r>
      <w:r w:rsidRPr="00236240">
        <w:rPr>
          <w:rFonts w:ascii="Times New Roman" w:hAnsi="Times New Roman" w:cs="Times New Roman"/>
          <w:sz w:val="24"/>
          <w:szCs w:val="24"/>
        </w:rPr>
        <w:t>avrhuje zaradiť túto látku do I. skupiny omamných látok. S prihliadnutím na ustanovenie § 3 ods. 2 zákona Ministerstvo zdravotníctva SR navrhuje zaradenie látky do I. s</w:t>
      </w:r>
      <w:r w:rsidR="00056AD9" w:rsidRPr="00236240">
        <w:rPr>
          <w:rFonts w:ascii="Times New Roman" w:hAnsi="Times New Roman" w:cs="Times New Roman"/>
          <w:sz w:val="24"/>
          <w:szCs w:val="24"/>
        </w:rPr>
        <w:t>kupiny psychotropných látok.</w:t>
      </w:r>
      <w:r w:rsidR="0093286F" w:rsidRPr="00236240">
        <w:rPr>
          <w:rFonts w:ascii="Times New Roman" w:hAnsi="Times New Roman" w:cs="Times New Roman"/>
          <w:sz w:val="24"/>
          <w:szCs w:val="24"/>
        </w:rPr>
        <w:t xml:space="preserve"> </w:t>
      </w:r>
      <w:r w:rsidR="00A1241C" w:rsidRPr="00236240">
        <w:rPr>
          <w:rFonts w:ascii="Times New Roman" w:hAnsi="Times New Roman" w:cs="Times New Roman"/>
          <w:sz w:val="24"/>
          <w:szCs w:val="24"/>
        </w:rPr>
        <w:t xml:space="preserve">Na základe návrhu Ministerstva vnútra SR sa látka </w:t>
      </w:r>
      <w:r w:rsidR="001E1090" w:rsidRPr="00236240">
        <w:rPr>
          <w:rFonts w:ascii="Times New Roman" w:eastAsiaTheme="minorHAnsi" w:hAnsi="Times New Roman" w:cs="Times New Roman"/>
          <w:bCs/>
          <w:kern w:val="0"/>
          <w:sz w:val="24"/>
          <w:szCs w:val="24"/>
        </w:rPr>
        <w:t xml:space="preserve">2 </w:t>
      </w:r>
      <w:r w:rsidR="001E1090" w:rsidRPr="00236240">
        <w:rPr>
          <w:rFonts w:ascii="Times New Roman" w:eastAsia="Times New Roman,Bold" w:hAnsi="Times New Roman" w:cs="Times New Roman"/>
          <w:bCs/>
          <w:kern w:val="0"/>
          <w:sz w:val="24"/>
          <w:szCs w:val="24"/>
        </w:rPr>
        <w:t xml:space="preserve">– </w:t>
      </w:r>
      <w:r w:rsidR="001E1090" w:rsidRPr="00236240">
        <w:rPr>
          <w:rFonts w:ascii="Times New Roman" w:eastAsiaTheme="minorHAnsi" w:hAnsi="Times New Roman" w:cs="Times New Roman"/>
          <w:bCs/>
          <w:kern w:val="0"/>
          <w:sz w:val="24"/>
          <w:szCs w:val="24"/>
        </w:rPr>
        <w:t xml:space="preserve">Metoxyetoxydifenidín </w:t>
      </w:r>
      <w:r w:rsidR="00A1241C" w:rsidRPr="00236240">
        <w:rPr>
          <w:rFonts w:ascii="Times New Roman" w:eastAsiaTheme="minorHAnsi" w:hAnsi="Times New Roman" w:cs="Times New Roman"/>
          <w:bCs/>
          <w:kern w:val="0"/>
          <w:sz w:val="24"/>
          <w:szCs w:val="24"/>
        </w:rPr>
        <w:t xml:space="preserve">navrhuje zaradiť </w:t>
      </w:r>
      <w:r w:rsidR="00A1241C" w:rsidRPr="00236240">
        <w:rPr>
          <w:rFonts w:ascii="Times New Roman" w:hAnsi="Times New Roman" w:cs="Times New Roman"/>
          <w:sz w:val="24"/>
          <w:szCs w:val="24"/>
        </w:rPr>
        <w:t>do skupiny I.  psychotropných látok.</w:t>
      </w:r>
      <w:r w:rsidR="001E1090" w:rsidRPr="00236240">
        <w:rPr>
          <w:rFonts w:ascii="Times New Roman" w:hAnsi="Times New Roman" w:cs="Times New Roman"/>
          <w:sz w:val="24"/>
          <w:szCs w:val="24"/>
        </w:rPr>
        <w:t xml:space="preserve"> Je d</w:t>
      </w:r>
      <w:r w:rsidR="001E1090" w:rsidRPr="00236240">
        <w:rPr>
          <w:rFonts w:ascii="Times New Roman" w:eastAsiaTheme="minorHAnsi" w:hAnsi="Times New Roman" w:cs="Times New Roman"/>
          <w:kern w:val="0"/>
          <w:sz w:val="24"/>
          <w:szCs w:val="24"/>
        </w:rPr>
        <w:t xml:space="preserve">ostupná  vo forme prášku alebo tabliet. Látka 2-MeO-difenidín je štrukturálne podobná fencyklidínu, ktorý je kontrolovaný podľa Prílohy II Dohovoru o psychotropných látkach z roku 1971.V SR je fencyklidín zaradený do skupiny II. psychotropných látok.  Látka ovplyvňuje správanie, vyvoláva útlm, depersonalizáciu, halucinácie, bludy a paranoje. Z fyzických účinkov sa vyskytuje tachykardia, synkopa a hypertermia. Neexistujú žiadne kontrolované štúdie o jeho liečebnom alebo priemyselnom využití. </w:t>
      </w:r>
      <w:r w:rsidR="001E1090" w:rsidRPr="00236240">
        <w:rPr>
          <w:rFonts w:ascii="Times New Roman" w:hAnsi="Times New Roman" w:cs="Times New Roman"/>
          <w:sz w:val="24"/>
          <w:szCs w:val="24"/>
          <w:lang w:eastAsia="sk-SK"/>
        </w:rPr>
        <w:t>Ministerstv</w:t>
      </w:r>
      <w:r w:rsidRPr="00236240">
        <w:rPr>
          <w:rFonts w:ascii="Times New Roman" w:hAnsi="Times New Roman" w:cs="Times New Roman"/>
          <w:sz w:val="24"/>
          <w:szCs w:val="24"/>
          <w:lang w:eastAsia="sk-SK"/>
        </w:rPr>
        <w:t>o</w:t>
      </w:r>
      <w:r w:rsidR="001E1090" w:rsidRPr="00236240">
        <w:rPr>
          <w:rFonts w:ascii="Times New Roman" w:hAnsi="Times New Roman" w:cs="Times New Roman"/>
          <w:sz w:val="24"/>
          <w:szCs w:val="24"/>
          <w:lang w:eastAsia="sk-SK"/>
        </w:rPr>
        <w:t xml:space="preserve"> vnútra SR  n</w:t>
      </w:r>
      <w:r w:rsidR="001E1090" w:rsidRPr="00236240">
        <w:rPr>
          <w:rFonts w:ascii="Times New Roman" w:hAnsi="Times New Roman" w:cs="Times New Roman"/>
          <w:sz w:val="24"/>
          <w:szCs w:val="24"/>
        </w:rPr>
        <w:t>avrhuje zaradiť túto látku do I. skupiny omamných látok. S prihliadnutím na ustanovenie § 3 ods. 2 zákona Ministerstvo zdravotníctva SR navrhuje zaradenie látky do I. s</w:t>
      </w:r>
      <w:r w:rsidR="0093286F" w:rsidRPr="00236240">
        <w:rPr>
          <w:rFonts w:ascii="Times New Roman" w:hAnsi="Times New Roman" w:cs="Times New Roman"/>
          <w:sz w:val="24"/>
          <w:szCs w:val="24"/>
        </w:rPr>
        <w:t xml:space="preserve">kupiny psychotropných látok. </w:t>
      </w:r>
      <w:r w:rsidR="001560D7" w:rsidRPr="00236240">
        <w:rPr>
          <w:rFonts w:ascii="Times New Roman" w:hAnsi="Times New Roman" w:cs="Times New Roman"/>
          <w:sz w:val="24"/>
          <w:szCs w:val="24"/>
        </w:rPr>
        <w:t xml:space="preserve">Na základe rozhodnutia prijatého na 64. zasadnutí Komisie pre omamné látky Úradu OSN pre omamné látky a kriminalitu v dňoch 12. 4. až 16. 4. 2021 sa zaraďuje do skupiny I.  </w:t>
      </w:r>
      <w:r w:rsidR="00506CA9" w:rsidRPr="00236240">
        <w:rPr>
          <w:rFonts w:ascii="Times New Roman" w:hAnsi="Times New Roman" w:cs="Times New Roman"/>
          <w:sz w:val="24"/>
          <w:szCs w:val="24"/>
        </w:rPr>
        <w:t>psychotropných</w:t>
      </w:r>
      <w:r w:rsidR="0093286F" w:rsidRPr="00236240">
        <w:rPr>
          <w:rFonts w:ascii="Times New Roman" w:hAnsi="Times New Roman" w:cs="Times New Roman"/>
          <w:sz w:val="24"/>
          <w:szCs w:val="24"/>
        </w:rPr>
        <w:t xml:space="preserve"> látok </w:t>
      </w:r>
      <w:r w:rsidR="00E861F0" w:rsidRPr="00236240">
        <w:rPr>
          <w:rFonts w:ascii="Times New Roman" w:hAnsi="Times New Roman" w:cs="Times New Roman"/>
          <w:sz w:val="24"/>
          <w:szCs w:val="24"/>
        </w:rPr>
        <w:t xml:space="preserve">látka </w:t>
      </w:r>
      <w:r w:rsidR="00040491" w:rsidRPr="00236240">
        <w:rPr>
          <w:rFonts w:ascii="Times New Roman" w:hAnsi="Times New Roman" w:cs="Times New Roman"/>
          <w:sz w:val="24"/>
          <w:szCs w:val="24"/>
        </w:rPr>
        <w:t>3</w:t>
      </w:r>
      <w:r w:rsidR="00E861F0" w:rsidRPr="00236240">
        <w:rPr>
          <w:rFonts w:ascii="Times New Roman" w:hAnsi="Times New Roman" w:cs="Times New Roman"/>
          <w:sz w:val="24"/>
          <w:szCs w:val="24"/>
        </w:rPr>
        <w:t>– metoxyfen</w:t>
      </w:r>
      <w:r w:rsidR="00040491" w:rsidRPr="00236240">
        <w:rPr>
          <w:rFonts w:ascii="Times New Roman" w:hAnsi="Times New Roman" w:cs="Times New Roman"/>
          <w:sz w:val="24"/>
          <w:szCs w:val="24"/>
        </w:rPr>
        <w:t>cyklidín</w:t>
      </w:r>
      <w:r w:rsidR="00E861F0" w:rsidRPr="00236240">
        <w:rPr>
          <w:rFonts w:ascii="Times New Roman" w:hAnsi="Times New Roman" w:cs="Times New Roman"/>
          <w:sz w:val="24"/>
          <w:szCs w:val="24"/>
        </w:rPr>
        <w:t xml:space="preserve">. Predáva sa vo forme prášku a tabliet. Táto látka nemá terapeutické použitie a preto sa v súlade s § 3 ods. 2 zákona navrhuje zaradiť do I. </w:t>
      </w:r>
      <w:r w:rsidR="00236240" w:rsidRPr="00236240">
        <w:rPr>
          <w:rFonts w:ascii="Times New Roman" w:hAnsi="Times New Roman" w:cs="Times New Roman"/>
          <w:sz w:val="24"/>
          <w:szCs w:val="24"/>
        </w:rPr>
        <w:t>skupiny psychotropných látok.  Svetová zdravotnícka</w:t>
      </w:r>
      <w:r w:rsidR="00040491" w:rsidRPr="00236240">
        <w:rPr>
          <w:rFonts w:ascii="Times New Roman" w:hAnsi="Times New Roman" w:cs="Times New Roman"/>
          <w:sz w:val="24"/>
          <w:szCs w:val="24"/>
        </w:rPr>
        <w:t xml:space="preserve"> organizácia vo svojom stanovisku uviedla, že látka 3– metoxyfencyklidín, ak sa vyrába nezákonne predstavuje</w:t>
      </w:r>
      <w:r w:rsidR="00236240" w:rsidRPr="00236240">
        <w:rPr>
          <w:rFonts w:ascii="Times New Roman" w:hAnsi="Times New Roman" w:cs="Times New Roman"/>
          <w:sz w:val="24"/>
          <w:szCs w:val="24"/>
        </w:rPr>
        <w:t xml:space="preserve">  riziko  pre verejné zdravie. </w:t>
      </w:r>
      <w:r w:rsidR="00040491" w:rsidRPr="00236240">
        <w:rPr>
          <w:rFonts w:ascii="Times New Roman" w:hAnsi="Times New Roman" w:cs="Times New Roman"/>
          <w:sz w:val="24"/>
          <w:szCs w:val="24"/>
        </w:rPr>
        <w:t>Je antagonistomrecepto</w:t>
      </w:r>
      <w:r w:rsidR="00236240" w:rsidRPr="00236240">
        <w:rPr>
          <w:rFonts w:ascii="Times New Roman" w:hAnsi="Times New Roman" w:cs="Times New Roman"/>
          <w:sz w:val="24"/>
          <w:szCs w:val="24"/>
        </w:rPr>
        <w:t>rov N-metyl-D- aspartátu (NMDA)</w:t>
      </w:r>
      <w:r w:rsidR="00040491" w:rsidRPr="00236240">
        <w:rPr>
          <w:rFonts w:ascii="Times New Roman" w:hAnsi="Times New Roman" w:cs="Times New Roman"/>
          <w:sz w:val="24"/>
          <w:szCs w:val="24"/>
        </w:rPr>
        <w:t>, ktorého mechanizmus účinku a</w:t>
      </w:r>
      <w:r w:rsidR="003F141E" w:rsidRPr="00236240">
        <w:rPr>
          <w:rFonts w:ascii="Times New Roman" w:hAnsi="Times New Roman" w:cs="Times New Roman"/>
          <w:sz w:val="24"/>
          <w:szCs w:val="24"/>
        </w:rPr>
        <w:t xml:space="preserve"> vlastnosti sú podobné fencyklidínu. Tieto účinky sa prejavujú mentálnymi zmenami ako sú konfúzia, dezorientácia, halucinácie a iné psychotické symptómy. Ďalšími účinkami sú </w:t>
      </w:r>
      <w:r w:rsidR="003F141E" w:rsidRPr="00236240">
        <w:rPr>
          <w:rFonts w:ascii="Times New Roman" w:hAnsi="Times New Roman" w:cs="Times New Roman"/>
          <w:sz w:val="24"/>
          <w:szCs w:val="24"/>
        </w:rPr>
        <w:lastRenderedPageBreak/>
        <w:t xml:space="preserve">kardiovaskulárne účinky ako hypertenzia a tachykardia spojené so psychózami, konfúziou a agitáciou, najmä u ľudí s vrodenými psychotickými ochoreniami. Prípady vážnych a smrteľných intoxikácií boli signalizované z viacerých </w:t>
      </w:r>
      <w:r w:rsidR="002E0E9E" w:rsidRPr="00236240">
        <w:rPr>
          <w:rFonts w:ascii="Times New Roman" w:hAnsi="Times New Roman" w:cs="Times New Roman"/>
          <w:sz w:val="24"/>
          <w:szCs w:val="24"/>
        </w:rPr>
        <w:t>regiónov</w:t>
      </w:r>
      <w:r w:rsidR="003F141E" w:rsidRPr="00236240">
        <w:rPr>
          <w:rFonts w:ascii="Times New Roman" w:hAnsi="Times New Roman" w:cs="Times New Roman"/>
          <w:sz w:val="24"/>
          <w:szCs w:val="24"/>
        </w:rPr>
        <w:t xml:space="preserve">.    </w:t>
      </w:r>
    </w:p>
    <w:p w:rsidR="0093286F" w:rsidRPr="00236240" w:rsidRDefault="0093286F" w:rsidP="0093286F">
      <w:pPr>
        <w:pStyle w:val="Nzov"/>
        <w:spacing w:before="0" w:line="360" w:lineRule="auto"/>
        <w:contextualSpacing/>
        <w:jc w:val="both"/>
        <w:rPr>
          <w:b w:val="0"/>
        </w:rPr>
      </w:pPr>
    </w:p>
    <w:p w:rsidR="001560D7" w:rsidRPr="00236240" w:rsidRDefault="009424C0" w:rsidP="0093286F">
      <w:pPr>
        <w:pStyle w:val="Nzov"/>
        <w:spacing w:before="0" w:line="360" w:lineRule="auto"/>
        <w:contextualSpacing/>
        <w:jc w:val="both"/>
        <w:rPr>
          <w:b w:val="0"/>
        </w:rPr>
      </w:pPr>
      <w:r w:rsidRPr="00236240">
        <w:rPr>
          <w:b w:val="0"/>
        </w:rPr>
        <w:t>K bodu 1</w:t>
      </w:r>
      <w:r w:rsidR="00B23864" w:rsidRPr="00236240">
        <w:rPr>
          <w:b w:val="0"/>
        </w:rPr>
        <w:t>1</w:t>
      </w:r>
    </w:p>
    <w:p w:rsidR="00ED47BE" w:rsidRPr="00236240" w:rsidRDefault="00ED47BE" w:rsidP="00056AD9">
      <w:pPr>
        <w:widowControl/>
        <w:suppressAutoHyphens w:val="0"/>
        <w:autoSpaceDE w:val="0"/>
        <w:adjustRightInd w:val="0"/>
        <w:spacing w:after="0" w:line="360" w:lineRule="auto"/>
        <w:ind w:firstLine="709"/>
        <w:textAlignment w:val="auto"/>
        <w:rPr>
          <w:rFonts w:ascii="Times New Roman" w:eastAsiaTheme="minorHAnsi" w:hAnsi="Times New Roman" w:cs="Times New Roman"/>
          <w:kern w:val="0"/>
          <w:sz w:val="24"/>
          <w:szCs w:val="24"/>
        </w:rPr>
      </w:pPr>
      <w:r w:rsidRPr="00236240">
        <w:rPr>
          <w:rFonts w:ascii="Times New Roman" w:hAnsi="Times New Roman" w:cs="Times New Roman"/>
          <w:sz w:val="24"/>
          <w:szCs w:val="24"/>
        </w:rPr>
        <w:t>Na základe návrhu Ministerstva vnútra SR sa látka MXPr</w:t>
      </w:r>
      <w:r w:rsidRPr="00236240">
        <w:rPr>
          <w:rFonts w:ascii="Times New Roman" w:eastAsiaTheme="minorHAnsi" w:hAnsi="Times New Roman" w:cs="Times New Roman"/>
          <w:bCs/>
          <w:kern w:val="0"/>
          <w:sz w:val="24"/>
          <w:szCs w:val="24"/>
        </w:rPr>
        <w:t xml:space="preserve"> navrhuje zaradiť </w:t>
      </w:r>
      <w:r w:rsidRPr="00236240">
        <w:rPr>
          <w:rFonts w:ascii="Times New Roman" w:hAnsi="Times New Roman" w:cs="Times New Roman"/>
          <w:sz w:val="24"/>
          <w:szCs w:val="24"/>
        </w:rPr>
        <w:t xml:space="preserve">do skupiny I.  psychotropných látok. </w:t>
      </w:r>
      <w:r w:rsidR="009424C0" w:rsidRPr="00236240">
        <w:rPr>
          <w:rFonts w:ascii="Times New Roman" w:eastAsiaTheme="minorHAnsi" w:hAnsi="Times New Roman" w:cs="Times New Roman"/>
          <w:kern w:val="0"/>
          <w:sz w:val="24"/>
          <w:szCs w:val="24"/>
        </w:rPr>
        <w:t xml:space="preserve">MXPr je nová halucinogénna látka z triedy arylcyklohexylamínov s účinkami podobnými ketamínu a fencyklidínu (PCP). Dostupný je ako biely až hnedastý prášok. K najčastejším prejavom konzumácie MXPr patrí sčervenanie kože, nezrozumiteľná reč, depresia, nespavosť, strata koordinácie, dezorientácia, psychotické epizódy a halucinácie, zhoršené kognitívne funkcie, skreslené vnímanie a pod. Neexistujú žiadne kontrolované štúdie o jeho liečebnom alebo priemyselnom využití. </w:t>
      </w:r>
    </w:p>
    <w:p w:rsidR="00056AD9" w:rsidRPr="00236240" w:rsidRDefault="00056AD9" w:rsidP="00056AD9">
      <w:pPr>
        <w:widowControl/>
        <w:suppressAutoHyphens w:val="0"/>
        <w:autoSpaceDE w:val="0"/>
        <w:adjustRightInd w:val="0"/>
        <w:spacing w:after="0" w:line="360" w:lineRule="auto"/>
        <w:ind w:firstLine="709"/>
        <w:textAlignment w:val="auto"/>
        <w:rPr>
          <w:rFonts w:ascii="Times New Roman" w:hAnsi="Times New Roman" w:cs="Times New Roman"/>
          <w:sz w:val="24"/>
          <w:szCs w:val="24"/>
          <w:lang w:eastAsia="sk-SK"/>
        </w:rPr>
      </w:pPr>
    </w:p>
    <w:p w:rsidR="007642D4" w:rsidRPr="00236240" w:rsidRDefault="007642D4" w:rsidP="00056AD9">
      <w:pPr>
        <w:pStyle w:val="Textbody"/>
        <w:spacing w:after="0" w:line="360" w:lineRule="auto"/>
        <w:rPr>
          <w:rFonts w:ascii="Times New Roman" w:hAnsi="Times New Roman" w:cs="Times New Roman"/>
          <w:sz w:val="24"/>
          <w:szCs w:val="24"/>
          <w:lang w:eastAsia="sk-SK"/>
        </w:rPr>
      </w:pPr>
      <w:r w:rsidRPr="00236240">
        <w:rPr>
          <w:rFonts w:ascii="Times New Roman" w:hAnsi="Times New Roman" w:cs="Times New Roman"/>
          <w:sz w:val="24"/>
          <w:szCs w:val="24"/>
          <w:lang w:eastAsia="sk-SK"/>
        </w:rPr>
        <w:t xml:space="preserve">K bodu </w:t>
      </w:r>
      <w:r w:rsidR="002A0170" w:rsidRPr="00236240">
        <w:rPr>
          <w:rFonts w:ascii="Times New Roman" w:hAnsi="Times New Roman" w:cs="Times New Roman"/>
          <w:sz w:val="24"/>
          <w:szCs w:val="24"/>
          <w:lang w:eastAsia="sk-SK"/>
        </w:rPr>
        <w:t>1</w:t>
      </w:r>
      <w:r w:rsidR="008425C0" w:rsidRPr="00236240">
        <w:rPr>
          <w:rFonts w:ascii="Times New Roman" w:hAnsi="Times New Roman" w:cs="Times New Roman"/>
          <w:sz w:val="24"/>
          <w:szCs w:val="24"/>
          <w:lang w:eastAsia="sk-SK"/>
        </w:rPr>
        <w:t>3</w:t>
      </w:r>
    </w:p>
    <w:p w:rsidR="007642D4" w:rsidRPr="00236240" w:rsidRDefault="007642D4" w:rsidP="00056AD9">
      <w:pPr>
        <w:pStyle w:val="Textbody"/>
        <w:spacing w:line="360" w:lineRule="auto"/>
        <w:ind w:firstLine="708"/>
        <w:rPr>
          <w:rFonts w:ascii="Times New Roman" w:hAnsi="Times New Roman" w:cs="Times New Roman"/>
          <w:sz w:val="24"/>
          <w:szCs w:val="24"/>
          <w:lang w:eastAsia="sk-SK"/>
        </w:rPr>
      </w:pPr>
      <w:r w:rsidRPr="00236240">
        <w:rPr>
          <w:rFonts w:ascii="Times New Roman" w:hAnsi="Times New Roman" w:cs="Times New Roman"/>
          <w:sz w:val="24"/>
          <w:szCs w:val="24"/>
          <w:lang w:eastAsia="sk-SK"/>
        </w:rPr>
        <w:t xml:space="preserve">Transpozičná príloha sa dopĺňa </w:t>
      </w:r>
      <w:r w:rsidR="00395146" w:rsidRPr="00236240">
        <w:rPr>
          <w:rFonts w:ascii="Times New Roman" w:hAnsi="Times New Roman" w:cs="Times New Roman"/>
          <w:sz w:val="24"/>
          <w:szCs w:val="24"/>
          <w:lang w:eastAsia="sk-SK"/>
        </w:rPr>
        <w:t xml:space="preserve">bodom 4, ktorým sa </w:t>
      </w:r>
      <w:r w:rsidRPr="00236240">
        <w:rPr>
          <w:rFonts w:ascii="Times New Roman" w:hAnsi="Times New Roman" w:cs="Times New Roman"/>
          <w:sz w:val="24"/>
          <w:szCs w:val="24"/>
          <w:lang w:eastAsia="sk-SK"/>
        </w:rPr>
        <w:t>odkaz</w:t>
      </w:r>
      <w:r w:rsidR="00395146" w:rsidRPr="00236240">
        <w:rPr>
          <w:rFonts w:ascii="Times New Roman" w:hAnsi="Times New Roman" w:cs="Times New Roman"/>
          <w:sz w:val="24"/>
          <w:szCs w:val="24"/>
          <w:lang w:eastAsia="sk-SK"/>
        </w:rPr>
        <w:t>uje v súlade s článkom 2 odsekom 2 delegovanej smernice Komisie 2021/802</w:t>
      </w:r>
      <w:r w:rsidRPr="00236240">
        <w:rPr>
          <w:rFonts w:ascii="Times New Roman" w:hAnsi="Times New Roman" w:cs="Times New Roman"/>
          <w:sz w:val="24"/>
          <w:szCs w:val="24"/>
          <w:lang w:eastAsia="sk-SK"/>
        </w:rPr>
        <w:t xml:space="preserve"> na </w:t>
      </w:r>
      <w:r w:rsidRPr="00236240">
        <w:rPr>
          <w:rFonts w:ascii="Times New Roman" w:hAnsi="Times New Roman" w:cs="Times New Roman"/>
          <w:sz w:val="24"/>
          <w:szCs w:val="24"/>
        </w:rPr>
        <w:t>delegovanú smernicu Komisie (EÚ) 2021/802 z 12. marca 2021, ktorou sa mení príloha k rámcovému rozhodnutiu Rady 2004/757/SVV, pokiaľ ide o zaradenie nových psychoaktívnych látok metyl-3,3-dimetyl-2-{[1-(pent-4-én-1-yl)-1</w:t>
      </w:r>
      <w:r w:rsidRPr="00236240">
        <w:rPr>
          <w:rFonts w:ascii="Times New Roman" w:hAnsi="Times New Roman" w:cs="Times New Roman"/>
          <w:i/>
          <w:iCs/>
          <w:sz w:val="24"/>
          <w:szCs w:val="24"/>
        </w:rPr>
        <w:t>H</w:t>
      </w:r>
      <w:r w:rsidRPr="00236240">
        <w:rPr>
          <w:rFonts w:ascii="Times New Roman" w:hAnsi="Times New Roman" w:cs="Times New Roman"/>
          <w:sz w:val="24"/>
          <w:szCs w:val="24"/>
        </w:rPr>
        <w:t>-indazol-3-karbonyl]amino}butanoát (MDMB-4en-PINACA) a metyl-2-{[1-(4-fluórbutyl)-1</w:t>
      </w:r>
      <w:r w:rsidRPr="00236240">
        <w:rPr>
          <w:rFonts w:ascii="Times New Roman" w:hAnsi="Times New Roman" w:cs="Times New Roman"/>
          <w:i/>
          <w:iCs/>
          <w:sz w:val="24"/>
          <w:szCs w:val="24"/>
        </w:rPr>
        <w:t>H</w:t>
      </w:r>
      <w:bookmarkStart w:id="0" w:name="_GoBack"/>
      <w:bookmarkEnd w:id="0"/>
      <w:r w:rsidRPr="00236240">
        <w:rPr>
          <w:rFonts w:ascii="Times New Roman" w:hAnsi="Times New Roman" w:cs="Times New Roman"/>
          <w:sz w:val="24"/>
          <w:szCs w:val="24"/>
        </w:rPr>
        <w:t>-indol-3-karbonyl]amino}-3,3-dimetylbutanoát (4F-MDMB-BICA) do vymedzenia pojmu drogy</w:t>
      </w:r>
      <w:r w:rsidR="00236240" w:rsidRPr="00236240">
        <w:rPr>
          <w:rFonts w:ascii="Times New Roman" w:hAnsi="Times New Roman" w:cs="Times New Roman"/>
          <w:sz w:val="24"/>
          <w:szCs w:val="24"/>
        </w:rPr>
        <w:t xml:space="preserve"> </w:t>
      </w:r>
      <w:r w:rsidR="00236240" w:rsidRPr="00236240">
        <w:rPr>
          <w:rFonts w:ascii="Times New Roman" w:hAnsi="Times New Roman" w:cs="Times New Roman"/>
          <w:color w:val="000000"/>
          <w:sz w:val="24"/>
          <w:szCs w:val="24"/>
          <w:shd w:val="clear" w:color="auto" w:fill="FBFBFB"/>
        </w:rPr>
        <w:t>(Ú. v. EÚ L 178, 20. 5. 2021)</w:t>
      </w:r>
      <w:r w:rsidR="00395146" w:rsidRPr="00236240">
        <w:rPr>
          <w:rFonts w:ascii="Times New Roman" w:hAnsi="Times New Roman" w:cs="Times New Roman"/>
          <w:sz w:val="24"/>
          <w:szCs w:val="24"/>
        </w:rPr>
        <w:t>.</w:t>
      </w:r>
    </w:p>
    <w:p w:rsidR="00794856" w:rsidRPr="00236240" w:rsidRDefault="00794856" w:rsidP="00056AD9">
      <w:pPr>
        <w:pStyle w:val="Standard"/>
        <w:spacing w:after="0" w:line="360" w:lineRule="auto"/>
        <w:ind w:left="708"/>
        <w:contextualSpacing/>
        <w:rPr>
          <w:rFonts w:ascii="Times New Roman" w:hAnsi="Times New Roman" w:cs="Times New Roman"/>
          <w:sz w:val="24"/>
          <w:szCs w:val="24"/>
        </w:rPr>
      </w:pPr>
    </w:p>
    <w:p w:rsidR="0093286F" w:rsidRPr="00236240" w:rsidRDefault="005959CB" w:rsidP="0093286F">
      <w:pPr>
        <w:pStyle w:val="Standard"/>
        <w:spacing w:line="360" w:lineRule="auto"/>
        <w:contextualSpacing/>
        <w:rPr>
          <w:rFonts w:ascii="Times New Roman" w:hAnsi="Times New Roman" w:cs="Times New Roman"/>
          <w:sz w:val="24"/>
          <w:szCs w:val="24"/>
        </w:rPr>
      </w:pPr>
      <w:r w:rsidRPr="00236240">
        <w:rPr>
          <w:rFonts w:ascii="Times New Roman" w:hAnsi="Times New Roman" w:cs="Times New Roman"/>
          <w:b/>
          <w:sz w:val="24"/>
          <w:szCs w:val="24"/>
        </w:rPr>
        <w:t>K čl. II</w:t>
      </w:r>
    </w:p>
    <w:p w:rsidR="0093286F" w:rsidRPr="00236240" w:rsidRDefault="0093286F" w:rsidP="0093286F">
      <w:pPr>
        <w:pStyle w:val="Standard"/>
        <w:spacing w:line="360" w:lineRule="auto"/>
        <w:ind w:firstLine="708"/>
        <w:contextualSpacing/>
        <w:rPr>
          <w:rFonts w:ascii="Times New Roman" w:hAnsi="Times New Roman" w:cs="Times New Roman"/>
          <w:sz w:val="24"/>
          <w:szCs w:val="24"/>
        </w:rPr>
      </w:pPr>
    </w:p>
    <w:p w:rsidR="005959CB" w:rsidRPr="00236240" w:rsidRDefault="005959CB" w:rsidP="0093286F">
      <w:pPr>
        <w:pStyle w:val="Standard"/>
        <w:spacing w:line="360" w:lineRule="auto"/>
        <w:ind w:firstLine="708"/>
        <w:contextualSpacing/>
        <w:rPr>
          <w:rFonts w:ascii="Times New Roman" w:hAnsi="Times New Roman" w:cs="Times New Roman"/>
          <w:sz w:val="24"/>
          <w:szCs w:val="24"/>
        </w:rPr>
      </w:pPr>
      <w:r w:rsidRPr="00236240">
        <w:rPr>
          <w:rFonts w:ascii="Times New Roman" w:hAnsi="Times New Roman" w:cs="Times New Roman"/>
          <w:sz w:val="24"/>
          <w:szCs w:val="24"/>
        </w:rPr>
        <w:t xml:space="preserve">Navrhuje sa </w:t>
      </w:r>
      <w:r w:rsidR="00BE10AC" w:rsidRPr="00236240">
        <w:rPr>
          <w:rFonts w:ascii="Times New Roman" w:hAnsi="Times New Roman" w:cs="Times New Roman"/>
          <w:sz w:val="24"/>
          <w:szCs w:val="24"/>
        </w:rPr>
        <w:t>dátum nadobudnutia účinnosti zákona.</w:t>
      </w:r>
    </w:p>
    <w:p w:rsidR="009D37AC" w:rsidRPr="00236240" w:rsidRDefault="009D37AC" w:rsidP="00056AD9">
      <w:pPr>
        <w:spacing w:line="360" w:lineRule="auto"/>
        <w:contextualSpacing/>
        <w:rPr>
          <w:rFonts w:ascii="Times New Roman" w:hAnsi="Times New Roman" w:cs="Times New Roman"/>
          <w:sz w:val="24"/>
          <w:szCs w:val="24"/>
        </w:rPr>
      </w:pPr>
    </w:p>
    <w:sectPr w:rsidR="009D37AC" w:rsidRPr="00236240" w:rsidSect="00056AD9">
      <w:footerReference w:type="default" r:id="rId7"/>
      <w:pgSz w:w="11906" w:h="16838"/>
      <w:pgMar w:top="1418" w:right="112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A15" w:rsidRDefault="00F01A15">
      <w:pPr>
        <w:spacing w:after="0" w:line="240" w:lineRule="auto"/>
      </w:pPr>
      <w:r>
        <w:separator/>
      </w:r>
    </w:p>
  </w:endnote>
  <w:endnote w:type="continuationSeparator" w:id="0">
    <w:p w:rsidR="00F01A15" w:rsidRDefault="00F0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93013"/>
      <w:docPartObj>
        <w:docPartGallery w:val="Page Numbers (Bottom of Page)"/>
        <w:docPartUnique/>
      </w:docPartObj>
    </w:sdtPr>
    <w:sdtEndPr/>
    <w:sdtContent>
      <w:p w:rsidR="004454E1" w:rsidRDefault="004454E1">
        <w:pPr>
          <w:pStyle w:val="Pta"/>
          <w:jc w:val="center"/>
        </w:pPr>
        <w:r>
          <w:fldChar w:fldCharType="begin"/>
        </w:r>
        <w:r>
          <w:instrText>PAGE   \* MERGEFORMAT</w:instrText>
        </w:r>
        <w:r>
          <w:fldChar w:fldCharType="separate"/>
        </w:r>
        <w:r w:rsidR="00236240">
          <w:rPr>
            <w:noProof/>
          </w:rPr>
          <w:t>1</w:t>
        </w:r>
        <w:r>
          <w:fldChar w:fldCharType="end"/>
        </w:r>
      </w:p>
    </w:sdtContent>
  </w:sdt>
  <w:p w:rsidR="004454E1" w:rsidRDefault="004454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A15" w:rsidRDefault="00F01A15">
      <w:pPr>
        <w:spacing w:after="0" w:line="240" w:lineRule="auto"/>
      </w:pPr>
      <w:r>
        <w:separator/>
      </w:r>
    </w:p>
  </w:footnote>
  <w:footnote w:type="continuationSeparator" w:id="0">
    <w:p w:rsidR="00F01A15" w:rsidRDefault="00F01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CB"/>
    <w:rsid w:val="00040491"/>
    <w:rsid w:val="00056AD9"/>
    <w:rsid w:val="00065089"/>
    <w:rsid w:val="000F0338"/>
    <w:rsid w:val="000F6444"/>
    <w:rsid w:val="0015261C"/>
    <w:rsid w:val="001560D7"/>
    <w:rsid w:val="0018254D"/>
    <w:rsid w:val="001E1090"/>
    <w:rsid w:val="00236240"/>
    <w:rsid w:val="002463C8"/>
    <w:rsid w:val="002567AA"/>
    <w:rsid w:val="00257C62"/>
    <w:rsid w:val="002A0170"/>
    <w:rsid w:val="002E0E9E"/>
    <w:rsid w:val="00395146"/>
    <w:rsid w:val="003F141E"/>
    <w:rsid w:val="003F27CA"/>
    <w:rsid w:val="004454E1"/>
    <w:rsid w:val="004C2F93"/>
    <w:rsid w:val="004E5CDB"/>
    <w:rsid w:val="00506CA9"/>
    <w:rsid w:val="0055216D"/>
    <w:rsid w:val="005959CB"/>
    <w:rsid w:val="005E6D1C"/>
    <w:rsid w:val="00676BC4"/>
    <w:rsid w:val="006A7A0B"/>
    <w:rsid w:val="00730BE4"/>
    <w:rsid w:val="00734871"/>
    <w:rsid w:val="007519AB"/>
    <w:rsid w:val="007642D4"/>
    <w:rsid w:val="00772D2D"/>
    <w:rsid w:val="00794856"/>
    <w:rsid w:val="007962E3"/>
    <w:rsid w:val="007C6EE7"/>
    <w:rsid w:val="008425C0"/>
    <w:rsid w:val="008A7AE1"/>
    <w:rsid w:val="009048EA"/>
    <w:rsid w:val="00923791"/>
    <w:rsid w:val="0093286F"/>
    <w:rsid w:val="009424C0"/>
    <w:rsid w:val="009C0F59"/>
    <w:rsid w:val="009D37AC"/>
    <w:rsid w:val="00A1241C"/>
    <w:rsid w:val="00A75F7D"/>
    <w:rsid w:val="00A8519B"/>
    <w:rsid w:val="00B00228"/>
    <w:rsid w:val="00B23864"/>
    <w:rsid w:val="00B376CA"/>
    <w:rsid w:val="00BB2C46"/>
    <w:rsid w:val="00BC48F5"/>
    <w:rsid w:val="00BC585A"/>
    <w:rsid w:val="00BC6A26"/>
    <w:rsid w:val="00BD0E7C"/>
    <w:rsid w:val="00BD5407"/>
    <w:rsid w:val="00BE10AC"/>
    <w:rsid w:val="00C51B11"/>
    <w:rsid w:val="00C5670F"/>
    <w:rsid w:val="00C72F7E"/>
    <w:rsid w:val="00CC0F6A"/>
    <w:rsid w:val="00CC35CF"/>
    <w:rsid w:val="00D1559F"/>
    <w:rsid w:val="00D55847"/>
    <w:rsid w:val="00D6082A"/>
    <w:rsid w:val="00DC2B59"/>
    <w:rsid w:val="00DC5792"/>
    <w:rsid w:val="00DC5B76"/>
    <w:rsid w:val="00DC6CCC"/>
    <w:rsid w:val="00DD3D73"/>
    <w:rsid w:val="00DE3C3B"/>
    <w:rsid w:val="00DE6607"/>
    <w:rsid w:val="00E06359"/>
    <w:rsid w:val="00E861F0"/>
    <w:rsid w:val="00EB7A15"/>
    <w:rsid w:val="00ED47BE"/>
    <w:rsid w:val="00EF0ED6"/>
    <w:rsid w:val="00F01A15"/>
    <w:rsid w:val="00FE7507"/>
    <w:rsid w:val="00FF0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9BA"/>
  <w15:docId w15:val="{52E43614-8A66-4B92-B05A-4801BADD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59CB"/>
    <w:pPr>
      <w:widowControl w:val="0"/>
      <w:suppressAutoHyphens/>
      <w:autoSpaceDN w:val="0"/>
      <w:textAlignment w:val="baseline"/>
    </w:pPr>
    <w:rPr>
      <w:rFonts w:ascii="Calibri" w:eastAsia="SimSun" w:hAnsi="Calibri" w:cs="F"/>
      <w:kern w:val="3"/>
    </w:rPr>
  </w:style>
  <w:style w:type="paragraph" w:styleId="Nadpis1">
    <w:name w:val="heading 1"/>
    <w:basedOn w:val="Standard"/>
    <w:next w:val="Textbody"/>
    <w:link w:val="Nadpis1Char"/>
    <w:rsid w:val="005959CB"/>
    <w:pPr>
      <w:keepNext/>
      <w:keepLines/>
      <w:spacing w:before="480" w:after="0" w:line="276" w:lineRule="auto"/>
      <w:jc w:val="left"/>
      <w:outlineLvl w:val="0"/>
    </w:pPr>
    <w:rPr>
      <w:rFonts w:ascii="Calibri Light"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959CB"/>
    <w:rPr>
      <w:rFonts w:ascii="Calibri Light" w:eastAsia="SimSun" w:hAnsi="Calibri Light" w:cs="F"/>
      <w:b/>
      <w:bCs/>
      <w:color w:val="2E74B5"/>
      <w:kern w:val="3"/>
      <w:sz w:val="28"/>
      <w:szCs w:val="28"/>
    </w:rPr>
  </w:style>
  <w:style w:type="paragraph" w:customStyle="1" w:styleId="Standard">
    <w:name w:val="Standard"/>
    <w:rsid w:val="005959CB"/>
    <w:pPr>
      <w:suppressAutoHyphens/>
      <w:autoSpaceDN w:val="0"/>
      <w:textAlignment w:val="baseline"/>
    </w:pPr>
    <w:rPr>
      <w:rFonts w:ascii="Calibri" w:eastAsia="SimSun" w:hAnsi="Calibri" w:cs="F"/>
      <w:kern w:val="3"/>
    </w:rPr>
  </w:style>
  <w:style w:type="paragraph" w:styleId="Nzov">
    <w:name w:val="Title"/>
    <w:basedOn w:val="Standard"/>
    <w:next w:val="Textbody"/>
    <w:link w:val="NzovChar"/>
    <w:rsid w:val="005959CB"/>
    <w:pPr>
      <w:keepNext/>
      <w:spacing w:before="240"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5959CB"/>
    <w:rPr>
      <w:rFonts w:ascii="Times New Roman" w:eastAsia="Times New Roman" w:hAnsi="Times New Roman" w:cs="Times New Roman"/>
      <w:b/>
      <w:bCs/>
      <w:kern w:val="3"/>
      <w:sz w:val="24"/>
      <w:szCs w:val="24"/>
      <w:lang w:eastAsia="sk-SK"/>
    </w:rPr>
  </w:style>
  <w:style w:type="paragraph" w:customStyle="1" w:styleId="Textbody">
    <w:name w:val="Text body"/>
    <w:basedOn w:val="Standard"/>
    <w:rsid w:val="005959CB"/>
    <w:pPr>
      <w:spacing w:after="120"/>
    </w:pPr>
  </w:style>
  <w:style w:type="paragraph" w:styleId="PredformtovanHTML">
    <w:name w:val="HTML Preformatted"/>
    <w:basedOn w:val="Standard"/>
    <w:link w:val="PredformtovanHTMLChar"/>
    <w:rsid w:val="0059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5959CB"/>
    <w:rPr>
      <w:rFonts w:ascii="Courier New" w:eastAsia="Times New Roman" w:hAnsi="Courier New" w:cs="Courier New"/>
      <w:kern w:val="3"/>
      <w:sz w:val="20"/>
      <w:szCs w:val="20"/>
      <w:lang w:eastAsia="sk-SK"/>
    </w:rPr>
  </w:style>
  <w:style w:type="paragraph" w:styleId="Odsekzoznamu">
    <w:name w:val="List Paragraph"/>
    <w:basedOn w:val="Standard"/>
    <w:rsid w:val="005959CB"/>
    <w:pPr>
      <w:ind w:left="720"/>
    </w:pPr>
  </w:style>
  <w:style w:type="character" w:customStyle="1" w:styleId="tlid-translation">
    <w:name w:val="tlid-translation"/>
    <w:basedOn w:val="Predvolenpsmoodseku"/>
    <w:rsid w:val="005959CB"/>
  </w:style>
  <w:style w:type="paragraph" w:styleId="Pta">
    <w:name w:val="footer"/>
    <w:basedOn w:val="Normlny"/>
    <w:link w:val="PtaChar"/>
    <w:uiPriority w:val="99"/>
    <w:unhideWhenUsed/>
    <w:rsid w:val="005959CB"/>
    <w:pPr>
      <w:tabs>
        <w:tab w:val="center" w:pos="4536"/>
        <w:tab w:val="right" w:pos="9072"/>
      </w:tabs>
      <w:spacing w:after="0" w:line="240" w:lineRule="auto"/>
    </w:pPr>
  </w:style>
  <w:style w:type="character" w:customStyle="1" w:styleId="PtaChar">
    <w:name w:val="Päta Char"/>
    <w:basedOn w:val="Predvolenpsmoodseku"/>
    <w:link w:val="Pta"/>
    <w:uiPriority w:val="99"/>
    <w:rsid w:val="005959CB"/>
    <w:rPr>
      <w:rFonts w:ascii="Calibri" w:eastAsia="SimSun" w:hAnsi="Calibri" w:cs="F"/>
      <w:kern w:val="3"/>
    </w:rPr>
  </w:style>
  <w:style w:type="paragraph" w:styleId="Textbubliny">
    <w:name w:val="Balloon Text"/>
    <w:basedOn w:val="Normlny"/>
    <w:link w:val="TextbublinyChar"/>
    <w:uiPriority w:val="99"/>
    <w:semiHidden/>
    <w:unhideWhenUsed/>
    <w:rsid w:val="0006508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08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osobitná-časť"/>
    <f:field ref="objsubject" par="" edit="true" text=""/>
    <f:field ref="objcreatedby" par="" text="Administrator, System"/>
    <f:field ref="objcreatedat" par="" text="1.10.2020 15:31:31"/>
    <f:field ref="objchangedby" par="" text="Administrator, System"/>
    <f:field ref="objmodifiedat" par="" text="1.10.2020 15:31: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Hromádková Martina</dc:creator>
  <cp:lastModifiedBy>Bugyiová Veronika</cp:lastModifiedBy>
  <cp:revision>2</cp:revision>
  <cp:lastPrinted>2020-10-01T10:40:00Z</cp:lastPrinted>
  <dcterms:created xsi:type="dcterms:W3CDTF">2021-09-16T07:48:00Z</dcterms:created>
  <dcterms:modified xsi:type="dcterms:W3CDTF">2021-09-16T07:48:00Z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č.&amp;nbsp; 139/1998 Z. z. o&amp;nbsp;omamných látkach, psychotropných látkach&amp;nbsp; a&amp;nbsp;prípravkoch&amp;nbsp; v&amp;nbsp;znení neskorších predpisov informovaná prostredníctvom zverej</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Tatiana Mazancová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139/1998 Z. z. o omamných látkach, psychotropných látkach a prípravkoch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vt:lpwstr>
  </property>
  <property fmtid="{D5CDD505-2E9C-101B-9397-08002B2CF9AE}" pid="23" name="FSC#SKEDITIONSLOVLEX@103.510:plnynazovpredpis">
    <vt:lpwstr> Zákon, ktorým sa mení a dopĺňa zákon č. 139/1998 Z. z. o omamných látkach, psychotropných látkach a prípravkoch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S15408-2020-OL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LP/2020/421</vt:lpwstr>
  </property>
  <property fmtid="{D5CDD505-2E9C-101B-9397-08002B2CF9AE}" pid="37" name="FSC#SKEDITIONSLOVLEX@103.510:typsprievdok">
    <vt:lpwstr>Doložka prednosti medzinarodnej zmluvy pred zákonmi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 (Hlava XIV – Verejné zdravie) </vt:lpwstr>
  </property>
  <property fmtid="{D5CDD505-2E9C-101B-9397-08002B2CF9AE}" pid="47" name="FSC#SKEDITIONSLOVLEX@103.510:AttrStrListDocPropSekundarneLegPravoPO">
    <vt:lpwstr>nie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17. 9. 2020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style="width:612px;height:48px;"&gt;			&lt;p&gt;Návrh zákona má pozitívny vplyv na podnikateľské prostredie, vrátane MSP, keďže sa predlžuje platnosť osvedčenia z&amp;nbsp;dvoch na tri ro</vt:lpwstr>
  </property>
  <property fmtid="{D5CDD505-2E9C-101B-9397-08002B2CF9AE}" pid="66" name="FSC#SKEDITIONSLOVLEX@103.510:AttrStrListDocPropAltRiesenia">
    <vt:lpwstr>Alternatíva 0: zachovanie súčasného stavu – nezaradením nových psychoaktívnych látok  medzi psychotropné látky a omamné látky by nebolo možné vyvodiť trestno-právnu zodpovednosť za ich nezákonnú výrobu, distribúciu a predaj. Alternatíva 1: zvolená alterna</vt:lpwstr>
  </property>
  <property fmtid="{D5CDD505-2E9C-101B-9397-08002B2CF9AE}" pid="67" name="FSC#SKEDITIONSLOVLEX@103.510:AttrStrListDocPropStanoviskoGest">
    <vt:lpwstr>&lt;table border="0" cellpadding="0" cellspacing="0"&gt;	&lt;tbody&gt;		&lt;tr&gt;			&lt;td style="width:283px;"&gt;			&lt;p&gt;&amp;nbsp;&lt;/p&gt;			&lt;/td&gt;			&lt;td style="width:350px;"&gt;			&lt;p&gt;&amp;nbsp; &amp;nbsp; &amp;nbsp; &amp;nbsp; &amp;nbsp; &amp;nbsp; &amp;nbsp; &amp;nbsp; &amp;nbsp; &amp;nbsp; &amp;nbsp; &amp;nbsp; &amp;nbsp; &amp;nbsp; &amp;nbsp;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sa predkladá na základe Plánu legislatívnych úloh vlády SR na 2. polrok 2020 (predložiť na rokovanie vlády SR v&amp;nbsp;novembri 2020).&lt;/p&gt;&lt;p&gt;Cieľom návrhu zákona je doplniť prílohu č. 1 zákona č. 139/1998 Z. z. o&amp;nbsp;omamných látkach, psych</vt:lpwstr>
  </property>
  <property fmtid="{D5CDD505-2E9C-101B-9397-08002B2CF9AE}" pid="150" name="FSC#SKEDITIONSLOVLEX@103.510:vytvorenedna">
    <vt:lpwstr>1. 10. 2020</vt:lpwstr>
  </property>
  <property fmtid="{D5CDD505-2E9C-101B-9397-08002B2CF9AE}" pid="151" name="FSC#COOSYSTEM@1.1:Container">
    <vt:lpwstr>COO.2145.1000.3.4029924</vt:lpwstr>
  </property>
  <property fmtid="{D5CDD505-2E9C-101B-9397-08002B2CF9AE}" pid="152" name="FSC#FSCFOLIO@1.1001:docpropproject">
    <vt:lpwstr/>
  </property>
</Properties>
</file>