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E" w:rsidRPr="00D26DB2" w:rsidRDefault="00B6389E" w:rsidP="00101458">
      <w:pPr>
        <w:pStyle w:val="Nadpis1"/>
        <w:rPr>
          <w:rFonts w:ascii="Times New Roman" w:hAnsi="Times New Roman" w:cs="Times New Roman"/>
          <w:sz w:val="24"/>
        </w:rPr>
      </w:pPr>
      <w:r w:rsidRPr="00D26DB2">
        <w:rPr>
          <w:rFonts w:ascii="Times New Roman" w:hAnsi="Times New Roman" w:cs="Times New Roman"/>
          <w:sz w:val="24"/>
        </w:rPr>
        <w:t>MINISTERSTVO PRÁCE, SOCIÁLNYCH VECÍ A</w:t>
      </w:r>
      <w:r w:rsidR="00F15F5D">
        <w:rPr>
          <w:rFonts w:ascii="Times New Roman" w:hAnsi="Times New Roman" w:cs="Times New Roman"/>
          <w:sz w:val="24"/>
        </w:rPr>
        <w:t> </w:t>
      </w:r>
      <w:r w:rsidRPr="00D26DB2">
        <w:rPr>
          <w:rFonts w:ascii="Times New Roman" w:hAnsi="Times New Roman" w:cs="Times New Roman"/>
          <w:sz w:val="24"/>
        </w:rPr>
        <w:t>RODINY</w:t>
      </w:r>
    </w:p>
    <w:p w:rsidR="00B6389E" w:rsidRPr="0023778E" w:rsidRDefault="00B6389E" w:rsidP="00101458">
      <w:pPr>
        <w:pStyle w:val="Nadpis2"/>
        <w:rPr>
          <w:rFonts w:ascii="Times New Roman" w:hAnsi="Times New Roman" w:cs="Times New Roman"/>
          <w:sz w:val="24"/>
          <w:u w:val="none"/>
        </w:rPr>
      </w:pPr>
      <w:r w:rsidRPr="0023778E">
        <w:rPr>
          <w:rFonts w:ascii="Times New Roman" w:hAnsi="Times New Roman" w:cs="Times New Roman"/>
          <w:sz w:val="24"/>
          <w:u w:val="none"/>
        </w:rPr>
        <w:t>SLOVENSKEJ REPUBLIKY</w:t>
      </w:r>
    </w:p>
    <w:p w:rsidR="00B6389E" w:rsidRPr="00D26DB2" w:rsidRDefault="00B6389E" w:rsidP="00101458"/>
    <w:p w:rsidR="00B6389E" w:rsidRDefault="00B6389E" w:rsidP="00101458">
      <w:r w:rsidRPr="00593237">
        <w:t xml:space="preserve">Číslo: </w:t>
      </w:r>
      <w:r w:rsidR="00863DBF" w:rsidRPr="00863DBF">
        <w:t>24242/202</w:t>
      </w:r>
      <w:r w:rsidR="001055DB">
        <w:t>1</w:t>
      </w:r>
      <w:r w:rsidR="00863DBF" w:rsidRPr="00863DBF">
        <w:t>-M_OPVA</w:t>
      </w:r>
    </w:p>
    <w:p w:rsidR="00B6389E" w:rsidRDefault="00B6389E" w:rsidP="00101458"/>
    <w:p w:rsidR="00996044" w:rsidRPr="00996044" w:rsidRDefault="00996044" w:rsidP="00996044">
      <w:r w:rsidRPr="00996044">
        <w:t>Materiál na rokovanie</w:t>
      </w:r>
    </w:p>
    <w:p w:rsidR="00996044" w:rsidRPr="00996044" w:rsidRDefault="00996044" w:rsidP="00996044">
      <w:r w:rsidRPr="00996044">
        <w:t>Legislatívnej rady vlády</w:t>
      </w:r>
    </w:p>
    <w:p w:rsidR="00A660DF" w:rsidRDefault="00996044" w:rsidP="00996044">
      <w:r w:rsidRPr="00996044">
        <w:t>Slovenskej republiky</w:t>
      </w:r>
    </w:p>
    <w:p w:rsidR="0023778E" w:rsidRPr="00894E67" w:rsidRDefault="0023778E" w:rsidP="00101458">
      <w:pPr>
        <w:rPr>
          <w:sz w:val="20"/>
          <w:szCs w:val="20"/>
        </w:rPr>
      </w:pPr>
    </w:p>
    <w:p w:rsidR="002E0605" w:rsidRDefault="002E0605" w:rsidP="009B2145">
      <w:pPr>
        <w:spacing w:line="360" w:lineRule="auto"/>
        <w:jc w:val="center"/>
        <w:rPr>
          <w:b/>
        </w:rPr>
      </w:pPr>
    </w:p>
    <w:p w:rsidR="00B6389E" w:rsidRDefault="00B6389E" w:rsidP="00DD5152">
      <w:pPr>
        <w:jc w:val="center"/>
        <w:rPr>
          <w:b/>
        </w:rPr>
      </w:pPr>
      <w:r w:rsidRPr="00101458">
        <w:rPr>
          <w:b/>
        </w:rPr>
        <w:t>Návrh</w:t>
      </w:r>
    </w:p>
    <w:p w:rsidR="00DD5152" w:rsidRPr="009B2145" w:rsidRDefault="00DD5152" w:rsidP="00DD5152">
      <w:pPr>
        <w:jc w:val="center"/>
        <w:rPr>
          <w:b/>
        </w:rPr>
      </w:pPr>
    </w:p>
    <w:p w:rsidR="00DD5152" w:rsidRDefault="00DD5152" w:rsidP="00F8385D">
      <w:pPr>
        <w:spacing w:after="120"/>
        <w:jc w:val="center"/>
        <w:rPr>
          <w:b/>
        </w:rPr>
      </w:pPr>
      <w:r>
        <w:rPr>
          <w:b/>
        </w:rPr>
        <w:t>Z</w:t>
      </w:r>
      <w:r w:rsidR="00D26DB2" w:rsidRPr="00DD5152">
        <w:rPr>
          <w:b/>
        </w:rPr>
        <w:t>ákon</w:t>
      </w:r>
      <w:r w:rsidR="002926A6" w:rsidRPr="00DD5152">
        <w:rPr>
          <w:b/>
        </w:rPr>
        <w:t>,</w:t>
      </w:r>
    </w:p>
    <w:p w:rsidR="002926A6" w:rsidRPr="00DD5152" w:rsidRDefault="00F8385D" w:rsidP="002926A6">
      <w:pPr>
        <w:jc w:val="center"/>
        <w:rPr>
          <w:b/>
        </w:rPr>
      </w:pPr>
      <w:r w:rsidRPr="00F8385D">
        <w:rPr>
          <w:b/>
        </w:rPr>
        <w:t>ktorým sa mení a dopĺňa zákon č. 311/2001 Z. z. Zákonník práce v znení neskorších predpisov a ktorým sa menia a dopĺňajú niektoré zákony</w:t>
      </w:r>
    </w:p>
    <w:p w:rsidR="00B6389E" w:rsidRDefault="00B6389E" w:rsidP="002F59D7">
      <w:pPr>
        <w:pBdr>
          <w:bottom w:val="single" w:sz="12" w:space="1" w:color="auto"/>
        </w:pBdr>
        <w:jc w:val="center"/>
        <w:rPr>
          <w:b/>
          <w:bCs/>
        </w:rPr>
      </w:pPr>
    </w:p>
    <w:p w:rsidR="000F2877" w:rsidRDefault="000F2877" w:rsidP="009B0E9F">
      <w:pPr>
        <w:rPr>
          <w:b/>
          <w:bCs/>
        </w:rPr>
      </w:pPr>
    </w:p>
    <w:p w:rsidR="000F2877" w:rsidRPr="00101458" w:rsidRDefault="000F2877" w:rsidP="009B0E9F">
      <w:pPr>
        <w:rPr>
          <w:b/>
          <w:bCs/>
        </w:rPr>
      </w:pPr>
    </w:p>
    <w:tbl>
      <w:tblPr>
        <w:tblW w:w="9737" w:type="dxa"/>
        <w:tblLook w:val="01E0" w:firstRow="1" w:lastRow="1" w:firstColumn="1" w:lastColumn="1" w:noHBand="0" w:noVBand="0"/>
      </w:tblPr>
      <w:tblGrid>
        <w:gridCol w:w="4509"/>
        <w:gridCol w:w="5228"/>
      </w:tblGrid>
      <w:tr w:rsidR="00B6389E" w:rsidRPr="00101458" w:rsidTr="00437070">
        <w:trPr>
          <w:trHeight w:val="205"/>
        </w:trPr>
        <w:tc>
          <w:tcPr>
            <w:tcW w:w="4509" w:type="dxa"/>
          </w:tcPr>
          <w:p w:rsidR="00B6389E" w:rsidRPr="000B6610" w:rsidRDefault="00B6389E" w:rsidP="000B6610">
            <w:pPr>
              <w:tabs>
                <w:tab w:val="left" w:pos="4820"/>
                <w:tab w:val="left" w:pos="5103"/>
              </w:tabs>
              <w:jc w:val="both"/>
              <w:rPr>
                <w:b/>
                <w:u w:val="single"/>
              </w:rPr>
            </w:pPr>
            <w:r w:rsidRPr="000B6610">
              <w:rPr>
                <w:b/>
                <w:u w:val="single"/>
              </w:rPr>
              <w:t>Podnet:</w:t>
            </w:r>
          </w:p>
        </w:tc>
        <w:tc>
          <w:tcPr>
            <w:tcW w:w="5228" w:type="dxa"/>
          </w:tcPr>
          <w:p w:rsidR="00B6389E" w:rsidRPr="000B6610" w:rsidRDefault="00B6389E" w:rsidP="000B6610">
            <w:pPr>
              <w:tabs>
                <w:tab w:val="left" w:pos="4820"/>
                <w:tab w:val="left" w:pos="5103"/>
              </w:tabs>
              <w:jc w:val="both"/>
              <w:rPr>
                <w:b/>
                <w:u w:val="single"/>
              </w:rPr>
            </w:pPr>
            <w:r w:rsidRPr="000B6610">
              <w:rPr>
                <w:b/>
                <w:u w:val="single"/>
              </w:rPr>
              <w:t>Obsah materiálu:</w:t>
            </w:r>
          </w:p>
        </w:tc>
      </w:tr>
      <w:tr w:rsidR="00B6389E" w:rsidRPr="00101458" w:rsidTr="00437070">
        <w:trPr>
          <w:trHeight w:val="217"/>
        </w:trPr>
        <w:tc>
          <w:tcPr>
            <w:tcW w:w="4509" w:type="dxa"/>
            <w:vMerge w:val="restart"/>
          </w:tcPr>
          <w:p w:rsidR="00B6389E" w:rsidRDefault="00B6389E" w:rsidP="000B6610">
            <w:pPr>
              <w:tabs>
                <w:tab w:val="left" w:pos="4820"/>
                <w:tab w:val="left" w:pos="5103"/>
              </w:tabs>
              <w:jc w:val="both"/>
            </w:pPr>
          </w:p>
          <w:p w:rsidR="00974589" w:rsidRPr="001D391A" w:rsidRDefault="00DD5152" w:rsidP="0023778E">
            <w:pPr>
              <w:tabs>
                <w:tab w:val="left" w:pos="4820"/>
                <w:tab w:val="left" w:pos="5103"/>
              </w:tabs>
              <w:ind w:right="270"/>
              <w:jc w:val="both"/>
            </w:pPr>
            <w:r w:rsidRPr="00DD5152">
              <w:t>Plán legislatívnych úloh vlády Slovenskej republiky na mesiace jún až</w:t>
            </w:r>
            <w:r>
              <w:t xml:space="preserve"> </w:t>
            </w:r>
            <w:r w:rsidRPr="00DD5152">
              <w:t>december 2021</w:t>
            </w:r>
          </w:p>
        </w:tc>
        <w:tc>
          <w:tcPr>
            <w:tcW w:w="5228" w:type="dxa"/>
          </w:tcPr>
          <w:p w:rsidR="00B6389E" w:rsidRPr="00101458" w:rsidRDefault="00B6389E" w:rsidP="000B6610">
            <w:pPr>
              <w:tabs>
                <w:tab w:val="num" w:pos="434"/>
                <w:tab w:val="left" w:pos="4820"/>
                <w:tab w:val="left" w:pos="5103"/>
              </w:tabs>
              <w:ind w:left="360" w:hanging="720"/>
              <w:jc w:val="both"/>
            </w:pPr>
          </w:p>
        </w:tc>
      </w:tr>
      <w:tr w:rsidR="00C10214" w:rsidRPr="00101458" w:rsidTr="00437070">
        <w:trPr>
          <w:trHeight w:val="629"/>
        </w:trPr>
        <w:tc>
          <w:tcPr>
            <w:tcW w:w="4509" w:type="dxa"/>
            <w:vMerge/>
          </w:tcPr>
          <w:p w:rsidR="00C10214" w:rsidRPr="00101458" w:rsidRDefault="00C10214" w:rsidP="000B6610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228" w:type="dxa"/>
          </w:tcPr>
          <w:p w:rsidR="00DD5152" w:rsidRDefault="00DD5152" w:rsidP="00DD5152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hanging="720"/>
              <w:jc w:val="both"/>
              <w:rPr>
                <w:bCs/>
              </w:rPr>
            </w:pPr>
            <w:r>
              <w:rPr>
                <w:bCs/>
              </w:rPr>
              <w:t>Návrh uznesenia vlády Slovenskej republiky</w:t>
            </w:r>
          </w:p>
          <w:p w:rsidR="00437070" w:rsidRDefault="00437070" w:rsidP="00DD5152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hanging="720"/>
              <w:jc w:val="both"/>
              <w:rPr>
                <w:bCs/>
              </w:rPr>
            </w:pPr>
            <w:r>
              <w:rPr>
                <w:bCs/>
              </w:rPr>
              <w:t>Vyhlásenie MPSVR SR</w:t>
            </w:r>
          </w:p>
          <w:p w:rsidR="00C10214" w:rsidRPr="00242644" w:rsidRDefault="00C10214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hanging="720"/>
              <w:jc w:val="both"/>
            </w:pPr>
            <w:r w:rsidRPr="00242644">
              <w:t>Predkladacia správa</w:t>
            </w:r>
          </w:p>
        </w:tc>
      </w:tr>
      <w:tr w:rsidR="00C10214" w:rsidRPr="00101458" w:rsidTr="00437070">
        <w:trPr>
          <w:trHeight w:val="846"/>
        </w:trPr>
        <w:tc>
          <w:tcPr>
            <w:tcW w:w="4509" w:type="dxa"/>
            <w:vMerge/>
          </w:tcPr>
          <w:p w:rsidR="00C10214" w:rsidRPr="00101458" w:rsidRDefault="00C10214" w:rsidP="000B6610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228" w:type="dxa"/>
          </w:tcPr>
          <w:p w:rsidR="00C10214" w:rsidRPr="000F2877" w:rsidRDefault="00C10214" w:rsidP="00A57E3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 w:rsidRPr="000F2877">
              <w:t xml:space="preserve">Návrh </w:t>
            </w:r>
            <w:r w:rsidR="0023778E" w:rsidRPr="00DD5152">
              <w:t>zákona</w:t>
            </w:r>
            <w:r w:rsidR="00DD5152" w:rsidRPr="00DD5152">
              <w:t xml:space="preserve">, </w:t>
            </w:r>
            <w:r w:rsidR="00F8385D" w:rsidRPr="00A357AB">
              <w:rPr>
                <w:rFonts w:ascii="Times" w:hAnsi="Times"/>
              </w:rPr>
              <w:t>ktorým sa mení a dopĺňa zákon č. 311/2001 Z. z. Zákonník práce v znení neskorších predpisov a ktorým sa menia a dopĺňajú niektoré zákony</w:t>
            </w:r>
          </w:p>
        </w:tc>
      </w:tr>
      <w:tr w:rsidR="00C10214" w:rsidRPr="00101458" w:rsidTr="00437070">
        <w:trPr>
          <w:trHeight w:val="1464"/>
        </w:trPr>
        <w:tc>
          <w:tcPr>
            <w:tcW w:w="4509" w:type="dxa"/>
            <w:vMerge/>
          </w:tcPr>
          <w:p w:rsidR="00C10214" w:rsidRPr="00101458" w:rsidRDefault="00C10214" w:rsidP="000B6610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228" w:type="dxa"/>
          </w:tcPr>
          <w:p w:rsidR="00C10214" w:rsidRDefault="00C10214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 w:rsidRPr="00242644">
              <w:t>Dôvodová správa</w:t>
            </w:r>
          </w:p>
          <w:p w:rsidR="00C10214" w:rsidRDefault="00C10214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>
              <w:t>Doložka vybraných vplyvov</w:t>
            </w:r>
          </w:p>
          <w:p w:rsidR="00231CE5" w:rsidRDefault="00231CE5" w:rsidP="00231CE5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>
              <w:t>Správa o účasti verejnosti</w:t>
            </w:r>
          </w:p>
          <w:p w:rsidR="00DD5152" w:rsidRDefault="00DD5152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>
              <w:t>Doložka zlučiteľnosti</w:t>
            </w:r>
          </w:p>
          <w:p w:rsidR="00A27080" w:rsidRDefault="00A27080" w:rsidP="00050BD0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  <w:tab w:val="left" w:pos="4820"/>
                <w:tab w:val="left" w:pos="5103"/>
              </w:tabs>
              <w:ind w:left="254" w:hanging="254"/>
              <w:jc w:val="both"/>
            </w:pPr>
            <w:r>
              <w:t>Tabuľky zhody</w:t>
            </w:r>
          </w:p>
          <w:p w:rsidR="00996044" w:rsidRDefault="00AA7F9F" w:rsidP="00AA7F9F">
            <w:pPr>
              <w:pStyle w:val="Odsekzoznamu"/>
              <w:numPr>
                <w:ilvl w:val="0"/>
                <w:numId w:val="1"/>
              </w:numPr>
              <w:tabs>
                <w:tab w:val="clear" w:pos="720"/>
                <w:tab w:val="num" w:pos="342"/>
                <w:tab w:val="left" w:pos="4820"/>
                <w:tab w:val="left" w:pos="5103"/>
              </w:tabs>
              <w:ind w:hanging="720"/>
              <w:jc w:val="both"/>
            </w:pPr>
            <w:r>
              <w:t xml:space="preserve">     </w:t>
            </w:r>
            <w:bookmarkStart w:id="0" w:name="_GoBack"/>
            <w:bookmarkEnd w:id="0"/>
            <w:r w:rsidR="00996044" w:rsidRPr="00BE69E2">
              <w:t>Vyhodnotenie pripomienkového konania</w:t>
            </w:r>
          </w:p>
          <w:p w:rsidR="00C10214" w:rsidRPr="00242644" w:rsidRDefault="00C10214" w:rsidP="00231CE5">
            <w:pPr>
              <w:tabs>
                <w:tab w:val="left" w:pos="4820"/>
                <w:tab w:val="left" w:pos="5103"/>
              </w:tabs>
              <w:ind w:left="254"/>
              <w:jc w:val="both"/>
            </w:pPr>
          </w:p>
        </w:tc>
      </w:tr>
      <w:tr w:rsidR="00B6389E" w:rsidRPr="00101458" w:rsidTr="00437070">
        <w:trPr>
          <w:trHeight w:val="217"/>
        </w:trPr>
        <w:tc>
          <w:tcPr>
            <w:tcW w:w="4509" w:type="dxa"/>
            <w:vMerge/>
          </w:tcPr>
          <w:p w:rsidR="00B6389E" w:rsidRPr="00101458" w:rsidRDefault="00B6389E" w:rsidP="000B6610">
            <w:pPr>
              <w:tabs>
                <w:tab w:val="left" w:pos="4820"/>
                <w:tab w:val="left" w:pos="5103"/>
              </w:tabs>
              <w:jc w:val="both"/>
            </w:pPr>
          </w:p>
        </w:tc>
        <w:tc>
          <w:tcPr>
            <w:tcW w:w="5228" w:type="dxa"/>
          </w:tcPr>
          <w:p w:rsidR="00B6389E" w:rsidRPr="00242644" w:rsidRDefault="00B6389E" w:rsidP="002E0605">
            <w:pPr>
              <w:tabs>
                <w:tab w:val="left" w:pos="4820"/>
                <w:tab w:val="left" w:pos="5103"/>
              </w:tabs>
              <w:ind w:left="254"/>
              <w:jc w:val="both"/>
            </w:pPr>
          </w:p>
        </w:tc>
      </w:tr>
    </w:tbl>
    <w:p w:rsidR="00B6389E" w:rsidRPr="00101458" w:rsidRDefault="00B6389E" w:rsidP="00101458">
      <w:pPr>
        <w:tabs>
          <w:tab w:val="left" w:pos="4820"/>
          <w:tab w:val="left" w:pos="5103"/>
        </w:tabs>
        <w:jc w:val="both"/>
      </w:pPr>
      <w:r w:rsidRPr="00101458">
        <w:t xml:space="preserve">  </w:t>
      </w:r>
      <w:r w:rsidRPr="00101458">
        <w:tab/>
      </w:r>
    </w:p>
    <w:p w:rsidR="00B6389E" w:rsidRDefault="00B6389E" w:rsidP="008516BF">
      <w:pPr>
        <w:tabs>
          <w:tab w:val="left" w:pos="4680"/>
        </w:tabs>
        <w:jc w:val="both"/>
      </w:pPr>
    </w:p>
    <w:p w:rsidR="00C86293" w:rsidRDefault="00C86293" w:rsidP="00101458">
      <w:pPr>
        <w:rPr>
          <w:b/>
          <w:iCs/>
          <w:u w:val="single"/>
        </w:rPr>
      </w:pPr>
    </w:p>
    <w:p w:rsidR="0023778E" w:rsidRDefault="0023778E" w:rsidP="00101458">
      <w:pPr>
        <w:rPr>
          <w:b/>
          <w:iCs/>
          <w:u w:val="single"/>
        </w:rPr>
      </w:pPr>
    </w:p>
    <w:p w:rsidR="00B6389E" w:rsidRPr="00EF69F1" w:rsidRDefault="00B6389E" w:rsidP="00101458">
      <w:pPr>
        <w:rPr>
          <w:b/>
          <w:iCs/>
        </w:rPr>
      </w:pPr>
      <w:r>
        <w:rPr>
          <w:b/>
          <w:iCs/>
          <w:u w:val="single"/>
        </w:rPr>
        <w:t>P</w:t>
      </w:r>
      <w:r w:rsidRPr="00EF69F1">
        <w:rPr>
          <w:b/>
          <w:iCs/>
          <w:u w:val="single"/>
        </w:rPr>
        <w:t>redkladá</w:t>
      </w:r>
      <w:r w:rsidRPr="00EF69F1">
        <w:rPr>
          <w:b/>
          <w:iCs/>
        </w:rPr>
        <w:t>:</w:t>
      </w:r>
    </w:p>
    <w:p w:rsidR="00050BD0" w:rsidRDefault="00050BD0" w:rsidP="00050BD0">
      <w:pPr>
        <w:rPr>
          <w:b/>
          <w:iCs/>
        </w:rPr>
      </w:pPr>
    </w:p>
    <w:p w:rsidR="00050BD0" w:rsidRPr="0023778E" w:rsidRDefault="0023778E" w:rsidP="00050BD0">
      <w:pPr>
        <w:rPr>
          <w:iCs/>
        </w:rPr>
      </w:pPr>
      <w:r w:rsidRPr="0023778E">
        <w:rPr>
          <w:iCs/>
        </w:rPr>
        <w:t xml:space="preserve">Milan </w:t>
      </w:r>
      <w:proofErr w:type="spellStart"/>
      <w:r w:rsidRPr="0023778E">
        <w:rPr>
          <w:iCs/>
        </w:rPr>
        <w:t>Krajniak</w:t>
      </w:r>
      <w:proofErr w:type="spellEnd"/>
    </w:p>
    <w:p w:rsidR="003B0222" w:rsidRDefault="00050BD0" w:rsidP="00050BD0">
      <w:pPr>
        <w:rPr>
          <w:b/>
          <w:iCs/>
        </w:rPr>
      </w:pPr>
      <w:r>
        <w:rPr>
          <w:iCs/>
        </w:rPr>
        <w:t>minister práce, sociálnych vecí a rodiny</w:t>
      </w:r>
    </w:p>
    <w:p w:rsidR="00F7502F" w:rsidRDefault="00F7502F" w:rsidP="00101458">
      <w:pPr>
        <w:rPr>
          <w:iCs/>
        </w:rPr>
      </w:pPr>
    </w:p>
    <w:p w:rsidR="00F7502F" w:rsidRDefault="00F7502F" w:rsidP="00101458">
      <w:pPr>
        <w:rPr>
          <w:b/>
          <w:iCs/>
          <w:u w:val="single"/>
        </w:rPr>
      </w:pPr>
    </w:p>
    <w:p w:rsidR="002E0605" w:rsidRDefault="002E0605" w:rsidP="00101458">
      <w:pPr>
        <w:rPr>
          <w:b/>
          <w:iCs/>
          <w:u w:val="single"/>
        </w:rPr>
      </w:pPr>
    </w:p>
    <w:p w:rsidR="00F8385D" w:rsidRDefault="00F8385D" w:rsidP="00101458">
      <w:pPr>
        <w:rPr>
          <w:b/>
          <w:iCs/>
          <w:u w:val="single"/>
        </w:rPr>
      </w:pPr>
    </w:p>
    <w:p w:rsidR="00B6389E" w:rsidRDefault="00B6389E" w:rsidP="00101458"/>
    <w:p w:rsidR="00B6389E" w:rsidRDefault="00B6389E" w:rsidP="00350478">
      <w:pPr>
        <w:jc w:val="center"/>
      </w:pPr>
      <w:r w:rsidRPr="00347C71">
        <w:t xml:space="preserve">Bratislava </w:t>
      </w:r>
      <w:r w:rsidR="00996044">
        <w:t>16</w:t>
      </w:r>
      <w:r w:rsidR="002926A6">
        <w:t xml:space="preserve">. </w:t>
      </w:r>
      <w:r w:rsidR="00996044">
        <w:t xml:space="preserve">septembra </w:t>
      </w:r>
      <w:r w:rsidR="002926A6">
        <w:t>2021</w:t>
      </w:r>
    </w:p>
    <w:sectPr w:rsidR="00B6389E" w:rsidSect="007A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꺀s怀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673"/>
    <w:multiLevelType w:val="hybridMultilevel"/>
    <w:tmpl w:val="EC144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F4C6B4B"/>
    <w:multiLevelType w:val="hybridMultilevel"/>
    <w:tmpl w:val="E59649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E93DFF"/>
    <w:multiLevelType w:val="multilevel"/>
    <w:tmpl w:val="4B3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B754912"/>
    <w:multiLevelType w:val="hybridMultilevel"/>
    <w:tmpl w:val="B22AA7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397CE2"/>
    <w:multiLevelType w:val="hybridMultilevel"/>
    <w:tmpl w:val="65CA6D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78"/>
    <w:rsid w:val="00046389"/>
    <w:rsid w:val="00050BD0"/>
    <w:rsid w:val="00056ED2"/>
    <w:rsid w:val="00065195"/>
    <w:rsid w:val="00067D1D"/>
    <w:rsid w:val="000B0246"/>
    <w:rsid w:val="000B6610"/>
    <w:rsid w:val="000C04EC"/>
    <w:rsid w:val="000C3E14"/>
    <w:rsid w:val="000D0516"/>
    <w:rsid w:val="000F0189"/>
    <w:rsid w:val="000F2877"/>
    <w:rsid w:val="0010128B"/>
    <w:rsid w:val="00101458"/>
    <w:rsid w:val="001055DB"/>
    <w:rsid w:val="00115DE7"/>
    <w:rsid w:val="00142B77"/>
    <w:rsid w:val="001810B6"/>
    <w:rsid w:val="001C253F"/>
    <w:rsid w:val="001D391A"/>
    <w:rsid w:val="001F04E4"/>
    <w:rsid w:val="002239A1"/>
    <w:rsid w:val="00231CE5"/>
    <w:rsid w:val="0023778E"/>
    <w:rsid w:val="00242644"/>
    <w:rsid w:val="00245B81"/>
    <w:rsid w:val="00275C33"/>
    <w:rsid w:val="00281681"/>
    <w:rsid w:val="00284CA1"/>
    <w:rsid w:val="002926A6"/>
    <w:rsid w:val="002C7A2B"/>
    <w:rsid w:val="002E0605"/>
    <w:rsid w:val="002F59D7"/>
    <w:rsid w:val="00301B71"/>
    <w:rsid w:val="00316591"/>
    <w:rsid w:val="00327D83"/>
    <w:rsid w:val="00347C71"/>
    <w:rsid w:val="00350478"/>
    <w:rsid w:val="00353FAB"/>
    <w:rsid w:val="00360F97"/>
    <w:rsid w:val="00361CDE"/>
    <w:rsid w:val="0037213A"/>
    <w:rsid w:val="003A66A0"/>
    <w:rsid w:val="003B0222"/>
    <w:rsid w:val="003E5754"/>
    <w:rsid w:val="003E787E"/>
    <w:rsid w:val="00437070"/>
    <w:rsid w:val="00456ABB"/>
    <w:rsid w:val="004623ED"/>
    <w:rsid w:val="004B5B3C"/>
    <w:rsid w:val="004E2284"/>
    <w:rsid w:val="004E31E4"/>
    <w:rsid w:val="004E66C6"/>
    <w:rsid w:val="004E684A"/>
    <w:rsid w:val="0050687F"/>
    <w:rsid w:val="00512A67"/>
    <w:rsid w:val="00533321"/>
    <w:rsid w:val="00537C8A"/>
    <w:rsid w:val="0054291C"/>
    <w:rsid w:val="005656D0"/>
    <w:rsid w:val="00571B1A"/>
    <w:rsid w:val="005869BF"/>
    <w:rsid w:val="00593237"/>
    <w:rsid w:val="005935D4"/>
    <w:rsid w:val="00593F09"/>
    <w:rsid w:val="00595B6E"/>
    <w:rsid w:val="00597DC5"/>
    <w:rsid w:val="005E198E"/>
    <w:rsid w:val="005E3027"/>
    <w:rsid w:val="005F4D46"/>
    <w:rsid w:val="005F510E"/>
    <w:rsid w:val="00607156"/>
    <w:rsid w:val="00607D05"/>
    <w:rsid w:val="0063079C"/>
    <w:rsid w:val="00652F51"/>
    <w:rsid w:val="006628E4"/>
    <w:rsid w:val="00666239"/>
    <w:rsid w:val="00677E8F"/>
    <w:rsid w:val="006874FA"/>
    <w:rsid w:val="006911EF"/>
    <w:rsid w:val="006A12EF"/>
    <w:rsid w:val="006A2CBC"/>
    <w:rsid w:val="006D2959"/>
    <w:rsid w:val="007068CA"/>
    <w:rsid w:val="00714B60"/>
    <w:rsid w:val="0077033C"/>
    <w:rsid w:val="0077559E"/>
    <w:rsid w:val="007941FF"/>
    <w:rsid w:val="007A59C6"/>
    <w:rsid w:val="007C1D03"/>
    <w:rsid w:val="007D2C9C"/>
    <w:rsid w:val="007F131D"/>
    <w:rsid w:val="0080396C"/>
    <w:rsid w:val="008516BF"/>
    <w:rsid w:val="008555F1"/>
    <w:rsid w:val="00863352"/>
    <w:rsid w:val="00863DBF"/>
    <w:rsid w:val="00873A82"/>
    <w:rsid w:val="00894271"/>
    <w:rsid w:val="00894E67"/>
    <w:rsid w:val="008B0AA5"/>
    <w:rsid w:val="008B5CB4"/>
    <w:rsid w:val="008C3986"/>
    <w:rsid w:val="008D186B"/>
    <w:rsid w:val="009010AA"/>
    <w:rsid w:val="00906D98"/>
    <w:rsid w:val="00916050"/>
    <w:rsid w:val="009347EC"/>
    <w:rsid w:val="00934A3B"/>
    <w:rsid w:val="0093638F"/>
    <w:rsid w:val="00963660"/>
    <w:rsid w:val="00974589"/>
    <w:rsid w:val="00994B08"/>
    <w:rsid w:val="00996044"/>
    <w:rsid w:val="009B0E9F"/>
    <w:rsid w:val="009B2145"/>
    <w:rsid w:val="009D0E2F"/>
    <w:rsid w:val="009E060C"/>
    <w:rsid w:val="009F0CB6"/>
    <w:rsid w:val="009F7233"/>
    <w:rsid w:val="00A10F1B"/>
    <w:rsid w:val="00A27080"/>
    <w:rsid w:val="00A55EA6"/>
    <w:rsid w:val="00A57E30"/>
    <w:rsid w:val="00A660DF"/>
    <w:rsid w:val="00A70A5B"/>
    <w:rsid w:val="00A76ABB"/>
    <w:rsid w:val="00A83FBD"/>
    <w:rsid w:val="00A901C2"/>
    <w:rsid w:val="00AA7F9F"/>
    <w:rsid w:val="00AD7DF5"/>
    <w:rsid w:val="00AE0C45"/>
    <w:rsid w:val="00B0219A"/>
    <w:rsid w:val="00B16CD0"/>
    <w:rsid w:val="00B22B9E"/>
    <w:rsid w:val="00B6389E"/>
    <w:rsid w:val="00B63DF9"/>
    <w:rsid w:val="00B90A3E"/>
    <w:rsid w:val="00BC00D8"/>
    <w:rsid w:val="00BD231D"/>
    <w:rsid w:val="00BF79E4"/>
    <w:rsid w:val="00C06B80"/>
    <w:rsid w:val="00C10214"/>
    <w:rsid w:val="00C152DC"/>
    <w:rsid w:val="00C22AED"/>
    <w:rsid w:val="00C255D5"/>
    <w:rsid w:val="00C307C4"/>
    <w:rsid w:val="00C367D5"/>
    <w:rsid w:val="00C55393"/>
    <w:rsid w:val="00C6133D"/>
    <w:rsid w:val="00C83CD8"/>
    <w:rsid w:val="00C86293"/>
    <w:rsid w:val="00CE7577"/>
    <w:rsid w:val="00D01F1C"/>
    <w:rsid w:val="00D20C73"/>
    <w:rsid w:val="00D252CC"/>
    <w:rsid w:val="00D26DB2"/>
    <w:rsid w:val="00D4298B"/>
    <w:rsid w:val="00D47463"/>
    <w:rsid w:val="00D47A5D"/>
    <w:rsid w:val="00D50DEE"/>
    <w:rsid w:val="00D51F14"/>
    <w:rsid w:val="00D570A2"/>
    <w:rsid w:val="00D65FF8"/>
    <w:rsid w:val="00D712EF"/>
    <w:rsid w:val="00DB2E96"/>
    <w:rsid w:val="00DC1B40"/>
    <w:rsid w:val="00DD5152"/>
    <w:rsid w:val="00DE020B"/>
    <w:rsid w:val="00DF0F78"/>
    <w:rsid w:val="00DF68F1"/>
    <w:rsid w:val="00DF6952"/>
    <w:rsid w:val="00DF7528"/>
    <w:rsid w:val="00E111C7"/>
    <w:rsid w:val="00E1487D"/>
    <w:rsid w:val="00E424EF"/>
    <w:rsid w:val="00E46AE4"/>
    <w:rsid w:val="00E54BF7"/>
    <w:rsid w:val="00E6717B"/>
    <w:rsid w:val="00EA0F0C"/>
    <w:rsid w:val="00EA1F5E"/>
    <w:rsid w:val="00EA4873"/>
    <w:rsid w:val="00EA64CE"/>
    <w:rsid w:val="00EB5771"/>
    <w:rsid w:val="00EE1B55"/>
    <w:rsid w:val="00EE343D"/>
    <w:rsid w:val="00EF69F1"/>
    <w:rsid w:val="00F0128A"/>
    <w:rsid w:val="00F10992"/>
    <w:rsid w:val="00F15F5D"/>
    <w:rsid w:val="00F2639C"/>
    <w:rsid w:val="00F61AC8"/>
    <w:rsid w:val="00F64937"/>
    <w:rsid w:val="00F72AD5"/>
    <w:rsid w:val="00F7502F"/>
    <w:rsid w:val="00F8385D"/>
    <w:rsid w:val="00F93736"/>
    <w:rsid w:val="00FC35B6"/>
    <w:rsid w:val="00FE067C"/>
    <w:rsid w:val="00FF345F"/>
    <w:rsid w:val="00FF4C90"/>
    <w:rsid w:val="00FF60B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E61D6"/>
  <w15:docId w15:val="{B6218B0B-708C-436A-B69A-A7A9BD4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F78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F0F78"/>
    <w:pPr>
      <w:keepNext/>
      <w:outlineLvl w:val="0"/>
    </w:pPr>
    <w:rPr>
      <w:rFonts w:ascii="Arial" w:eastAsia="Times New Roman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DF0F78"/>
    <w:pPr>
      <w:keepNext/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Nadpis3">
    <w:name w:val="heading 3"/>
    <w:basedOn w:val="Normlny"/>
    <w:next w:val="Normlny"/>
    <w:link w:val="Nadpis3Char"/>
    <w:qFormat/>
    <w:rsid w:val="00DF0F78"/>
    <w:pPr>
      <w:keepNext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link w:val="Nadpis2"/>
    <w:semiHidden/>
    <w:locked/>
    <w:rsid w:val="00DF0F78"/>
    <w:rPr>
      <w:rFonts w:ascii="Arial" w:eastAsia="Times New Roman" w:hAnsi="Arial" w:cs="Arial"/>
      <w:b/>
      <w:bCs/>
      <w:sz w:val="24"/>
      <w:szCs w:val="24"/>
      <w:u w:val="single"/>
      <w:lang w:val="x-none" w:eastAsia="sk-SK"/>
    </w:rPr>
  </w:style>
  <w:style w:type="character" w:customStyle="1" w:styleId="Nadpis3Char">
    <w:name w:val="Nadpis 3 Char"/>
    <w:link w:val="Nadpis3"/>
    <w:semiHidden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semiHidden/>
    <w:rsid w:val="00DF0F7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link w:val="Zkladntext"/>
    <w:semiHidden/>
    <w:locked/>
    <w:rsid w:val="00DF0F78"/>
    <w:rPr>
      <w:rFonts w:ascii="Arial" w:hAnsi="Arial" w:cs="Arial"/>
      <w:b/>
      <w:bCs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semiHidden/>
    <w:rsid w:val="00F61A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7C8A"/>
    <w:rPr>
      <w:rFonts w:ascii="Times New Roman" w:hAnsi="Times New Roman" w:cs="Times New Roman"/>
      <w:sz w:val="2"/>
    </w:rPr>
  </w:style>
  <w:style w:type="table" w:styleId="Mriekatabuky">
    <w:name w:val="Table Grid"/>
    <w:basedOn w:val="Normlnatabuka"/>
    <w:locked/>
    <w:rsid w:val="00F61AC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3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PRÁCE, SOCIÁLNYCH VECÍ A RODINY</vt:lpstr>
      <vt:lpstr>MINISTERSTVO PRÁCE, SOCIÁLNYCH VECÍ A RODINY</vt:lpstr>
    </vt:vector>
  </TitlesOfParts>
  <Company>MPSVR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toman</dc:creator>
  <cp:lastModifiedBy>Vuckovska Katarina</cp:lastModifiedBy>
  <cp:revision>4</cp:revision>
  <cp:lastPrinted>2021-06-16T09:52:00Z</cp:lastPrinted>
  <dcterms:created xsi:type="dcterms:W3CDTF">2021-09-14T12:57:00Z</dcterms:created>
  <dcterms:modified xsi:type="dcterms:W3CDTF">2021-09-16T10:39:00Z</dcterms:modified>
</cp:coreProperties>
</file>