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447"/>
        <w:gridCol w:w="1418"/>
      </w:tblGrid>
      <w:tr w:rsidR="007D5748" w:rsidRPr="007D5748" w:rsidTr="00FF3EA8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399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FF3EA8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54620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D5748" w:rsidRDefault="0054620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</w:tcPr>
          <w:p w:rsidR="007D5748" w:rsidRPr="007D5748" w:rsidRDefault="0054620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D5748" w:rsidRPr="007D5748" w:rsidRDefault="0054620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294B74" w:rsidRPr="007D5748" w:rsidTr="00FC46B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94B74" w:rsidRPr="007D5748" w:rsidRDefault="00294B74" w:rsidP="0029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294B74" w:rsidRPr="007D5748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bottom"/>
          </w:tcPr>
          <w:p w:rsidR="00294B74" w:rsidRPr="007D5748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1 289 427</w:t>
            </w:r>
          </w:p>
        </w:tc>
        <w:tc>
          <w:tcPr>
            <w:tcW w:w="1447" w:type="dxa"/>
            <w:shd w:val="clear" w:color="auto" w:fill="C0C0C0"/>
            <w:vAlign w:val="bottom"/>
          </w:tcPr>
          <w:p w:rsidR="00294B74" w:rsidRPr="007D5748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4 081 678</w:t>
            </w:r>
          </w:p>
        </w:tc>
        <w:tc>
          <w:tcPr>
            <w:tcW w:w="1418" w:type="dxa"/>
            <w:shd w:val="clear" w:color="auto" w:fill="C0C0C0"/>
            <w:vAlign w:val="bottom"/>
          </w:tcPr>
          <w:p w:rsidR="00294B74" w:rsidRPr="007D5748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4 221 290</w:t>
            </w:r>
          </w:p>
        </w:tc>
      </w:tr>
      <w:tr w:rsidR="007D5748" w:rsidRPr="007D5748" w:rsidTr="00FF3EA8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94B74" w:rsidRPr="007D5748" w:rsidTr="00FC46B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4B74" w:rsidRPr="007D5748" w:rsidRDefault="00294B74" w:rsidP="00294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vplyv 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Sociálnu poisťovňu</w:t>
            </w:r>
            <w:r w:rsidR="00702B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294B74" w:rsidRPr="007D5748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bottom"/>
          </w:tcPr>
          <w:p w:rsidR="00294B74" w:rsidRPr="00294B74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B7719">
              <w:rPr>
                <w:rFonts w:ascii="Arial" w:hAnsi="Arial" w:cs="Arial"/>
                <w:b/>
                <w:sz w:val="20"/>
                <w:szCs w:val="20"/>
              </w:rPr>
              <w:t>1 289 427</w:t>
            </w:r>
          </w:p>
        </w:tc>
        <w:tc>
          <w:tcPr>
            <w:tcW w:w="1447" w:type="dxa"/>
            <w:noWrap/>
            <w:vAlign w:val="bottom"/>
          </w:tcPr>
          <w:p w:rsidR="00294B74" w:rsidRPr="00294B74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B7719">
              <w:rPr>
                <w:rFonts w:ascii="Arial" w:hAnsi="Arial" w:cs="Arial"/>
                <w:b/>
                <w:sz w:val="20"/>
                <w:szCs w:val="20"/>
              </w:rPr>
              <w:t>4 081 678</w:t>
            </w:r>
          </w:p>
        </w:tc>
        <w:tc>
          <w:tcPr>
            <w:tcW w:w="1418" w:type="dxa"/>
            <w:noWrap/>
            <w:vAlign w:val="bottom"/>
          </w:tcPr>
          <w:p w:rsidR="00294B74" w:rsidRPr="00294B74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B7719">
              <w:rPr>
                <w:rFonts w:ascii="Arial" w:hAnsi="Arial" w:cs="Arial"/>
                <w:b/>
                <w:sz w:val="20"/>
                <w:szCs w:val="20"/>
              </w:rPr>
              <w:t>4 221 290</w:t>
            </w:r>
          </w:p>
        </w:tc>
      </w:tr>
      <w:tr w:rsidR="007D5748" w:rsidRPr="007D5748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614AF" w:rsidRPr="007D5748" w:rsidTr="00B72D0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614AF" w:rsidRPr="007D5748" w:rsidRDefault="00A614AF" w:rsidP="00A6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614AF" w:rsidRPr="00BC3395" w:rsidRDefault="00A614AF" w:rsidP="00A6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bottom"/>
          </w:tcPr>
          <w:p w:rsidR="00A614AF" w:rsidRPr="00BC3395" w:rsidRDefault="00A614AF" w:rsidP="00A6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10 364 898</w:t>
            </w:r>
          </w:p>
        </w:tc>
        <w:tc>
          <w:tcPr>
            <w:tcW w:w="1447" w:type="dxa"/>
            <w:shd w:val="clear" w:color="auto" w:fill="C0C0C0"/>
            <w:noWrap/>
            <w:vAlign w:val="bottom"/>
          </w:tcPr>
          <w:p w:rsidR="00A614AF" w:rsidRPr="00BC3395" w:rsidRDefault="00A614AF" w:rsidP="00A6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31 167 068</w:t>
            </w:r>
          </w:p>
        </w:tc>
        <w:tc>
          <w:tcPr>
            <w:tcW w:w="1418" w:type="dxa"/>
            <w:shd w:val="clear" w:color="auto" w:fill="C0C0C0"/>
            <w:noWrap/>
            <w:vAlign w:val="bottom"/>
          </w:tcPr>
          <w:p w:rsidR="00A614AF" w:rsidRPr="00BC3395" w:rsidRDefault="00A614AF" w:rsidP="00A614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26 358 383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C3395" w:rsidRPr="007D5748" w:rsidTr="00BC339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C3395" w:rsidRPr="007D5748" w:rsidRDefault="00BC3395" w:rsidP="00BC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(kapitola MPSVR SR)</w:t>
            </w:r>
          </w:p>
        </w:tc>
        <w:tc>
          <w:tcPr>
            <w:tcW w:w="1267" w:type="dxa"/>
            <w:noWrap/>
            <w:vAlign w:val="center"/>
          </w:tcPr>
          <w:p w:rsidR="00BC3395" w:rsidRPr="007D5748" w:rsidRDefault="00BC3395" w:rsidP="00BC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bottom"/>
          </w:tcPr>
          <w:p w:rsidR="00BC3395" w:rsidRPr="00BC3395" w:rsidRDefault="00BC3395" w:rsidP="00BC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1 466 219</w:t>
            </w:r>
          </w:p>
        </w:tc>
        <w:tc>
          <w:tcPr>
            <w:tcW w:w="1447" w:type="dxa"/>
            <w:noWrap/>
            <w:vAlign w:val="bottom"/>
          </w:tcPr>
          <w:p w:rsidR="00BC3395" w:rsidRPr="00BC3395" w:rsidRDefault="00BC3395" w:rsidP="00BC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4 670 420</w:t>
            </w:r>
          </w:p>
        </w:tc>
        <w:tc>
          <w:tcPr>
            <w:tcW w:w="1418" w:type="dxa"/>
            <w:noWrap/>
            <w:vAlign w:val="bottom"/>
          </w:tcPr>
          <w:p w:rsidR="00BC3395" w:rsidRPr="00BC3395" w:rsidRDefault="00BC3395" w:rsidP="00BC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4 860 653</w:t>
            </w:r>
          </w:p>
        </w:tc>
      </w:tr>
      <w:tr w:rsidR="00C51FD4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7D5748" w:rsidRDefault="009875A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C51FD4" w:rsidRPr="007D5748" w:rsidRDefault="009875A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C51FD4" w:rsidRPr="007D5748" w:rsidRDefault="009875A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C3395" w:rsidRPr="007D5748" w:rsidTr="009875A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C3395" w:rsidRPr="009875A0" w:rsidRDefault="00BC3395" w:rsidP="00BC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Sociálnu poisťovňu</w:t>
            </w:r>
          </w:p>
        </w:tc>
        <w:tc>
          <w:tcPr>
            <w:tcW w:w="1267" w:type="dxa"/>
            <w:noWrap/>
            <w:vAlign w:val="center"/>
          </w:tcPr>
          <w:p w:rsidR="00BC3395" w:rsidRPr="007D5748" w:rsidRDefault="00BC3395" w:rsidP="00BC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bottom"/>
          </w:tcPr>
          <w:p w:rsidR="00BC3395" w:rsidRPr="00BC3395" w:rsidRDefault="00BC3395" w:rsidP="00BC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8 898 679</w:t>
            </w:r>
          </w:p>
        </w:tc>
        <w:tc>
          <w:tcPr>
            <w:tcW w:w="1447" w:type="dxa"/>
            <w:noWrap/>
            <w:vAlign w:val="bottom"/>
          </w:tcPr>
          <w:p w:rsidR="00BC3395" w:rsidRPr="00BC3395" w:rsidRDefault="00BC3395" w:rsidP="00BC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26 496 648</w:t>
            </w:r>
          </w:p>
        </w:tc>
        <w:tc>
          <w:tcPr>
            <w:tcW w:w="1418" w:type="dxa"/>
            <w:noWrap/>
            <w:vAlign w:val="bottom"/>
          </w:tcPr>
          <w:p w:rsidR="00BC3395" w:rsidRPr="00BC3395" w:rsidRDefault="00BC3395" w:rsidP="00BC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21 497 729</w:t>
            </w:r>
          </w:p>
        </w:tc>
      </w:tr>
      <w:tr w:rsidR="007D5748" w:rsidRPr="007D5748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7D5748" w:rsidRDefault="009875A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shd w:val="clear" w:color="auto" w:fill="C0C0C0"/>
            <w:noWrap/>
            <w:vAlign w:val="center"/>
          </w:tcPr>
          <w:p w:rsidR="007D5748" w:rsidRPr="007D5748" w:rsidRDefault="009875A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7D5748" w:rsidRPr="007D5748" w:rsidRDefault="009875A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FF3EA8">
        <w:trPr>
          <w:trHeight w:val="552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47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94B74" w:rsidRPr="007D5748" w:rsidTr="004B7719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294B74" w:rsidRPr="007D5748" w:rsidRDefault="00294B74" w:rsidP="00294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94B74" w:rsidRPr="00BC3395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94B74" w:rsidRPr="00BC3395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9 075 471</w:t>
            </w:r>
          </w:p>
        </w:tc>
        <w:tc>
          <w:tcPr>
            <w:tcW w:w="1447" w:type="dxa"/>
            <w:shd w:val="clear" w:color="auto" w:fill="A6A6A6" w:themeFill="background1" w:themeFillShade="A6"/>
            <w:noWrap/>
            <w:vAlign w:val="center"/>
          </w:tcPr>
          <w:p w:rsidR="00294B74" w:rsidRPr="00BC3395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27 085 390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vAlign w:val="center"/>
          </w:tcPr>
          <w:p w:rsidR="00294B74" w:rsidRPr="00BC3395" w:rsidRDefault="00294B74" w:rsidP="002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22 137 093</w:t>
            </w:r>
          </w:p>
        </w:tc>
      </w:tr>
    </w:tbl>
    <w:bookmarkEnd w:id="1"/>
    <w:p w:rsidR="007D5748" w:rsidRPr="004B7719" w:rsidRDefault="00702B0A" w:rsidP="007D574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* </w:t>
      </w:r>
      <w:r w:rsidRPr="004B7719">
        <w:rPr>
          <w:rFonts w:ascii="Times New Roman" w:eastAsia="Times New Roman" w:hAnsi="Times New Roman" w:cs="Times New Roman"/>
          <w:bCs/>
          <w:sz w:val="20"/>
          <w:szCs w:val="24"/>
          <w:lang w:eastAsia="sk-SK"/>
        </w:rPr>
        <w:t>zapracovaný vplyv postúpenia príspevkov do II. piliera</w:t>
      </w:r>
    </w:p>
    <w:p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9875A0" w:rsidRDefault="009875A0" w:rsidP="009875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vrh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ovaná 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právna úprava zakladá v rokoch 2022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DC603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 negatívny v</w:t>
      </w:r>
      <w:r w:rsidR="00B72D0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plyv na rozpočet verejnej správy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 nie je zohľa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dnený v rozpočte Sociálnej poisťovne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rok 2021 a rozpočtovom výhľade na roky 2022 a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2023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rovnako nie je zohľadnení ani v rozpočte Kapitoly MPSVR SR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Z tohto dôvodu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odporúčame zvýšené výdavky v rokoch 2022 až 2024 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zapracovať pri príprav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rozpočtu Sociálnej poisťovne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rok 2022 a rozpočtovom výhľade na roky 2023 a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2024</w:t>
      </w:r>
      <w:r w:rsidR="00BC33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rovnako pri príprave rozpočtu Kapitoly MPSVR SR v rokoch 2022 až 2024</w:t>
      </w:r>
      <w:r w:rsidRPr="009875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7D5748" w:rsidRPr="007D5748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821A76" w:rsidRDefault="00821A76" w:rsidP="00FF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622DD0" w:rsidP="00FF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transponuje smernic</w:t>
      </w:r>
      <w:r w:rsidR="001000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EÚ. Návrh 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dop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ĺňa 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a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spres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ňuje 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ustanovenia, ktoré sa týkajú rovnováhy medzi pracovným a súkromným životom rodičov a osôb s opatrovateľskými povinnosťami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. Návrh rieši otázku </w:t>
      </w:r>
      <w:r w:rsidR="0010000B" w:rsidRPr="00777B57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tzv. otcovskej dovolenky,</w:t>
      </w:r>
      <w:r w:rsidR="0010000B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pri ktorej dávku „materské“ bude vyplácať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Sociálna poisťovňa, obdobne</w:t>
      </w:r>
      <w:r w:rsidR="001000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dávku materské vypláca doposiaľ matke a otcovi po splnení podmienok pre jej priznanie.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1F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 transformáciu 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rodičovsk</w:t>
      </w:r>
      <w:r w:rsid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dovolenk</w:t>
      </w:r>
      <w:r w:rsid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166 ods. 1 na otcovsk</w:t>
      </w:r>
      <w:r w:rsid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dovolenk</w:t>
      </w:r>
      <w:r w:rsid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9818EF" w:rsidRPr="009818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muža.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FF3EA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x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F3EA8">
        <w:rPr>
          <w:rFonts w:ascii="Times New Roman" w:eastAsia="Times New Roman" w:hAnsi="Times New Roman" w:cs="Times New Roman"/>
          <w:sz w:val="24"/>
          <w:szCs w:val="24"/>
          <w:lang w:eastAsia="sk-SK"/>
        </w:rPr>
        <w:t>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BC3395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BC3395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B3CA2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B3CA2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B3CA2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6B3CA2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7D5748" w:rsidRPr="007D5748" w:rsidTr="00BC339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FF3EA8" w:rsidRDefault="007D5748" w:rsidP="00C0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3EA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D5748" w:rsidRPr="00FF3EA8" w:rsidRDefault="007D5748" w:rsidP="00C0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FF3EA8" w:rsidRDefault="007D5748" w:rsidP="00C02F2E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22DD0" w:rsidRDefault="00622DD0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3EA8">
        <w:rPr>
          <w:rFonts w:ascii="Times New Roman" w:eastAsia="Calibri" w:hAnsi="Times New Roman" w:cs="Times New Roman"/>
          <w:bCs/>
          <w:sz w:val="24"/>
          <w:szCs w:val="24"/>
        </w:rPr>
        <w:t>Priemerný mesačný počet poberateľov</w:t>
      </w:r>
      <w:r w:rsidR="00C52509">
        <w:rPr>
          <w:rFonts w:ascii="Times New Roman" w:eastAsia="Calibri" w:hAnsi="Times New Roman" w:cs="Times New Roman"/>
          <w:bCs/>
          <w:sz w:val="24"/>
          <w:szCs w:val="24"/>
        </w:rPr>
        <w:t xml:space="preserve"> (otcov)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navrhovanej dávky materské </w:t>
      </w:r>
      <w:r w:rsidR="00414E29">
        <w:rPr>
          <w:rFonts w:ascii="Times New Roman" w:eastAsia="Calibri" w:hAnsi="Times New Roman" w:cs="Times New Roman"/>
          <w:bCs/>
          <w:sz w:val="24"/>
          <w:szCs w:val="24"/>
        </w:rPr>
        <w:t xml:space="preserve">po narodení dieťaťa 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>odhadujeme na úrovni približne 3 000 osôb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>, nakoľko predpokladáme, že približne 70 % mužov otcov splní podmienky nároku na dávku materské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 v čase narodenia potomka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a približne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90 % z tohto počtu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následne bude dávku materské po narodení dieťaťa aj čerpať. 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Priemerná denná výška dávky na jedného poberateľa sa odhaduje v roku 2022 na úrovni 3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>5,3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eur</w:t>
      </w:r>
      <w:r w:rsidR="009C62BF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>, v roku 2023 na úrovni približne 36,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eura a v roku 2024 na úrovni približne 38,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eura.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K</w:t>
      </w:r>
      <w:r w:rsidR="009C62BF">
        <w:rPr>
          <w:rFonts w:ascii="Times New Roman" w:eastAsia="Calibri" w:hAnsi="Times New Roman" w:cs="Times New Roman"/>
          <w:bCs/>
          <w:sz w:val="24"/>
          <w:szCs w:val="24"/>
        </w:rPr>
        <w:t>vantifikácia predpokladá</w:t>
      </w:r>
      <w:r w:rsidR="006B032A">
        <w:rPr>
          <w:rFonts w:ascii="Times New Roman" w:eastAsia="Calibri" w:hAnsi="Times New Roman" w:cs="Times New Roman"/>
          <w:bCs/>
          <w:sz w:val="24"/>
          <w:szCs w:val="24"/>
        </w:rPr>
        <w:t xml:space="preserve"> rast vymeriavacích základov na základe makroekonomickej prognózy inštitútu finančnej politiky z júna 2021.</w:t>
      </w:r>
      <w:r w:rsidR="009C62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02F2E" w:rsidRPr="00FF3EA8" w:rsidRDefault="00C02F2E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2DD0" w:rsidRDefault="009875A0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Navrhovaná právna úprava zakladá z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výšené výdavky na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čerpanie dávky materské pri narodení dieťaťa, ktoré 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>odhadujeme v roku 2022 na úrovni 8,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mil. eur, v roku 2023 na úrovni približne 27,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mil. eur a v roku 2024 na úrovni 2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9,0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mil. eur. Ak poistenec čerpá navrhovanú dávku materské pri narodení dieťaťa, znižuje sa mu počet dní následného čerpania súčasnej dávky materské, ktoré zákon pre iného poistenca stanovuje na 28 týždňov. V tejto súvislosti preto očakávame úsporu na výdavkoch na dávke materské v roku 2023 na úrovni približne 1,2 mil. eur a v roku 2024 na úrovni približne 7,5 mil. eur. Kvantifikácia predpokladá, že len približne štvrtina otcov, ktorí budú čerpať navrhovanú dávku materské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pri narodení dieťaťa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, budú následne čerpať aj </w:t>
      </w:r>
      <w:r>
        <w:rPr>
          <w:rFonts w:ascii="Times New Roman" w:eastAsia="Calibri" w:hAnsi="Times New Roman" w:cs="Times New Roman"/>
          <w:bCs/>
          <w:sz w:val="24"/>
          <w:szCs w:val="24"/>
        </w:rPr>
        <w:t>zvyšnú časť nároku na</w:t>
      </w:r>
      <w:r w:rsidR="00622DD0" w:rsidRPr="00FF3EA8">
        <w:rPr>
          <w:rFonts w:ascii="Times New Roman" w:eastAsia="Calibri" w:hAnsi="Times New Roman" w:cs="Times New Roman"/>
          <w:bCs/>
          <w:sz w:val="24"/>
          <w:szCs w:val="24"/>
        </w:rPr>
        <w:t xml:space="preserve"> dávku materské.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Vzhľadom na vyššie uvedené </w:t>
      </w:r>
      <w:r>
        <w:rPr>
          <w:rFonts w:ascii="Times New Roman" w:eastAsia="Calibri" w:hAnsi="Times New Roman" w:cs="Times New Roman"/>
          <w:bCs/>
          <w:sz w:val="24"/>
          <w:szCs w:val="24"/>
        </w:rPr>
        <w:t>predpokladáme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 celkový negatívny vplyv na rozpočet verejnej správy (Sociálnu p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oisťovňu) vo výške približne 8,9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 mil. eur v roku 2022, približne 26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,5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 mil.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eur v roku 2023 a približne 21,5</w:t>
      </w:r>
      <w:r w:rsidRPr="009875A0">
        <w:rPr>
          <w:rFonts w:ascii="Times New Roman" w:eastAsia="Calibri" w:hAnsi="Times New Roman" w:cs="Times New Roman"/>
          <w:bCs/>
          <w:sz w:val="24"/>
          <w:szCs w:val="24"/>
        </w:rPr>
        <w:t xml:space="preserve"> mil. eur v roku 2024.</w:t>
      </w:r>
    </w:p>
    <w:p w:rsidR="006B032A" w:rsidRDefault="006B032A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032A" w:rsidRDefault="006B032A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Navrhovaná právna úprava zakladá zvýšené výdavky aj na štátny rozpočet, z dôvodu, že poistenci čerpajúci dávku materské sú súčasne aj tzv. poistencami štátu, za ktorých platí poistné na dôchodkové poistenie a do rezervného fondu solidarity štát.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V tejto súvislosti navrhovaná právna úprava zakladá zvýšené výdavky na Kapitolu MPSVR SR, ktoré nie sú v rokoch 2022 až 2024 rozpočtovo zabezpečené a bude potrebné ich dofinancovať zo štátneho rozpočtu. Celkové zvýšenie výdavkov odhadujeme pri priemernom mesačnom počte poistencov na úrovni 3 000 osôb a pri dĺžke podporného obdobia 21 dní v roku 2022 na úrovni </w:t>
      </w:r>
      <w:r w:rsidR="00BC3395">
        <w:rPr>
          <w:rFonts w:ascii="Times New Roman" w:eastAsia="Calibri" w:hAnsi="Times New Roman" w:cs="Times New Roman"/>
          <w:bCs/>
          <w:sz w:val="24"/>
          <w:szCs w:val="24"/>
        </w:rPr>
        <w:t xml:space="preserve">približne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1,5 mil. eur a v rokoch 2023 na úrovni </w:t>
      </w:r>
      <w:r w:rsidR="00BC3395">
        <w:rPr>
          <w:rFonts w:ascii="Times New Roman" w:eastAsia="Calibri" w:hAnsi="Times New Roman" w:cs="Times New Roman"/>
          <w:bCs/>
          <w:sz w:val="24"/>
          <w:szCs w:val="24"/>
        </w:rPr>
        <w:t xml:space="preserve">približne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 xml:space="preserve">4,7 mil. eur a v roku 2024 na úrovni </w:t>
      </w:r>
      <w:r w:rsidR="00BC3395">
        <w:rPr>
          <w:rFonts w:ascii="Times New Roman" w:eastAsia="Calibri" w:hAnsi="Times New Roman" w:cs="Times New Roman"/>
          <w:bCs/>
          <w:sz w:val="24"/>
          <w:szCs w:val="24"/>
        </w:rPr>
        <w:t xml:space="preserve">približne </w:t>
      </w:r>
      <w:r w:rsidR="00A614AF">
        <w:rPr>
          <w:rFonts w:ascii="Times New Roman" w:eastAsia="Calibri" w:hAnsi="Times New Roman" w:cs="Times New Roman"/>
          <w:bCs/>
          <w:sz w:val="24"/>
          <w:szCs w:val="24"/>
        </w:rPr>
        <w:t>4,9 mil. eur.</w:t>
      </w:r>
      <w:r w:rsidR="00294B74">
        <w:rPr>
          <w:rFonts w:ascii="Times New Roman" w:eastAsia="Calibri" w:hAnsi="Times New Roman" w:cs="Times New Roman"/>
          <w:bCs/>
          <w:sz w:val="24"/>
          <w:szCs w:val="24"/>
        </w:rPr>
        <w:t xml:space="preserve"> Zvýšené výdavky štátneho rozpočtu budú príjmom Sociálnej poisťovne a súkromných </w:t>
      </w:r>
      <w:r w:rsidR="00702B0A">
        <w:rPr>
          <w:rFonts w:ascii="Times New Roman" w:eastAsia="Calibri" w:hAnsi="Times New Roman" w:cs="Times New Roman"/>
          <w:bCs/>
          <w:sz w:val="24"/>
          <w:szCs w:val="24"/>
        </w:rPr>
        <w:t>dôchodkových správcovských spoločností. Pozitívny vplyv na Sociálnu poisťovňu odhadujeme v roku 2022 na úrovni 1,3 mil. eur, v roku 2023 na úrovni 4,1 mil. eur a v roku 2024 na úrovni 4,2 mil. eur.</w:t>
      </w:r>
    </w:p>
    <w:p w:rsidR="006B032A" w:rsidRPr="00FF3EA8" w:rsidRDefault="006B032A" w:rsidP="00C02F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77A17" w:rsidRDefault="00277A17" w:rsidP="00277A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B67">
        <w:rPr>
          <w:rFonts w:ascii="Times New Roman" w:hAnsi="Times New Roman"/>
          <w:sz w:val="24"/>
          <w:szCs w:val="24"/>
        </w:rPr>
        <w:t xml:space="preserve">Vzhľadom na to, že počas čerpania rodičovskej dovolenky v rozsahu 9 týždňov a služobného voľna v rozsahu po sebe idúcich 14 dní pri narodení dieťaťa patrí policajtovi/vojakovi služobný plat, ktorý sa vypláca a je rozpočtovaný v rámci daného kalendárneho roka, pričom tieto finančné prostriedky sú zabezpečené v rámci daného rozpočtového roka v danej rozpočtovej kapitole teda aj v rámci rozpočtu MV SR/MO </w:t>
      </w:r>
      <w:r w:rsidRPr="00144B67">
        <w:rPr>
          <w:rFonts w:ascii="Times New Roman" w:hAnsi="Times New Roman"/>
          <w:sz w:val="24"/>
          <w:szCs w:val="24"/>
        </w:rPr>
        <w:lastRenderedPageBreak/>
        <w:t>SR atď.. Služobný plat sa v tomto prípade nevypláca z prostriedkov osobitného účtu, z ktorého sú poukazované dávky výsluhového zabezpečenia podľa zákona č. 328/2002 Z. z.</w:t>
      </w:r>
    </w:p>
    <w:p w:rsidR="00277A17" w:rsidRPr="00144B67" w:rsidRDefault="00277A17" w:rsidP="00277A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748" w:rsidRPr="007D5748" w:rsidRDefault="00277A17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44B67">
        <w:rPr>
          <w:rFonts w:ascii="Times New Roman" w:hAnsi="Times New Roman"/>
          <w:sz w:val="24"/>
          <w:szCs w:val="24"/>
        </w:rPr>
        <w:t xml:space="preserve">Na základe uvedeného nie je potrebné uvádzať do doložky vplyvov finančné dopady, ktoré ako už bolo uvedené, sú rozpočtovo kryté v rámci finančných prostriedkov pridelených všetkým subjektom daných rozpočtových kapitol, ktorých sa predmetná zmena dotýka.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BC33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910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4"/>
        <w:gridCol w:w="1134"/>
        <w:gridCol w:w="1134"/>
        <w:gridCol w:w="1134"/>
        <w:gridCol w:w="1134"/>
        <w:gridCol w:w="992"/>
      </w:tblGrid>
      <w:tr w:rsidR="00BC3395" w:rsidTr="00BC3395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Príjmy (v eurách)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Vplyv na rozpočet verejnej správy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4B74" w:rsidTr="00FC46B4">
        <w:trPr>
          <w:trHeight w:val="305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Daňové príjmy (100)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1 289 427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4 081 678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4 221 290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Daň z príjmov fyzickej osoby (111)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Daň z príjmov právnickej osoby (112)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nemocenské poistenie (151)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94B74" w:rsidTr="00FC46B4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starobné poistenie (152)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B74" w:rsidRPr="00FC46B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B74" w:rsidRPr="00FC46B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2 644 626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B74" w:rsidRPr="00FC46B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2 725 705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úrazové poistenie (153)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zdravotné poistenie (154)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poistenie v nezamestnanosti (155)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garančné poistenie (156)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67E61" w:rsidTr="00FC46B4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do rezervného fondu solidarity (157)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67E61" w:rsidTr="00FC46B4">
        <w:trPr>
          <w:trHeight w:val="262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Poistné na invalidné poistenie (158)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338 358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1 077 789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1 121 689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E61" w:rsidRDefault="00067E61" w:rsidP="00067E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305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Nedaňové príjmy (200)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305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Pr="009C11D6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Granty a transfery (300)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509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C11D6"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Transfery v rámci verejnej správy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(322) (Všeobecná pokladničná správa)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Pr="009C11D6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Pr="009C11D6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Pr="009C11D6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Pr="009C11D6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509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395" w:rsidTr="00BC3395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  <w:vAlign w:val="center"/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3395" w:rsidRDefault="00BC3395" w:rsidP="00BC33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94B74" w:rsidTr="00FC46B4">
        <w:trPr>
          <w:trHeight w:val="262"/>
        </w:trPr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Dopad na príjmy verejnej správy Sociálna poisťovňa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center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bottom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1 289 427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bottom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4 081 678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bottom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5111E8">
              <w:rPr>
                <w:rFonts w:ascii="Arial" w:hAnsi="Arial" w:cs="Arial"/>
                <w:b/>
                <w:sz w:val="20"/>
                <w:szCs w:val="20"/>
              </w:rPr>
              <w:t>4 221 290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294B74" w:rsidRDefault="00294B74" w:rsidP="00294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BC3395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 w:rsidR="00067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Sociálnej poisťovne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C3395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C4B3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C4B3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C4B3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CC4B3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8 898 679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26 496 648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21 497 729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65D3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65D3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965D3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D3" w:rsidRPr="007D5748" w:rsidRDefault="008965D3" w:rsidP="0089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D3" w:rsidRPr="007D5748" w:rsidRDefault="008965D3" w:rsidP="0089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8 898 679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26 496 648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21 497 729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46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4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46B4">
              <w:rPr>
                <w:rFonts w:ascii="Arial" w:hAnsi="Arial" w:cs="Arial"/>
                <w:sz w:val="20"/>
                <w:szCs w:val="20"/>
              </w:rPr>
              <w:t>8 898 679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46B4">
              <w:rPr>
                <w:rFonts w:ascii="Arial" w:hAnsi="Arial" w:cs="Arial"/>
                <w:sz w:val="20"/>
                <w:szCs w:val="20"/>
              </w:rPr>
              <w:t>26 496 648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46B4">
              <w:rPr>
                <w:rFonts w:ascii="Arial" w:hAnsi="Arial" w:cs="Arial"/>
                <w:sz w:val="20"/>
                <w:szCs w:val="20"/>
              </w:rPr>
              <w:t>21 497 729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BC3395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Dopad na výdavky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Sociálnej poisťovne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8 898 679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26 496 648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21 497 729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827088" w:rsidRDefault="0082708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067E61" w:rsidRPr="007D5748" w:rsidTr="00FC46B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MPSVR SR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67E61" w:rsidRPr="007D5748" w:rsidTr="00FC46B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1 466 219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4 670 420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4 860 653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FC46B4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1 466 219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FC46B4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4 670 420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FC46B4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4 860 653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FC46B4" w:rsidRDefault="00067E61" w:rsidP="00FC4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Dopad na výdavky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Sociálnej poisťovne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1 466 219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4 670 420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067E61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46B4">
              <w:rPr>
                <w:rFonts w:ascii="Arial" w:hAnsi="Arial" w:cs="Arial"/>
                <w:b/>
                <w:sz w:val="20"/>
                <w:szCs w:val="20"/>
              </w:rPr>
              <w:t>4 860 653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067E61" w:rsidRDefault="00067E6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067E61" w:rsidRPr="007D5748" w:rsidTr="00FC46B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verejnej správy celkom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67E61" w:rsidRPr="007D5748" w:rsidTr="00FC46B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827088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8" w:rsidRPr="007D5748" w:rsidRDefault="00827088" w:rsidP="0082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88" w:rsidRPr="007D5748" w:rsidRDefault="00827088" w:rsidP="008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88" w:rsidRPr="007D5748" w:rsidRDefault="00827088" w:rsidP="008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10 364 898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88" w:rsidRPr="007D5748" w:rsidRDefault="00827088" w:rsidP="008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31 167 068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88" w:rsidRPr="007D5748" w:rsidRDefault="00827088" w:rsidP="008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26 358 383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88" w:rsidRPr="007D5748" w:rsidRDefault="00827088" w:rsidP="008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27088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8" w:rsidRPr="007D5748" w:rsidRDefault="00827088" w:rsidP="008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88" w:rsidRPr="007D5748" w:rsidRDefault="00827088" w:rsidP="008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88" w:rsidRPr="007D5748" w:rsidRDefault="00827088" w:rsidP="008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1 466 219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88" w:rsidRPr="007D5748" w:rsidRDefault="00827088" w:rsidP="008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4 670 420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088" w:rsidRPr="007D5748" w:rsidRDefault="00827088" w:rsidP="0082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4 860 653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7088" w:rsidRPr="007D5748" w:rsidRDefault="00827088" w:rsidP="0082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8 898 679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26 496 648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C3395">
              <w:rPr>
                <w:rFonts w:ascii="Arial" w:hAnsi="Arial" w:cs="Arial"/>
                <w:b/>
                <w:sz w:val="20"/>
                <w:szCs w:val="20"/>
              </w:rPr>
              <w:t>21 497 729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5C7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095C72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5C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95C72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5C72">
              <w:rPr>
                <w:rFonts w:ascii="Arial" w:hAnsi="Arial" w:cs="Arial"/>
                <w:sz w:val="20"/>
                <w:szCs w:val="20"/>
              </w:rPr>
              <w:t>8 898 679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95C72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5C72">
              <w:rPr>
                <w:rFonts w:ascii="Arial" w:hAnsi="Arial" w:cs="Arial"/>
                <w:sz w:val="20"/>
                <w:szCs w:val="20"/>
              </w:rPr>
              <w:t>26 496 648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61" w:rsidRPr="00095C72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72">
              <w:rPr>
                <w:rFonts w:ascii="Arial" w:hAnsi="Arial" w:cs="Arial"/>
                <w:sz w:val="20"/>
                <w:szCs w:val="20"/>
              </w:rPr>
              <w:t>21 497 729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7E61" w:rsidRPr="007D5748" w:rsidRDefault="00067E61" w:rsidP="00FC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E61" w:rsidRPr="007D5748" w:rsidRDefault="00067E61" w:rsidP="00FC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7E61" w:rsidRPr="007D5748" w:rsidTr="00FC46B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Dopad na výdavky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rozpočtu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C3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10 364 898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31 167 068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67E61" w:rsidRPr="007D5748" w:rsidRDefault="00067E61" w:rsidP="0006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95C72">
              <w:rPr>
                <w:rFonts w:ascii="Arial" w:hAnsi="Arial" w:cs="Arial"/>
                <w:b/>
                <w:sz w:val="20"/>
                <w:szCs w:val="20"/>
              </w:rPr>
              <w:t>26 358 383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7E61" w:rsidRPr="007D5748" w:rsidRDefault="00067E61" w:rsidP="0006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067E61" w:rsidRPr="007D5748" w:rsidRDefault="00067E61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:rsidTr="00BC3395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BC3395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BC3395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7D57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/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96" w:rsidRDefault="001C3B96">
      <w:pPr>
        <w:spacing w:after="0" w:line="240" w:lineRule="auto"/>
      </w:pPr>
      <w:r>
        <w:separator/>
      </w:r>
    </w:p>
  </w:endnote>
  <w:endnote w:type="continuationSeparator" w:id="0">
    <w:p w:rsidR="001C3B96" w:rsidRDefault="001C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B4" w:rsidRDefault="00FC46B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FC46B4" w:rsidRDefault="00FC46B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045456"/>
      <w:docPartObj>
        <w:docPartGallery w:val="Page Numbers (Bottom of Page)"/>
        <w:docPartUnique/>
      </w:docPartObj>
    </w:sdtPr>
    <w:sdtEndPr/>
    <w:sdtContent>
      <w:p w:rsidR="004B7719" w:rsidRDefault="004B771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76">
          <w:rPr>
            <w:noProof/>
          </w:rPr>
          <w:t>1</w:t>
        </w:r>
        <w:r>
          <w:fldChar w:fldCharType="end"/>
        </w:r>
      </w:p>
    </w:sdtContent>
  </w:sdt>
  <w:p w:rsidR="00FC46B4" w:rsidRDefault="00FC46B4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B4" w:rsidRDefault="00FC46B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FC46B4" w:rsidRDefault="00FC46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96" w:rsidRDefault="001C3B96">
      <w:pPr>
        <w:spacing w:after="0" w:line="240" w:lineRule="auto"/>
      </w:pPr>
      <w:r>
        <w:separator/>
      </w:r>
    </w:p>
  </w:footnote>
  <w:footnote w:type="continuationSeparator" w:id="0">
    <w:p w:rsidR="001C3B96" w:rsidRDefault="001C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B4" w:rsidRDefault="00FC46B4" w:rsidP="00BC339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FC46B4" w:rsidRPr="00EB59C8" w:rsidRDefault="00FC46B4" w:rsidP="00BC3395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B4" w:rsidRPr="0024067A" w:rsidRDefault="00FC46B4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B4" w:rsidRPr="000A15AE" w:rsidRDefault="00FC46B4" w:rsidP="00BC3395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4A2E"/>
    <w:multiLevelType w:val="hybridMultilevel"/>
    <w:tmpl w:val="339EADE6"/>
    <w:lvl w:ilvl="0" w:tplc="675A7328">
      <w:start w:val="2"/>
      <w:numFmt w:val="bullet"/>
      <w:lvlText w:val="-"/>
      <w:lvlJc w:val="left"/>
      <w:pPr>
        <w:ind w:left="1068" w:hanging="360"/>
      </w:pPr>
      <w:rPr>
        <w:rFonts w:ascii="Times" w:eastAsiaTheme="minorEastAsia" w:hAnsi="Time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205831"/>
    <w:multiLevelType w:val="hybridMultilevel"/>
    <w:tmpl w:val="A742FD50"/>
    <w:lvl w:ilvl="0" w:tplc="A9B4E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35EB6"/>
    <w:rsid w:val="00057135"/>
    <w:rsid w:val="00067E61"/>
    <w:rsid w:val="0010000B"/>
    <w:rsid w:val="001127A8"/>
    <w:rsid w:val="00117A76"/>
    <w:rsid w:val="0013052A"/>
    <w:rsid w:val="00170D2B"/>
    <w:rsid w:val="001C3B96"/>
    <w:rsid w:val="00200898"/>
    <w:rsid w:val="00212894"/>
    <w:rsid w:val="00277A17"/>
    <w:rsid w:val="00294B74"/>
    <w:rsid w:val="002A2140"/>
    <w:rsid w:val="002E2576"/>
    <w:rsid w:val="00317B90"/>
    <w:rsid w:val="00320C28"/>
    <w:rsid w:val="00385835"/>
    <w:rsid w:val="00414E29"/>
    <w:rsid w:val="00487203"/>
    <w:rsid w:val="004B7719"/>
    <w:rsid w:val="005005EC"/>
    <w:rsid w:val="00546200"/>
    <w:rsid w:val="005D0448"/>
    <w:rsid w:val="00622DD0"/>
    <w:rsid w:val="006B032A"/>
    <w:rsid w:val="006B3CA2"/>
    <w:rsid w:val="00702B0A"/>
    <w:rsid w:val="007246BD"/>
    <w:rsid w:val="00770D53"/>
    <w:rsid w:val="007D5748"/>
    <w:rsid w:val="00802067"/>
    <w:rsid w:val="00821A76"/>
    <w:rsid w:val="00827088"/>
    <w:rsid w:val="00830D02"/>
    <w:rsid w:val="008965D3"/>
    <w:rsid w:val="008D339D"/>
    <w:rsid w:val="008E2736"/>
    <w:rsid w:val="00944A59"/>
    <w:rsid w:val="009706B7"/>
    <w:rsid w:val="009818EF"/>
    <w:rsid w:val="009875A0"/>
    <w:rsid w:val="009C62BF"/>
    <w:rsid w:val="00A614AF"/>
    <w:rsid w:val="00AF768F"/>
    <w:rsid w:val="00B21C8C"/>
    <w:rsid w:val="00B5535C"/>
    <w:rsid w:val="00B72D03"/>
    <w:rsid w:val="00B96E1E"/>
    <w:rsid w:val="00BC3395"/>
    <w:rsid w:val="00BD3987"/>
    <w:rsid w:val="00C02F2E"/>
    <w:rsid w:val="00C15212"/>
    <w:rsid w:val="00C51FD4"/>
    <w:rsid w:val="00C52509"/>
    <w:rsid w:val="00CB3623"/>
    <w:rsid w:val="00CB66D5"/>
    <w:rsid w:val="00CC4B34"/>
    <w:rsid w:val="00CC6CE4"/>
    <w:rsid w:val="00CD356C"/>
    <w:rsid w:val="00CE299A"/>
    <w:rsid w:val="00DC6035"/>
    <w:rsid w:val="00DE5BF1"/>
    <w:rsid w:val="00E07CE9"/>
    <w:rsid w:val="00E963A3"/>
    <w:rsid w:val="00EA1E90"/>
    <w:rsid w:val="00F40136"/>
    <w:rsid w:val="00F51F51"/>
    <w:rsid w:val="00FC46B4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0C80-CD98-45B1-AFD7-D98CD9FB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0000B"/>
    <w:pPr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C387E8-C1C5-426E-AE0E-BBCC833F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Cebulakova Monika</cp:lastModifiedBy>
  <cp:revision>2</cp:revision>
  <dcterms:created xsi:type="dcterms:W3CDTF">2021-09-14T13:00:00Z</dcterms:created>
  <dcterms:modified xsi:type="dcterms:W3CDTF">2021-09-14T13:00:00Z</dcterms:modified>
</cp:coreProperties>
</file>