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47C9F" w:rsidRPr="00212894" w:rsidRDefault="00E47C9F" w:rsidP="00E47C9F">
      <w:pPr>
        <w:spacing w:after="0" w:line="240" w:lineRule="auto"/>
        <w:jc w:val="right"/>
        <w:rPr>
          <w:rFonts w:ascii="Times New Roman" w:eastAsia="Times New Roman" w:hAnsi="Times New Roman" w:cs="Times New Roman"/>
          <w:b/>
          <w:bCs/>
          <w:sz w:val="24"/>
          <w:szCs w:val="24"/>
          <w:lang w:eastAsia="sk-SK"/>
        </w:rPr>
      </w:pPr>
    </w:p>
    <w:p w:rsidR="00E47C9F" w:rsidRDefault="00E47C9F" w:rsidP="00E47C9F">
      <w:pPr>
        <w:spacing w:after="0" w:line="240" w:lineRule="auto"/>
        <w:rPr>
          <w:rFonts w:ascii="Times New Roman" w:eastAsia="Times New Roman" w:hAnsi="Times New Roman" w:cs="Times New Roman"/>
          <w:b/>
          <w:bCs/>
          <w:sz w:val="24"/>
          <w:szCs w:val="24"/>
          <w:lang w:eastAsia="sk-SK"/>
        </w:rPr>
      </w:pPr>
    </w:p>
    <w:p w:rsidR="00E47C9F" w:rsidRPr="00212894" w:rsidRDefault="00E47C9F" w:rsidP="00E47C9F">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47C9F" w:rsidRDefault="00E47C9F" w:rsidP="00E47C9F">
      <w:pPr>
        <w:spacing w:after="0" w:line="240" w:lineRule="auto"/>
        <w:jc w:val="right"/>
        <w:rPr>
          <w:rFonts w:ascii="Times New Roman" w:eastAsia="Times New Roman" w:hAnsi="Times New Roman" w:cs="Times New Roman"/>
          <w:sz w:val="20"/>
          <w:szCs w:val="20"/>
          <w:lang w:eastAsia="sk-SK"/>
        </w:rPr>
      </w:pPr>
    </w:p>
    <w:p w:rsidR="00376963" w:rsidRPr="00806408" w:rsidRDefault="00E47C9F" w:rsidP="0028361B">
      <w:pPr>
        <w:spacing w:after="0" w:line="240" w:lineRule="auto"/>
        <w:jc w:val="right"/>
        <w:rPr>
          <w:rFonts w:ascii="Times New Roman" w:eastAsia="Times New Roman" w:hAnsi="Times New Roman" w:cs="Times New Roman"/>
          <w:sz w:val="20"/>
          <w:szCs w:val="20"/>
          <w:lang w:eastAsia="sk-SK"/>
        </w:rPr>
      </w:pPr>
      <w:r w:rsidRPr="0078327F">
        <w:rPr>
          <w:rFonts w:ascii="Times New Roman" w:eastAsia="Times New Roman" w:hAnsi="Times New Roman" w:cs="Times New Roman"/>
          <w:sz w:val="20"/>
          <w:szCs w:val="20"/>
          <w:lang w:eastAsia="sk-SK"/>
        </w:rPr>
        <w:t>Tabuľka č. 1</w:t>
      </w:r>
      <w:r w:rsidR="00D53DEE">
        <w:rPr>
          <w:rFonts w:ascii="Times New Roman" w:eastAsia="Times New Roman" w:hAnsi="Times New Roman" w:cs="Times New Roman"/>
          <w:sz w:val="20"/>
          <w:szCs w:val="20"/>
          <w:lang w:eastAsia="sk-SK"/>
        </w:rPr>
        <w:t xml:space="preserve"> v eur</w:t>
      </w:r>
      <w:r w:rsidRPr="0078327F">
        <w:rPr>
          <w:rFonts w:ascii="Times New Roman" w:eastAsia="Times New Roman" w:hAnsi="Times New Roman" w:cs="Times New Roman"/>
          <w:sz w:val="20"/>
          <w:szCs w:val="20"/>
          <w:lang w:eastAsia="sk-SK"/>
        </w:rPr>
        <w:t xml:space="preserve"> </w:t>
      </w:r>
    </w:p>
    <w:tbl>
      <w:tblPr>
        <w:tblW w:w="9062" w:type="dxa"/>
        <w:tblCellMar>
          <w:left w:w="70" w:type="dxa"/>
          <w:right w:w="70" w:type="dxa"/>
        </w:tblCellMar>
        <w:tblLook w:val="04A0" w:firstRow="1" w:lastRow="0" w:firstColumn="1" w:lastColumn="0" w:noHBand="0" w:noVBand="1"/>
      </w:tblPr>
      <w:tblGrid>
        <w:gridCol w:w="4810"/>
        <w:gridCol w:w="960"/>
        <w:gridCol w:w="1020"/>
        <w:gridCol w:w="1138"/>
        <w:gridCol w:w="1134"/>
      </w:tblGrid>
      <w:tr w:rsidR="00991566" w:rsidRPr="00991566" w:rsidTr="00991566">
        <w:trPr>
          <w:trHeight w:val="480"/>
        </w:trPr>
        <w:tc>
          <w:tcPr>
            <w:tcW w:w="481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Vplyvy na rozpočet verejnej správy</w:t>
            </w:r>
          </w:p>
        </w:tc>
        <w:tc>
          <w:tcPr>
            <w:tcW w:w="4252" w:type="dxa"/>
            <w:gridSpan w:val="4"/>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xml:space="preserve">Vplyv na rozpočet verejnej správy v eurách </w:t>
            </w:r>
          </w:p>
        </w:tc>
      </w:tr>
      <w:tr w:rsidR="00991566" w:rsidRPr="00991566" w:rsidTr="00991566">
        <w:trPr>
          <w:trHeight w:val="270"/>
        </w:trPr>
        <w:tc>
          <w:tcPr>
            <w:tcW w:w="4810" w:type="dxa"/>
            <w:vMerge/>
            <w:tcBorders>
              <w:top w:val="single" w:sz="8" w:space="0" w:color="auto"/>
              <w:left w:val="single" w:sz="8" w:space="0" w:color="auto"/>
              <w:bottom w:val="single" w:sz="8" w:space="0" w:color="000000"/>
              <w:right w:val="single" w:sz="8" w:space="0" w:color="auto"/>
            </w:tcBorders>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p>
        </w:tc>
        <w:tc>
          <w:tcPr>
            <w:tcW w:w="4252" w:type="dxa"/>
            <w:gridSpan w:val="4"/>
            <w:vMerge/>
            <w:tcBorders>
              <w:top w:val="single" w:sz="8" w:space="0" w:color="auto"/>
              <w:left w:val="single" w:sz="8" w:space="0" w:color="auto"/>
              <w:bottom w:val="single" w:sz="8" w:space="0" w:color="000000"/>
              <w:right w:val="single" w:sz="8" w:space="0" w:color="000000"/>
            </w:tcBorders>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p>
        </w:tc>
      </w:tr>
      <w:tr w:rsidR="00991566" w:rsidRPr="00991566" w:rsidTr="00991566">
        <w:trPr>
          <w:trHeight w:val="270"/>
        </w:trPr>
        <w:tc>
          <w:tcPr>
            <w:tcW w:w="4810" w:type="dxa"/>
            <w:vMerge/>
            <w:tcBorders>
              <w:top w:val="single" w:sz="8" w:space="0" w:color="auto"/>
              <w:left w:val="single" w:sz="8" w:space="0" w:color="auto"/>
              <w:bottom w:val="single" w:sz="8" w:space="0" w:color="000000"/>
              <w:right w:val="single" w:sz="8" w:space="0" w:color="auto"/>
            </w:tcBorders>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p>
        </w:tc>
        <w:tc>
          <w:tcPr>
            <w:tcW w:w="960" w:type="dxa"/>
            <w:tcBorders>
              <w:top w:val="nil"/>
              <w:left w:val="nil"/>
              <w:bottom w:val="single" w:sz="8" w:space="0" w:color="auto"/>
              <w:right w:val="single" w:sz="8" w:space="0" w:color="auto"/>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2021</w:t>
            </w:r>
          </w:p>
        </w:tc>
        <w:tc>
          <w:tcPr>
            <w:tcW w:w="1020" w:type="dxa"/>
            <w:tcBorders>
              <w:top w:val="nil"/>
              <w:left w:val="nil"/>
              <w:bottom w:val="single" w:sz="8" w:space="0" w:color="auto"/>
              <w:right w:val="single" w:sz="8" w:space="0" w:color="auto"/>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2022</w:t>
            </w:r>
          </w:p>
        </w:tc>
        <w:tc>
          <w:tcPr>
            <w:tcW w:w="1138" w:type="dxa"/>
            <w:tcBorders>
              <w:top w:val="nil"/>
              <w:left w:val="nil"/>
              <w:bottom w:val="single" w:sz="8" w:space="0" w:color="auto"/>
              <w:right w:val="single" w:sz="8" w:space="0" w:color="auto"/>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rsidR="00991566" w:rsidRPr="00991566" w:rsidRDefault="00991566" w:rsidP="00991566">
            <w:pPr>
              <w:spacing w:after="0" w:line="240" w:lineRule="auto"/>
              <w:jc w:val="center"/>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2024</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Príjmy verejnej správy celkom</w:t>
            </w:r>
          </w:p>
        </w:tc>
        <w:tc>
          <w:tcPr>
            <w:tcW w:w="960" w:type="dxa"/>
            <w:tcBorders>
              <w:top w:val="nil"/>
              <w:left w:val="nil"/>
              <w:bottom w:val="single" w:sz="8" w:space="0" w:color="auto"/>
              <w:right w:val="single" w:sz="8" w:space="0" w:color="auto"/>
            </w:tcBorders>
            <w:shd w:val="clear" w:color="000000" w:fill="C0C0C0"/>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9 973</w:t>
            </w:r>
          </w:p>
        </w:tc>
        <w:tc>
          <w:tcPr>
            <w:tcW w:w="1020" w:type="dxa"/>
            <w:tcBorders>
              <w:top w:val="nil"/>
              <w:left w:val="nil"/>
              <w:bottom w:val="single" w:sz="8" w:space="0" w:color="auto"/>
              <w:right w:val="single" w:sz="8" w:space="0" w:color="auto"/>
            </w:tcBorders>
            <w:shd w:val="clear" w:color="000000" w:fill="C0C0C0"/>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-13 217</w:t>
            </w:r>
          </w:p>
        </w:tc>
        <w:tc>
          <w:tcPr>
            <w:tcW w:w="1138" w:type="dxa"/>
            <w:tcBorders>
              <w:top w:val="nil"/>
              <w:left w:val="nil"/>
              <w:bottom w:val="single" w:sz="8" w:space="0" w:color="auto"/>
              <w:right w:val="single" w:sz="8" w:space="0" w:color="auto"/>
            </w:tcBorders>
            <w:shd w:val="clear" w:color="000000" w:fill="C0C0C0"/>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296 508 471</w:t>
            </w:r>
          </w:p>
        </w:tc>
        <w:tc>
          <w:tcPr>
            <w:tcW w:w="1134" w:type="dxa"/>
            <w:tcBorders>
              <w:top w:val="nil"/>
              <w:left w:val="nil"/>
              <w:bottom w:val="single" w:sz="8" w:space="0" w:color="auto"/>
              <w:right w:val="single" w:sz="8" w:space="0" w:color="auto"/>
            </w:tcBorders>
            <w:shd w:val="clear" w:color="000000" w:fill="C0C0C0"/>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359 292 674</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 tom: za každý subjekt verejnej správy zvlášť</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xml:space="preserve">z toho:  </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(Všeobecná pokladničná správa)</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-19 733 439</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-20 191 847</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6 981</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6 161</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-6 962 795</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-6 661 251</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2 992</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2 640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-2 984 055</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-2 854 822</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-15 719</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328 508 285</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391 630 562</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-6 300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-2 319 526</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-2 629 968</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Výdavky verejnej správy celkom</w:t>
            </w:r>
          </w:p>
        </w:tc>
        <w:tc>
          <w:tcPr>
            <w:tcW w:w="960"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-1 258 032</w:t>
            </w:r>
          </w:p>
        </w:tc>
        <w:tc>
          <w:tcPr>
            <w:tcW w:w="1020"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-9 595 257</w:t>
            </w:r>
          </w:p>
        </w:tc>
        <w:tc>
          <w:tcPr>
            <w:tcW w:w="1138"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853 147 046</w:t>
            </w:r>
          </w:p>
        </w:tc>
        <w:tc>
          <w:tcPr>
            <w:tcW w:w="1134"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954 780 028</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 tom: za každý subjekt verejnej správy / program zvlášť</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xml:space="preserve">z toho: </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(kapitola MPSVR SR)</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-96 420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-100 899</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(transfer zo ŠR - Všeobecná pokladničná správa)</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231 000 000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269 500 000</w:t>
            </w:r>
          </w:p>
        </w:tc>
      </w:tr>
      <w:tr w:rsidR="00991566" w:rsidRPr="00991566" w:rsidTr="00991566">
        <w:trPr>
          <w:trHeight w:val="52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(kapitoly ministerstiev, zrušenie maximálnych vymeriavacích základov)</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1 402 087</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1 430 129</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ind w:firstLineChars="100" w:firstLine="200"/>
              <w:rPr>
                <w:rFonts w:ascii="Arial Narrow" w:eastAsia="Times New Roman" w:hAnsi="Arial Narrow" w:cs="Arial"/>
                <w:i/>
                <w:iCs/>
                <w:color w:val="000000"/>
                <w:sz w:val="20"/>
                <w:szCs w:val="20"/>
                <w:lang w:eastAsia="sk-SK"/>
              </w:rPr>
            </w:pPr>
            <w:r w:rsidRPr="00991566">
              <w:rPr>
                <w:rFonts w:ascii="Arial Narrow" w:eastAsia="Times New Roman" w:hAnsi="Arial Narrow" w:cs="Arial"/>
                <w:i/>
                <w:iCs/>
                <w:color w:val="000000"/>
                <w:sz w:val="20"/>
                <w:szCs w:val="20"/>
                <w:lang w:eastAsia="sk-SK"/>
              </w:rPr>
              <w:t>Rozpočtové prostriedky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i/>
                <w:iCs/>
                <w:color w:val="000000"/>
                <w:sz w:val="20"/>
                <w:szCs w:val="20"/>
                <w:lang w:eastAsia="sk-SK"/>
              </w:rPr>
            </w:pPr>
            <w:r w:rsidRPr="00991566">
              <w:rPr>
                <w:rFonts w:ascii="Arial Narrow" w:eastAsia="Times New Roman" w:hAnsi="Arial Narrow" w:cs="Arial"/>
                <w:i/>
                <w:iCs/>
                <w:color w:val="000000"/>
                <w:sz w:val="20"/>
                <w:szCs w:val="20"/>
                <w:lang w:eastAsia="sk-SK"/>
              </w:rPr>
              <w:t xml:space="preserve">    EÚ zdroje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i/>
                <w:iCs/>
                <w:color w:val="000000"/>
                <w:sz w:val="20"/>
                <w:szCs w:val="20"/>
                <w:lang w:eastAsia="sk-SK"/>
              </w:rPr>
            </w:pPr>
            <w:r w:rsidRPr="00991566">
              <w:rPr>
                <w:rFonts w:ascii="Arial Narrow" w:eastAsia="Times New Roman" w:hAnsi="Arial Narrow" w:cs="Arial"/>
                <w:i/>
                <w:iCs/>
                <w:color w:val="000000"/>
                <w:sz w:val="20"/>
                <w:szCs w:val="20"/>
                <w:lang w:eastAsia="sk-SK"/>
              </w:rPr>
              <w:t xml:space="preserve">    spolufinancovanie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-3 598 032</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-9 907 103</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620 677 766</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683 860 798</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Inštitúcie s osobitným systémom sociálneho zabezpečenia + FR SR</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1 830 000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266 846</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73 613</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z toho:</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vplyv na MV SR (SIS)</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500 000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vplyv na MO SR</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500 000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vplyv na NBÚ SR</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200 000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vplyv na MS SR (ZVJS)</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450 000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xml:space="preserve">vplyv na FR SR </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180 000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266 846</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73 613</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(kapitola MZ SR - útvar NCZI)</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510 000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45 000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90 000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90 000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 xml:space="preserve">Vplyv na počet zamestnancov </w:t>
            </w:r>
          </w:p>
        </w:tc>
        <w:tc>
          <w:tcPr>
            <w:tcW w:w="96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-7</w:t>
            </w:r>
          </w:p>
        </w:tc>
        <w:tc>
          <w:tcPr>
            <w:tcW w:w="1138"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-307</w:t>
            </w:r>
          </w:p>
        </w:tc>
        <w:tc>
          <w:tcPr>
            <w:tcW w:w="1134"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-307</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 (kapitola MZ SR - útvar NCZI)</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-7</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-307</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-307</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Vplyv na mzdové výdavky</w:t>
            </w:r>
          </w:p>
        </w:tc>
        <w:tc>
          <w:tcPr>
            <w:tcW w:w="96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-63 000</w:t>
            </w:r>
          </w:p>
        </w:tc>
        <w:tc>
          <w:tcPr>
            <w:tcW w:w="1138"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-3 684 000</w:t>
            </w:r>
          </w:p>
        </w:tc>
        <w:tc>
          <w:tcPr>
            <w:tcW w:w="1134"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-3 684 000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ŠR</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MZ SR (NCZI)</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 vplyv na Sociálnu poisťovňu</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-63 000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-3 684 000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-3 684 000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Financovanie zabezpečené v rozpočte</w:t>
            </w:r>
          </w:p>
        </w:tc>
        <w:tc>
          <w:tcPr>
            <w:tcW w:w="960"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020"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138"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C0C0C0"/>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b/>
                <w:bCs/>
                <w:i/>
                <w:iCs/>
                <w:color w:val="000000"/>
                <w:sz w:val="20"/>
                <w:szCs w:val="20"/>
                <w:lang w:eastAsia="sk-SK"/>
              </w:rPr>
            </w:pPr>
            <w:r w:rsidRPr="00991566">
              <w:rPr>
                <w:rFonts w:ascii="Arial Narrow" w:eastAsia="Times New Roman" w:hAnsi="Arial Narrow" w:cs="Arial"/>
                <w:b/>
                <w:bCs/>
                <w:i/>
                <w:iCs/>
                <w:color w:val="000000"/>
                <w:sz w:val="20"/>
                <w:szCs w:val="20"/>
                <w:lang w:eastAsia="sk-SK"/>
              </w:rPr>
              <w:t>z toho:</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 </w:t>
            </w:r>
          </w:p>
        </w:tc>
      </w:tr>
      <w:tr w:rsidR="00991566" w:rsidRPr="00991566" w:rsidTr="00991566">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18"/>
                <w:szCs w:val="18"/>
                <w:lang w:eastAsia="sk-SK"/>
              </w:rPr>
            </w:pPr>
            <w:r w:rsidRPr="00991566">
              <w:rPr>
                <w:rFonts w:ascii="Arial Narrow" w:eastAsia="Times New Roman" w:hAnsi="Arial Narrow" w:cs="Arial"/>
                <w:color w:val="000000"/>
                <w:sz w:val="18"/>
                <w:szCs w:val="18"/>
                <w:lang w:eastAsia="sk-SK"/>
              </w:rPr>
              <w:t>-vplyv na štátny rozpočet</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18"/>
                <w:szCs w:val="18"/>
                <w:lang w:eastAsia="sk-SK"/>
              </w:rPr>
            </w:pPr>
            <w:r w:rsidRPr="00991566">
              <w:rPr>
                <w:rFonts w:ascii="Arial Narrow" w:eastAsia="Times New Roman" w:hAnsi="Arial Narrow" w:cs="Arial"/>
                <w:color w:val="000000"/>
                <w:sz w:val="18"/>
                <w:szCs w:val="18"/>
                <w:lang w:eastAsia="sk-SK"/>
              </w:rPr>
              <w:t>- vplyv na obce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18"/>
                <w:szCs w:val="18"/>
                <w:lang w:eastAsia="sk-SK"/>
              </w:rPr>
            </w:pPr>
            <w:r w:rsidRPr="00991566">
              <w:rPr>
                <w:rFonts w:ascii="Arial Narrow" w:eastAsia="Times New Roman" w:hAnsi="Arial Narrow" w:cs="Arial"/>
                <w:color w:val="000000"/>
                <w:sz w:val="18"/>
                <w:szCs w:val="18"/>
                <w:lang w:eastAsia="sk-SK"/>
              </w:rPr>
              <w:t>- vplyv na vyššie územné celky</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85"/>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color w:val="000000"/>
                <w:sz w:val="18"/>
                <w:szCs w:val="18"/>
                <w:lang w:eastAsia="sk-SK"/>
              </w:rPr>
            </w:pPr>
            <w:r w:rsidRPr="00991566">
              <w:rPr>
                <w:rFonts w:ascii="Arial Narrow" w:eastAsia="Times New Roman" w:hAnsi="Arial Narrow" w:cs="Arial"/>
                <w:color w:val="000000"/>
                <w:sz w:val="18"/>
                <w:szCs w:val="18"/>
                <w:lang w:eastAsia="sk-SK"/>
              </w:rPr>
              <w:t>- vplyv na rozpočet Sociálnej poisťovne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rPr>
                <w:rFonts w:ascii="Arial Narrow" w:eastAsia="Times New Roman" w:hAnsi="Arial Narrow" w:cs="Arial"/>
                <w:i/>
                <w:iCs/>
                <w:color w:val="000000"/>
                <w:sz w:val="20"/>
                <w:szCs w:val="20"/>
                <w:lang w:eastAsia="sk-SK"/>
              </w:rPr>
            </w:pPr>
            <w:r w:rsidRPr="00991566">
              <w:rPr>
                <w:rFonts w:ascii="Arial Narrow" w:eastAsia="Times New Roman" w:hAnsi="Arial Narrow" w:cs="Arial"/>
                <w:i/>
                <w:iCs/>
                <w:color w:val="000000"/>
                <w:sz w:val="20"/>
                <w:szCs w:val="20"/>
                <w:lang w:eastAsia="sk-SK"/>
              </w:rPr>
              <w:t>- vplyv na verejné zdravotné poistenie</w:t>
            </w:r>
          </w:p>
        </w:tc>
        <w:tc>
          <w:tcPr>
            <w:tcW w:w="96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020"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8"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eastAsia="Times New Roman" w:hAnsi="Arial Narrow" w:cs="Arial"/>
                <w:color w:val="000000"/>
                <w:sz w:val="20"/>
                <w:szCs w:val="20"/>
                <w:lang w:eastAsia="sk-SK"/>
              </w:rPr>
            </w:pPr>
            <w:r w:rsidRPr="00991566">
              <w:rPr>
                <w:rFonts w:ascii="Arial Narrow" w:eastAsia="Times New Roman" w:hAnsi="Arial Narrow" w:cs="Arial"/>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Iné ako rozpočtové zdroje</w:t>
            </w:r>
          </w:p>
        </w:tc>
        <w:tc>
          <w:tcPr>
            <w:tcW w:w="96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138"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BFBFBF"/>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0</w:t>
            </w:r>
          </w:p>
        </w:tc>
      </w:tr>
      <w:tr w:rsidR="00991566" w:rsidRPr="00991566" w:rsidTr="00991566">
        <w:trPr>
          <w:trHeight w:val="270"/>
        </w:trPr>
        <w:tc>
          <w:tcPr>
            <w:tcW w:w="4810" w:type="dxa"/>
            <w:tcBorders>
              <w:top w:val="nil"/>
              <w:left w:val="single" w:sz="8" w:space="0" w:color="auto"/>
              <w:bottom w:val="single" w:sz="8" w:space="0" w:color="auto"/>
              <w:right w:val="single" w:sz="8" w:space="0" w:color="auto"/>
            </w:tcBorders>
            <w:shd w:val="clear" w:color="000000" w:fill="A6A6A6"/>
            <w:noWrap/>
            <w:vAlign w:val="center"/>
            <w:hideMark/>
          </w:tcPr>
          <w:p w:rsidR="00991566" w:rsidRPr="00991566" w:rsidRDefault="00991566" w:rsidP="00991566">
            <w:pPr>
              <w:spacing w:after="0" w:line="240" w:lineRule="auto"/>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Rozpočtovo nekrytý vplyv / úspora</w:t>
            </w:r>
          </w:p>
        </w:tc>
        <w:tc>
          <w:tcPr>
            <w:tcW w:w="960" w:type="dxa"/>
            <w:tcBorders>
              <w:top w:val="nil"/>
              <w:left w:val="nil"/>
              <w:bottom w:val="single" w:sz="8" w:space="0" w:color="auto"/>
              <w:right w:val="single" w:sz="8" w:space="0" w:color="auto"/>
            </w:tcBorders>
            <w:shd w:val="clear" w:color="000000" w:fill="A6A6A6"/>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-1 268 005</w:t>
            </w:r>
          </w:p>
        </w:tc>
        <w:tc>
          <w:tcPr>
            <w:tcW w:w="1020" w:type="dxa"/>
            <w:tcBorders>
              <w:top w:val="nil"/>
              <w:left w:val="nil"/>
              <w:bottom w:val="single" w:sz="8" w:space="0" w:color="auto"/>
              <w:right w:val="single" w:sz="8" w:space="0" w:color="auto"/>
            </w:tcBorders>
            <w:shd w:val="clear" w:color="000000" w:fill="A6A6A6"/>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-9 582 040</w:t>
            </w:r>
          </w:p>
        </w:tc>
        <w:tc>
          <w:tcPr>
            <w:tcW w:w="1138" w:type="dxa"/>
            <w:tcBorders>
              <w:top w:val="nil"/>
              <w:left w:val="nil"/>
              <w:bottom w:val="single" w:sz="8" w:space="0" w:color="auto"/>
              <w:right w:val="single" w:sz="8" w:space="0" w:color="auto"/>
            </w:tcBorders>
            <w:shd w:val="clear" w:color="000000" w:fill="A6A6A6"/>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556 638 575</w:t>
            </w:r>
          </w:p>
        </w:tc>
        <w:tc>
          <w:tcPr>
            <w:tcW w:w="1134" w:type="dxa"/>
            <w:tcBorders>
              <w:top w:val="nil"/>
              <w:left w:val="nil"/>
              <w:bottom w:val="single" w:sz="8" w:space="0" w:color="auto"/>
              <w:right w:val="single" w:sz="8" w:space="0" w:color="auto"/>
            </w:tcBorders>
            <w:shd w:val="clear" w:color="000000" w:fill="A6A6A6"/>
            <w:noWrap/>
            <w:vAlign w:val="center"/>
            <w:hideMark/>
          </w:tcPr>
          <w:p w:rsidR="00991566" w:rsidRPr="00991566" w:rsidRDefault="00991566" w:rsidP="00991566">
            <w:pPr>
              <w:spacing w:after="0" w:line="240" w:lineRule="auto"/>
              <w:jc w:val="right"/>
              <w:rPr>
                <w:rFonts w:ascii="Arial Narrow" w:eastAsia="Times New Roman" w:hAnsi="Arial Narrow" w:cs="Arial"/>
                <w:b/>
                <w:bCs/>
                <w:color w:val="000000"/>
                <w:sz w:val="20"/>
                <w:szCs w:val="20"/>
                <w:lang w:eastAsia="sk-SK"/>
              </w:rPr>
            </w:pPr>
            <w:r w:rsidRPr="00991566">
              <w:rPr>
                <w:rFonts w:ascii="Arial Narrow" w:eastAsia="Times New Roman" w:hAnsi="Arial Narrow" w:cs="Arial"/>
                <w:b/>
                <w:bCs/>
                <w:color w:val="000000"/>
                <w:sz w:val="20"/>
                <w:szCs w:val="20"/>
                <w:lang w:eastAsia="sk-SK"/>
              </w:rPr>
              <w:t>595 487 354</w:t>
            </w:r>
          </w:p>
        </w:tc>
      </w:tr>
    </w:tbl>
    <w:p w:rsidR="00376963" w:rsidRPr="00F17EFD" w:rsidRDefault="0044326F" w:rsidP="00E47C9F">
      <w:pPr>
        <w:spacing w:after="0" w:line="240" w:lineRule="auto"/>
        <w:jc w:val="both"/>
        <w:rPr>
          <w:rFonts w:ascii="Times New Roman" w:eastAsia="Times New Roman" w:hAnsi="Times New Roman" w:cs="Times New Roman"/>
          <w:bCs/>
          <w:sz w:val="20"/>
          <w:szCs w:val="24"/>
          <w:lang w:eastAsia="sk-SK"/>
        </w:rPr>
      </w:pPr>
      <w:r w:rsidRPr="00F17EFD">
        <w:rPr>
          <w:rFonts w:ascii="Times New Roman" w:eastAsia="Times New Roman" w:hAnsi="Times New Roman" w:cs="Times New Roman"/>
          <w:bCs/>
          <w:sz w:val="20"/>
          <w:szCs w:val="24"/>
          <w:lang w:eastAsia="sk-SK"/>
        </w:rPr>
        <w:t>* (-) záporné znamienko predstavuje úsporu</w:t>
      </w:r>
    </w:p>
    <w:p w:rsidR="00376963" w:rsidRDefault="00B13819" w:rsidP="00E47C9F">
      <w:pPr>
        <w:spacing w:after="0" w:line="240" w:lineRule="auto"/>
        <w:jc w:val="both"/>
        <w:rPr>
          <w:rFonts w:ascii="Times New Roman" w:eastAsia="Times New Roman" w:hAnsi="Times New Roman" w:cs="Times New Roman"/>
          <w:bCs/>
          <w:sz w:val="20"/>
          <w:szCs w:val="24"/>
          <w:lang w:eastAsia="sk-SK"/>
        </w:rPr>
      </w:pPr>
      <w:r w:rsidRPr="00F17EFD">
        <w:rPr>
          <w:rFonts w:ascii="Times New Roman" w:eastAsia="Times New Roman" w:hAnsi="Times New Roman" w:cs="Times New Roman"/>
          <w:b/>
          <w:bCs/>
          <w:sz w:val="24"/>
          <w:szCs w:val="24"/>
          <w:lang w:eastAsia="sk-SK"/>
        </w:rPr>
        <w:t xml:space="preserve">** </w:t>
      </w:r>
      <w:r w:rsidR="00122FB4" w:rsidRPr="00F17EFD">
        <w:rPr>
          <w:rFonts w:ascii="Times New Roman" w:eastAsia="Times New Roman" w:hAnsi="Times New Roman" w:cs="Times New Roman"/>
          <w:bCs/>
          <w:sz w:val="20"/>
          <w:szCs w:val="24"/>
          <w:lang w:eastAsia="sk-SK"/>
        </w:rPr>
        <w:t xml:space="preserve">Predpokladaný </w:t>
      </w:r>
      <w:r w:rsidR="00DC6AF5">
        <w:rPr>
          <w:rFonts w:ascii="Times New Roman" w:eastAsia="Times New Roman" w:hAnsi="Times New Roman" w:cs="Times New Roman"/>
          <w:bCs/>
          <w:sz w:val="20"/>
          <w:szCs w:val="24"/>
          <w:lang w:eastAsia="sk-SK"/>
        </w:rPr>
        <w:t>vplyv na ŠR je znížený o 290</w:t>
      </w:r>
      <w:r w:rsidR="00122FB4" w:rsidRPr="00F17EFD">
        <w:rPr>
          <w:rFonts w:ascii="Times New Roman" w:eastAsia="Times New Roman" w:hAnsi="Times New Roman" w:cs="Times New Roman"/>
          <w:bCs/>
          <w:sz w:val="20"/>
          <w:szCs w:val="24"/>
          <w:lang w:eastAsia="sk-SK"/>
        </w:rPr>
        <w:t xml:space="preserve"> mil. eur z dôvodu očakávaných nižších výdavkov Sociálnej poisťovne v súvislosti s vyšším počtom úmrtí začiatkom roka 2021 oproti rovnakému obdobiu v predchádzajúcich rokoch.</w:t>
      </w:r>
    </w:p>
    <w:p w:rsidR="00122FB4" w:rsidRDefault="00122FB4" w:rsidP="00E47C9F">
      <w:pPr>
        <w:spacing w:after="0" w:line="240" w:lineRule="auto"/>
        <w:jc w:val="both"/>
        <w:rPr>
          <w:rFonts w:ascii="Times New Roman" w:eastAsia="Times New Roman" w:hAnsi="Times New Roman" w:cs="Times New Roman"/>
          <w:b/>
          <w:bCs/>
          <w:sz w:val="24"/>
          <w:szCs w:val="24"/>
          <w:lang w:eastAsia="sk-SK"/>
        </w:rPr>
      </w:pP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E47C9F" w:rsidRPr="007D5748" w:rsidRDefault="00E47C9F" w:rsidP="00D75B37">
      <w:pPr>
        <w:spacing w:after="0" w:line="259" w:lineRule="auto"/>
        <w:jc w:val="both"/>
        <w:rPr>
          <w:rFonts w:ascii="Times New Roman" w:eastAsia="Times New Roman" w:hAnsi="Times New Roman" w:cs="Times New Roman"/>
          <w:b/>
          <w:bCs/>
          <w:sz w:val="12"/>
          <w:szCs w:val="24"/>
          <w:lang w:eastAsia="sk-SK"/>
        </w:rPr>
      </w:pPr>
    </w:p>
    <w:p w:rsidR="004A26BC" w:rsidRPr="00806408" w:rsidRDefault="004A26BC"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rPr>
      </w:pPr>
      <w:r w:rsidRPr="00806408">
        <w:rPr>
          <w:rFonts w:ascii="Times New Roman" w:hAnsi="Times New Roman" w:cs="Times New Roman"/>
        </w:rPr>
        <w:t>Návrh zákona, ktorým sa mení a dopĺňa zákon č. 461/2003 Z. z. o sociálnom poistení v znení neskorších predpisov</w:t>
      </w:r>
      <w:r w:rsidR="00806408" w:rsidRPr="00806408">
        <w:rPr>
          <w:rFonts w:ascii="Times New Roman" w:hAnsi="Times New Roman" w:cs="Times New Roman"/>
        </w:rPr>
        <w:t xml:space="preserve"> </w:t>
      </w:r>
      <w:r w:rsidR="00806408" w:rsidRPr="00806408">
        <w:rPr>
          <w:rFonts w:ascii="Times New Roman" w:eastAsia="SimSun" w:hAnsi="Times New Roman" w:cs="Times New Roman"/>
          <w:kern w:val="2"/>
          <w:lang w:eastAsia="hi-IN" w:bidi="hi-IN"/>
        </w:rPr>
        <w:t>a ktorým sa menia a dopĺňajú niektoré zákony</w:t>
      </w:r>
      <w:r w:rsidRPr="00E70116">
        <w:rPr>
          <w:rFonts w:ascii="Times New Roman" w:hAnsi="Times New Roman" w:cs="Times New Roman"/>
        </w:rPr>
        <w:t xml:space="preserve"> (ďalej len „návrh zákona“) zakladá v rokoch 2023 a 2024</w:t>
      </w:r>
      <w:r w:rsidRPr="00806408">
        <w:rPr>
          <w:rFonts w:ascii="Times New Roman" w:hAnsi="Times New Roman" w:cs="Times New Roman"/>
        </w:rPr>
        <w:t xml:space="preserve"> negatívny vplyv na rozpočet verejnej správy, ktorý nie je zohľadnený v rozpočte verejnej správy na rok 2021 a rozpočtovom výhľade na roky </w:t>
      </w:r>
      <w:r w:rsidR="005C14B6" w:rsidRPr="00806408">
        <w:rPr>
          <w:rFonts w:ascii="Times New Roman" w:hAnsi="Times New Roman" w:cs="Times New Roman"/>
        </w:rPr>
        <w:t xml:space="preserve">2022 a 2023. Z tohto dôvodu </w:t>
      </w:r>
      <w:r w:rsidR="00806408" w:rsidRPr="00806408">
        <w:rPr>
          <w:rFonts w:ascii="Times New Roman" w:hAnsi="Times New Roman" w:cs="Times New Roman"/>
        </w:rPr>
        <w:t xml:space="preserve"> budú </w:t>
      </w:r>
      <w:r w:rsidRPr="00806408">
        <w:rPr>
          <w:rFonts w:ascii="Times New Roman" w:hAnsi="Times New Roman" w:cs="Times New Roman"/>
        </w:rPr>
        <w:t>vplyv</w:t>
      </w:r>
      <w:r w:rsidR="00806408" w:rsidRPr="00806408">
        <w:rPr>
          <w:rFonts w:ascii="Times New Roman" w:hAnsi="Times New Roman" w:cs="Times New Roman"/>
        </w:rPr>
        <w:t>y</w:t>
      </w:r>
      <w:r w:rsidRPr="00806408">
        <w:rPr>
          <w:rFonts w:ascii="Times New Roman" w:hAnsi="Times New Roman" w:cs="Times New Roman"/>
        </w:rPr>
        <w:t xml:space="preserve"> na rozpočet verejnej správy zapracova</w:t>
      </w:r>
      <w:r w:rsidR="00806408" w:rsidRPr="00806408">
        <w:rPr>
          <w:rFonts w:ascii="Times New Roman" w:hAnsi="Times New Roman" w:cs="Times New Roman"/>
        </w:rPr>
        <w:t>né</w:t>
      </w:r>
      <w:r w:rsidRPr="00806408">
        <w:rPr>
          <w:rFonts w:ascii="Times New Roman" w:hAnsi="Times New Roman" w:cs="Times New Roman"/>
        </w:rPr>
        <w:t xml:space="preserve"> pri príprave rozpočtu verejnej správy na rok 2022 a rozpočtovom výhľade na roky 2023 a 2024. </w:t>
      </w:r>
    </w:p>
    <w:p w:rsidR="00E47C9F" w:rsidRPr="0028361B" w:rsidRDefault="00B8370A"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Z</w:t>
      </w:r>
      <w:r w:rsidR="002E00AC" w:rsidRPr="0028361B">
        <w:rPr>
          <w:rFonts w:ascii="Times New Roman" w:eastAsia="Times New Roman" w:hAnsi="Times New Roman" w:cs="Times New Roman"/>
          <w:bCs/>
          <w:lang w:eastAsia="sk-SK"/>
        </w:rPr>
        <w:t xml:space="preserve">výšenie výdavkov </w:t>
      </w:r>
      <w:r w:rsidR="00053B69">
        <w:rPr>
          <w:rFonts w:ascii="Times New Roman" w:eastAsia="Times New Roman" w:hAnsi="Times New Roman" w:cs="Times New Roman"/>
          <w:bCs/>
          <w:lang w:eastAsia="sk-SK"/>
        </w:rPr>
        <w:t xml:space="preserve">Sociálnej poisťovne </w:t>
      </w:r>
      <w:r w:rsidR="004A26BC" w:rsidRPr="0028361B">
        <w:rPr>
          <w:rFonts w:ascii="Times New Roman" w:eastAsia="Times New Roman" w:hAnsi="Times New Roman" w:cs="Times New Roman"/>
          <w:bCs/>
          <w:lang w:eastAsia="sk-SK"/>
        </w:rPr>
        <w:t>v rokoch 2023 a</w:t>
      </w:r>
      <w:r w:rsidR="00B503B3" w:rsidRPr="0028361B">
        <w:rPr>
          <w:rFonts w:ascii="Times New Roman" w:eastAsia="Times New Roman" w:hAnsi="Times New Roman" w:cs="Times New Roman"/>
          <w:bCs/>
          <w:lang w:eastAsia="sk-SK"/>
        </w:rPr>
        <w:t xml:space="preserve"> </w:t>
      </w:r>
      <w:r w:rsidR="00E47C9F" w:rsidRPr="0028361B">
        <w:rPr>
          <w:rFonts w:ascii="Times New Roman" w:eastAsia="Times New Roman" w:hAnsi="Times New Roman" w:cs="Times New Roman"/>
          <w:bCs/>
          <w:lang w:eastAsia="sk-SK"/>
        </w:rPr>
        <w:t xml:space="preserve">2024 </w:t>
      </w:r>
      <w:r w:rsidR="00A52274" w:rsidRPr="0028361B">
        <w:rPr>
          <w:rFonts w:ascii="Times New Roman" w:eastAsia="Times New Roman" w:hAnsi="Times New Roman" w:cs="Times New Roman"/>
          <w:bCs/>
          <w:lang w:eastAsia="sk-SK"/>
        </w:rPr>
        <w:t>navrhujeme</w:t>
      </w:r>
      <w:r w:rsidR="002E00AC" w:rsidRPr="0028361B">
        <w:rPr>
          <w:rFonts w:ascii="Times New Roman" w:eastAsia="Times New Roman" w:hAnsi="Times New Roman" w:cs="Times New Roman"/>
          <w:bCs/>
          <w:lang w:eastAsia="sk-SK"/>
        </w:rPr>
        <w:t xml:space="preserve"> riešiť navýšením transferu zo štátneho rozpočtu, ktorý slúži na krytie deficitu v základnom </w:t>
      </w:r>
      <w:r w:rsidR="0078327F" w:rsidRPr="0028361B">
        <w:rPr>
          <w:rFonts w:ascii="Times New Roman" w:eastAsia="Times New Roman" w:hAnsi="Times New Roman" w:cs="Times New Roman"/>
          <w:bCs/>
          <w:lang w:eastAsia="sk-SK"/>
        </w:rPr>
        <w:t xml:space="preserve">fonde starobného poistenia. </w:t>
      </w:r>
      <w:r w:rsidR="00B05D79">
        <w:rPr>
          <w:rFonts w:ascii="Times New Roman" w:eastAsia="Times New Roman" w:hAnsi="Times New Roman" w:cs="Times New Roman"/>
          <w:bCs/>
          <w:lang w:eastAsia="sk-SK"/>
        </w:rPr>
        <w:t xml:space="preserve">Negatívny finančný vplyv na obce a VÚC navrhujeme riešiť efektívnejším výberom dane z príjmu fyzických osôb. </w:t>
      </w:r>
    </w:p>
    <w:p w:rsidR="00E47C9F" w:rsidRDefault="00E47C9F" w:rsidP="00D75B37">
      <w:pPr>
        <w:spacing w:after="0" w:line="259" w:lineRule="auto"/>
        <w:rPr>
          <w:rFonts w:ascii="Times New Roman" w:eastAsia="Times New Roman" w:hAnsi="Times New Roman" w:cs="Times New Roman"/>
          <w:b/>
          <w:bCs/>
          <w:sz w:val="24"/>
          <w:szCs w:val="24"/>
          <w:lang w:eastAsia="sk-SK"/>
        </w:rPr>
      </w:pPr>
    </w:p>
    <w:p w:rsidR="00E47C9F" w:rsidRPr="007D5748" w:rsidRDefault="00E47C9F" w:rsidP="00D75B37">
      <w:pPr>
        <w:spacing w:after="0" w:line="259"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E47C9F" w:rsidRPr="007D5748" w:rsidRDefault="00E47C9F" w:rsidP="00D75B37">
      <w:pPr>
        <w:spacing w:after="0" w:line="259" w:lineRule="auto"/>
        <w:rPr>
          <w:rFonts w:ascii="Times New Roman" w:eastAsia="Times New Roman" w:hAnsi="Times New Roman" w:cs="Times New Roman"/>
          <w:sz w:val="24"/>
          <w:szCs w:val="24"/>
          <w:lang w:eastAsia="sk-SK"/>
        </w:rPr>
      </w:pP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p>
    <w:p w:rsidR="002E00AC" w:rsidRPr="00B94369" w:rsidRDefault="002E00AC" w:rsidP="001E6E4A">
      <w:pPr>
        <w:spacing w:line="264" w:lineRule="auto"/>
        <w:ind w:firstLine="708"/>
        <w:jc w:val="both"/>
        <w:rPr>
          <w:rFonts w:ascii="Times New Roman" w:hAnsi="Times New Roman" w:cs="Times New Roman"/>
        </w:rPr>
      </w:pPr>
      <w:r w:rsidRPr="00B94369">
        <w:rPr>
          <w:rFonts w:ascii="Times New Roman" w:hAnsi="Times New Roman" w:cs="Times New Roman"/>
        </w:rPr>
        <w:t xml:space="preserve">Návrh zákona, je vypracovaný na základe ústavných garancií vyplývajúcich z novelizovaného čl. 39 ústavného zákona č. 460/1992 Zb. Ústava Slovenskej republiky v znení ústavného zákona č. 422/2020 Z. z. (ďalej len „Ústava SR“), záväzkov vlády SR v oblasti sociálneho poistenia vyplývajúcich z Programového vyhlásenia vlády SR na roky 2021-2024, Plánu obnovy a odolnosti Slovenskej republiky a z potreby vysporiadania sa s niektorými problémami v oblasti sociálneho poistenia vyplývajúcimi z aplikačnej praxe. </w:t>
      </w:r>
    </w:p>
    <w:p w:rsidR="00302EFD" w:rsidRPr="00B94369" w:rsidRDefault="002E00AC" w:rsidP="001E6E4A">
      <w:pPr>
        <w:spacing w:line="264" w:lineRule="auto"/>
        <w:ind w:firstLine="708"/>
        <w:jc w:val="both"/>
        <w:rPr>
          <w:rFonts w:ascii="Times New Roman" w:hAnsi="Times New Roman" w:cs="Times New Roman"/>
        </w:rPr>
      </w:pPr>
      <w:r w:rsidRPr="00B94369">
        <w:rPr>
          <w:rFonts w:ascii="Times New Roman" w:eastAsia="Times New Roman" w:hAnsi="Times New Roman" w:cs="Times New Roman"/>
          <w:bCs/>
          <w:color w:val="000000"/>
          <w:lang w:eastAsia="sk-SK"/>
        </w:rPr>
        <w:t xml:space="preserve">Hlavným účelom návrhu zákona je zabezpečiť spôsob a formu vykonávania a realizácie ústavných garancií obsiahnutých </w:t>
      </w:r>
      <w:r w:rsidRPr="00B94369">
        <w:rPr>
          <w:rFonts w:ascii="Times New Roman" w:hAnsi="Times New Roman" w:cs="Times New Roman"/>
        </w:rPr>
        <w:t xml:space="preserve">v čl. </w:t>
      </w:r>
      <w:r w:rsidRPr="00B94369">
        <w:rPr>
          <w:rFonts w:ascii="Times New Roman" w:eastAsia="Times New Roman" w:hAnsi="Times New Roman" w:cs="Times New Roman"/>
          <w:bCs/>
          <w:color w:val="000000"/>
          <w:lang w:eastAsia="sk-SK"/>
        </w:rPr>
        <w:t>39 ods. 3 až 5 Ústavy SR s účinnosťou od 1. januára 2023 vo vykonávacom predpise, ktorým je zákon č. 461/2003 Z. z. o sociálnom poistení v znení neskorších predpisov (ďalej len „zákon o sociálnom poistení“), ktoré s</w:t>
      </w:r>
      <w:r w:rsidRPr="00B94369">
        <w:rPr>
          <w:rFonts w:ascii="Times New Roman" w:hAnsi="Times New Roman" w:cs="Times New Roman"/>
        </w:rPr>
        <w:t>účasný právny stav nezohľadňuje.</w:t>
      </w:r>
    </w:p>
    <w:p w:rsidR="002E00AC" w:rsidRPr="00B94369" w:rsidRDefault="002E00AC" w:rsidP="001E6E4A">
      <w:pPr>
        <w:spacing w:line="264" w:lineRule="auto"/>
        <w:jc w:val="both"/>
        <w:rPr>
          <w:rFonts w:ascii="Times New Roman" w:eastAsia="Times New Roman" w:hAnsi="Times New Roman" w:cs="Times New Roman"/>
          <w:sz w:val="24"/>
          <w:szCs w:val="24"/>
          <w:lang w:eastAsia="sk-SK"/>
        </w:rPr>
      </w:pPr>
      <w:r w:rsidRPr="00B94369">
        <w:rPr>
          <w:rFonts w:ascii="Times New Roman" w:hAnsi="Times New Roman" w:cs="Times New Roman"/>
        </w:rPr>
        <w:t>Ústavné garancie, ktoré reflektuje návrh zákona:</w:t>
      </w:r>
    </w:p>
    <w:p w:rsidR="002E00AC" w:rsidRDefault="002E00AC" w:rsidP="001E6E4A">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rPr>
        <w:t xml:space="preserve">V súvislosti s vypustením tzv. „dôchodkového stropu“ z Ústavy SR a záväzkami vyplývajúcimi z návrhu Plánu obnovy a odolnosti Slovenskej republiky sa navrhuje </w:t>
      </w:r>
      <w:r w:rsidRPr="00B94369">
        <w:rPr>
          <w:rFonts w:ascii="Times New Roman" w:hAnsi="Times New Roman" w:cs="Times New Roman"/>
          <w:bCs/>
        </w:rPr>
        <w:t>obnovenie väzby dôchodkového veku na rast strednej dĺžky života. Uvedené sa navrhuje s cieľom zlepšiť finančnú udržateľnosť priebežne financovaného I. piliera dôchodkového systému a stabilizovať výplatnú fázu dôchodkov.</w:t>
      </w:r>
      <w:r w:rsidR="000B5C0D" w:rsidRPr="00B94369">
        <w:rPr>
          <w:rFonts w:ascii="Times New Roman" w:hAnsi="Times New Roman" w:cs="Times New Roman"/>
          <w:bCs/>
        </w:rPr>
        <w:t xml:space="preserve"> </w:t>
      </w:r>
    </w:p>
    <w:p w:rsidR="00EF7B49" w:rsidRPr="00B94369" w:rsidRDefault="00EF7B49" w:rsidP="001E6E4A">
      <w:pPr>
        <w:pStyle w:val="Odsekzoznamu"/>
        <w:spacing w:line="264" w:lineRule="auto"/>
        <w:jc w:val="both"/>
        <w:rPr>
          <w:rFonts w:ascii="Times New Roman" w:hAnsi="Times New Roman" w:cs="Times New Roman"/>
          <w:bCs/>
        </w:rPr>
      </w:pPr>
    </w:p>
    <w:p w:rsidR="002E00AC" w:rsidRPr="00EF7B49" w:rsidRDefault="00B82D38" w:rsidP="001E6E4A">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bCs/>
        </w:rPr>
        <w:t xml:space="preserve">Garancia odchodu do dôchodku za stanovený počet odpracovaných rokov, t. j. aby osobe, ktorá </w:t>
      </w:r>
      <w:r w:rsidRPr="00B94369">
        <w:rPr>
          <w:rFonts w:ascii="Times New Roman" w:hAnsi="Times New Roman" w:cs="Times New Roman"/>
        </w:rPr>
        <w:t>dosiahla ustanovený počet odpracovaných rokov, vznikol nárok na primerané hmotné zabezpečenie v starobe.</w:t>
      </w:r>
      <w:r w:rsidR="000B5C0D" w:rsidRPr="00B94369">
        <w:rPr>
          <w:rFonts w:ascii="Times New Roman" w:hAnsi="Times New Roman" w:cs="Times New Roman"/>
        </w:rPr>
        <w:t xml:space="preserve"> Účinnosť uvedeného opatrenia sa navrhuje od 1. januára 2023.</w:t>
      </w:r>
    </w:p>
    <w:p w:rsidR="00EF7B49" w:rsidRPr="00B94369" w:rsidRDefault="00EF7B49" w:rsidP="001E6E4A">
      <w:pPr>
        <w:pStyle w:val="Odsekzoznamu"/>
        <w:spacing w:line="264" w:lineRule="auto"/>
        <w:jc w:val="both"/>
        <w:rPr>
          <w:rFonts w:ascii="Times New Roman" w:hAnsi="Times New Roman" w:cs="Times New Roman"/>
          <w:bCs/>
        </w:rPr>
      </w:pPr>
    </w:p>
    <w:p w:rsidR="0078327F" w:rsidRPr="00B94369" w:rsidRDefault="0078327F" w:rsidP="001E6E4A">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rPr>
        <w:t xml:space="preserve">Právo rozhodnúť sa, že časť uhradenej dane alebo časť uhradenej platby spojenej s účasťou na systéme primeraného hmotného zabezpečenia v starobe bude poskytnutá osobe, ktorá ho vychovala a ktorej je poskytované hmotné zabezpečenie v starobe. V zmysle aktuálne účinnej právnej úpravy platenia poistného nie je možné, aby časť </w:t>
      </w:r>
      <w:r w:rsidRPr="00B94369">
        <w:rPr>
          <w:rFonts w:ascii="Times New Roman" w:hAnsi="Times New Roman" w:cs="Times New Roman"/>
        </w:rPr>
        <w:lastRenderedPageBreak/>
        <w:t>uhradenej platby spojenej s účasťou na systéme primeraného hmotného zabezpečenia v starobe poistenec poskytoval osobe, ktorá ho vychovala a ktorej je poskytované hmotné zabezpečenie v starobe (asignácia odvodov).</w:t>
      </w:r>
      <w:r w:rsidRPr="00B94369" w:rsidDel="00D13E21">
        <w:rPr>
          <w:rFonts w:ascii="Times New Roman" w:hAnsi="Times New Roman" w:cs="Times New Roman"/>
        </w:rPr>
        <w:t xml:space="preserve"> </w:t>
      </w:r>
      <w:r w:rsidRPr="00B94369">
        <w:rPr>
          <w:rFonts w:ascii="Times New Roman" w:hAnsi="Times New Roman" w:cs="Times New Roman"/>
        </w:rPr>
        <w:t xml:space="preserve">V zmysle uvedeného sa navrhuje zaviesť tzv. rodičovský dôchodok, ktorý by uvedené zohľadňoval. </w:t>
      </w:r>
      <w:r w:rsidR="000B5C0D" w:rsidRPr="00B94369">
        <w:rPr>
          <w:rFonts w:ascii="Times New Roman" w:hAnsi="Times New Roman" w:cs="Times New Roman"/>
        </w:rPr>
        <w:t>Účinnosť uvedeného opatrenia sa navrhuje od 1. januára 2023.</w:t>
      </w:r>
    </w:p>
    <w:p w:rsidR="00B82D38" w:rsidRPr="00B94369" w:rsidRDefault="00266FB9" w:rsidP="001E6E4A">
      <w:pPr>
        <w:spacing w:line="264" w:lineRule="auto"/>
        <w:jc w:val="both"/>
        <w:rPr>
          <w:rFonts w:ascii="Times New Roman" w:hAnsi="Times New Roman" w:cs="Times New Roman"/>
          <w:bCs/>
        </w:rPr>
      </w:pPr>
      <w:r w:rsidRPr="002D3862">
        <w:rPr>
          <w:rFonts w:ascii="Times New Roman" w:hAnsi="Times New Roman" w:cs="Times New Roman"/>
        </w:rPr>
        <w:t>Účelom</w:t>
      </w:r>
      <w:r>
        <w:rPr>
          <w:rFonts w:ascii="Times New Roman" w:hAnsi="Times New Roman" w:cs="Times New Roman"/>
        </w:rPr>
        <w:t xml:space="preserve"> </w:t>
      </w:r>
      <w:r w:rsidRPr="002D3862">
        <w:rPr>
          <w:rFonts w:ascii="Times New Roman" w:hAnsi="Times New Roman" w:cs="Times New Roman"/>
        </w:rPr>
        <w:t>návrhu zákona</w:t>
      </w:r>
      <w:r w:rsidRPr="00022AD6">
        <w:rPr>
          <w:rFonts w:ascii="Times New Roman" w:hAnsi="Times New Roman" w:cs="Times New Roman"/>
        </w:rPr>
        <w:t xml:space="preserve"> je</w:t>
      </w:r>
      <w:r>
        <w:rPr>
          <w:rFonts w:ascii="Times New Roman" w:hAnsi="Times New Roman" w:cs="Times New Roman"/>
        </w:rPr>
        <w:t xml:space="preserve"> tiež</w:t>
      </w:r>
      <w:r w:rsidRPr="00022AD6">
        <w:rPr>
          <w:rFonts w:ascii="Times New Roman" w:hAnsi="Times New Roman" w:cs="Times New Roman"/>
        </w:rPr>
        <w:t xml:space="preserve"> potreba zavedenia súboru opatrení, ktorých cieľom je vysporiadať sa s niektorými problémami v oblasti dôchodkového poistenia,</w:t>
      </w:r>
      <w:r>
        <w:rPr>
          <w:rFonts w:ascii="Times New Roman" w:hAnsi="Times New Roman" w:cs="Times New Roman"/>
        </w:rPr>
        <w:t xml:space="preserve"> </w:t>
      </w:r>
      <w:r w:rsidRPr="00022AD6">
        <w:rPr>
          <w:rFonts w:ascii="Times New Roman" w:hAnsi="Times New Roman" w:cs="Times New Roman"/>
        </w:rPr>
        <w:t>nemocenského poistenia a poistenia v nezamestnanosti vy</w:t>
      </w:r>
      <w:r>
        <w:rPr>
          <w:rFonts w:ascii="Times New Roman" w:hAnsi="Times New Roman" w:cs="Times New Roman"/>
        </w:rPr>
        <w:t xml:space="preserve">plývajúcich z aplikačnej praxe. </w:t>
      </w:r>
      <w:r w:rsidR="0078327F" w:rsidRPr="00B94369">
        <w:rPr>
          <w:rFonts w:ascii="Times New Roman" w:hAnsi="Times New Roman" w:cs="Times New Roman"/>
          <w:bCs/>
        </w:rPr>
        <w:t>Ďalšie legislatívne opatrenia, ktoré reflektuje návrh zákona a zaklad</w:t>
      </w:r>
      <w:r w:rsidR="00B74017">
        <w:rPr>
          <w:rFonts w:ascii="Times New Roman" w:hAnsi="Times New Roman" w:cs="Times New Roman"/>
          <w:bCs/>
        </w:rPr>
        <w:t>aj</w:t>
      </w:r>
      <w:r w:rsidR="0078327F" w:rsidRPr="00B94369">
        <w:rPr>
          <w:rFonts w:ascii="Times New Roman" w:hAnsi="Times New Roman" w:cs="Times New Roman"/>
          <w:bCs/>
        </w:rPr>
        <w:t>ú vplyvy na rozpočet verejnej správy:</w:t>
      </w:r>
    </w:p>
    <w:p w:rsidR="009D6224" w:rsidRPr="00B94369" w:rsidRDefault="009D6224" w:rsidP="001E6E4A">
      <w:pPr>
        <w:pStyle w:val="Odsekzoznamu"/>
        <w:numPr>
          <w:ilvl w:val="0"/>
          <w:numId w:val="14"/>
        </w:numPr>
        <w:spacing w:line="264" w:lineRule="auto"/>
        <w:jc w:val="both"/>
        <w:rPr>
          <w:rFonts w:ascii="Times New Roman" w:hAnsi="Times New Roman" w:cs="Times New Roman"/>
        </w:rPr>
      </w:pPr>
      <w:r w:rsidRPr="00B94369">
        <w:rPr>
          <w:rFonts w:ascii="Times New Roman" w:hAnsi="Times New Roman" w:cs="Times New Roman"/>
        </w:rPr>
        <w:t>V oblasti nemocenského poistenia sa navrhuje zavedenie elektronické</w:t>
      </w:r>
      <w:r w:rsidR="00325FF7">
        <w:rPr>
          <w:rFonts w:ascii="Times New Roman" w:hAnsi="Times New Roman" w:cs="Times New Roman"/>
        </w:rPr>
        <w:t>ho</w:t>
      </w:r>
      <w:r w:rsidRPr="00B94369">
        <w:rPr>
          <w:rFonts w:ascii="Times New Roman" w:hAnsi="Times New Roman" w:cs="Times New Roman"/>
        </w:rPr>
        <w:t xml:space="preserve"> </w:t>
      </w:r>
      <w:r w:rsidR="00325FF7" w:rsidRPr="00B94369">
        <w:rPr>
          <w:rFonts w:ascii="Times New Roman" w:hAnsi="Times New Roman" w:cs="Times New Roman"/>
        </w:rPr>
        <w:t>potvrdzovani</w:t>
      </w:r>
      <w:r w:rsidR="00325FF7">
        <w:rPr>
          <w:rFonts w:ascii="Times New Roman" w:hAnsi="Times New Roman" w:cs="Times New Roman"/>
        </w:rPr>
        <w:t>a</w:t>
      </w:r>
      <w:r w:rsidR="00325FF7" w:rsidRPr="00B94369">
        <w:rPr>
          <w:rFonts w:ascii="Times New Roman" w:hAnsi="Times New Roman" w:cs="Times New Roman"/>
        </w:rPr>
        <w:t xml:space="preserve"> </w:t>
      </w:r>
      <w:r w:rsidRPr="00B94369">
        <w:rPr>
          <w:rFonts w:ascii="Times New Roman" w:hAnsi="Times New Roman" w:cs="Times New Roman"/>
        </w:rPr>
        <w:t xml:space="preserve">dočasnej pracovnej neschopnosti (ďalej len „DPN“), ktoré významne zníži administratívne zaťaženie poistencov, poskytovateľov zdravotnej starostlivosti, zamestnávateľov ako aj Sociálnej poisťovne. Celý proces od potvrdzovania DPN až po ukončenie DPN a komunikačný tok medzi zainteresovanými subjektmi má byť v čo najväčšej možnej miere realizovaný elektronickým spôsobom, teda nahradí momentálne používané 5-dielne tlačivo - Potvrdenie o DPN. </w:t>
      </w:r>
      <w:r w:rsidR="000B5C0D" w:rsidRPr="00B94369">
        <w:rPr>
          <w:rFonts w:ascii="Times New Roman" w:hAnsi="Times New Roman" w:cs="Times New Roman"/>
        </w:rPr>
        <w:t>Účinnosť uvedeného opatrenia sa navrhuje od 1. januára 2022.</w:t>
      </w:r>
    </w:p>
    <w:p w:rsidR="009D6224" w:rsidRPr="00B94369" w:rsidRDefault="009D6224" w:rsidP="001E6E4A">
      <w:pPr>
        <w:pStyle w:val="Odsekzoznamu"/>
        <w:spacing w:line="264" w:lineRule="auto"/>
        <w:jc w:val="both"/>
        <w:rPr>
          <w:rFonts w:ascii="Times New Roman" w:hAnsi="Times New Roman" w:cs="Times New Roman"/>
        </w:rPr>
      </w:pPr>
    </w:p>
    <w:p w:rsidR="009D6224" w:rsidRPr="00B94369" w:rsidRDefault="009D6224" w:rsidP="001E6E4A">
      <w:pPr>
        <w:pStyle w:val="Odsekzoznamu"/>
        <w:numPr>
          <w:ilvl w:val="0"/>
          <w:numId w:val="14"/>
        </w:numPr>
        <w:spacing w:after="0" w:line="264" w:lineRule="auto"/>
        <w:jc w:val="both"/>
        <w:rPr>
          <w:rFonts w:ascii="Times New Roman" w:hAnsi="Times New Roman" w:cs="Times New Roman"/>
        </w:rPr>
      </w:pPr>
      <w:r w:rsidRPr="00B94369">
        <w:rPr>
          <w:rFonts w:ascii="Times New Roman" w:hAnsi="Times New Roman" w:cs="Times New Roman"/>
        </w:rPr>
        <w:t>Navrhuje sa zosúladenie ustanovenia zákona o sociálnom poistení s judikatúrou Najvyššieho súdu SR, vo veci posudzovania nároku na čiastkový starobný dôchodok poistencov, ktorí získali obdobie výkonu služby policajta a vojaka (ďalej len „obdobie služby“) v rozsahu zakladajúcom nárok na výsluhový dôchodok a ktor</w:t>
      </w:r>
      <w:r w:rsidR="00BE3092">
        <w:rPr>
          <w:rFonts w:ascii="Times New Roman" w:hAnsi="Times New Roman" w:cs="Times New Roman"/>
        </w:rPr>
        <w:t>í</w:t>
      </w:r>
      <w:r w:rsidRPr="00B94369">
        <w:rPr>
          <w:rFonts w:ascii="Times New Roman" w:hAnsi="Times New Roman" w:cs="Times New Roman"/>
        </w:rPr>
        <w:t xml:space="preserve"> súčasne získal</w:t>
      </w:r>
      <w:r w:rsidR="00BE3092">
        <w:rPr>
          <w:rFonts w:ascii="Times New Roman" w:hAnsi="Times New Roman" w:cs="Times New Roman"/>
        </w:rPr>
        <w:t>i</w:t>
      </w:r>
      <w:r w:rsidRPr="00B94369">
        <w:rPr>
          <w:rFonts w:ascii="Times New Roman" w:hAnsi="Times New Roman" w:cs="Times New Roman"/>
        </w:rPr>
        <w:t xml:space="preserve"> obdobie dôchodkového poistenia vo všeobecnom systéme sociálneho poistenia v dĺžke kratšej ako 10, resp. 15 rokov. </w:t>
      </w:r>
      <w:r w:rsidR="000B5C0D" w:rsidRPr="00B94369">
        <w:rPr>
          <w:rFonts w:ascii="Times New Roman" w:hAnsi="Times New Roman" w:cs="Times New Roman"/>
        </w:rPr>
        <w:t>Účinnosť uvedeného opatrenia sa navrhuje od 1. januára 2022.</w:t>
      </w:r>
    </w:p>
    <w:p w:rsidR="000B5C0D" w:rsidRPr="00B94369" w:rsidRDefault="000B5C0D" w:rsidP="001E6E4A">
      <w:pPr>
        <w:spacing w:after="0" w:line="264" w:lineRule="auto"/>
        <w:jc w:val="both"/>
        <w:rPr>
          <w:rFonts w:ascii="Times New Roman" w:hAnsi="Times New Roman" w:cs="Times New Roman"/>
        </w:rPr>
      </w:pPr>
    </w:p>
    <w:p w:rsidR="00FB6734" w:rsidRPr="00B94369" w:rsidRDefault="009D6224" w:rsidP="001E6E4A">
      <w:pPr>
        <w:pStyle w:val="Odsekzoznamu"/>
        <w:numPr>
          <w:ilvl w:val="0"/>
          <w:numId w:val="14"/>
        </w:numPr>
        <w:spacing w:after="0" w:line="264" w:lineRule="auto"/>
        <w:jc w:val="both"/>
        <w:rPr>
          <w:rFonts w:ascii="Times New Roman" w:hAnsi="Times New Roman" w:cs="Times New Roman"/>
        </w:rPr>
      </w:pPr>
      <w:r w:rsidRPr="00B94369">
        <w:rPr>
          <w:rFonts w:ascii="Times New Roman" w:hAnsi="Times New Roman" w:cs="Times New Roman"/>
        </w:rPr>
        <w:t xml:space="preserve">Súčasná právna úprava týkajúca sa tzv. československých dôchodkov upravuje osobitné určenie sumy starobného dôchodku, predčasného starobného dôchodku a invalidného dôchodku poistencov pre poistencov, ktorí sú poberateľmi jednej z uvedených dôchodkových dávok podľa predpisov Slovenskej republiky a ktorí získali pred 1. januárom 1993 československé obdobie dôchodkového poistenia, ktoré sa hodnotí ako „česká“ doba poistenia, ak im za toto obdobie vznikol nárok na starobný alebo invalidný dôchodok podľa predpisov Českej republiky. V praxi sa však už dlhodobo stretáme s poistencami, ktorým za „českú“ dobu poistenia nárok na starobný alebo invalidný dôchodok podľa predpisov Českej republiky nevznikol a toto obdobie sa im nezhodnocuje na nárok na dôchodok ani podľa predpisov Slovenskej republiky. Vzhľadom na  skutočnosť, že ide o obdobie dôchodkového poistenia získané za existencie spoločného štátu,  ako aj s cieľom zabezpečiť rovnosť s osobami, ktorým sa československá dobu poistenia hodnotí ako „slovenská“ doba poistenia, </w:t>
      </w:r>
      <w:r w:rsidRPr="00B94369">
        <w:rPr>
          <w:rFonts w:ascii="Times New Roman" w:eastAsia="Times New Roman" w:hAnsi="Times New Roman" w:cs="Times New Roman"/>
          <w:kern w:val="3"/>
          <w:lang w:eastAsia="sk-SK"/>
        </w:rPr>
        <w:t xml:space="preserve">Slovenská </w:t>
      </w:r>
      <w:r w:rsidRPr="00B94369">
        <w:rPr>
          <w:rFonts w:ascii="Times New Roman" w:hAnsi="Times New Roman" w:cs="Times New Roman"/>
          <w:kern w:val="3"/>
        </w:rPr>
        <w:t xml:space="preserve">republika </w:t>
      </w:r>
      <w:r w:rsidRPr="00B94369">
        <w:rPr>
          <w:rFonts w:ascii="Times New Roman" w:eastAsia="Times New Roman" w:hAnsi="Times New Roman" w:cs="Times New Roman"/>
          <w:kern w:val="3"/>
          <w:lang w:eastAsia="sk-SK"/>
        </w:rPr>
        <w:t xml:space="preserve">na seba dobrovoľne preberie záväzky Českej republiky </w:t>
      </w:r>
      <w:r w:rsidRPr="00B94369">
        <w:rPr>
          <w:rFonts w:ascii="Times New Roman" w:hAnsi="Times New Roman" w:cs="Times New Roman"/>
          <w:kern w:val="3"/>
        </w:rPr>
        <w:t>a toto obdobie zhodnotí.</w:t>
      </w:r>
      <w:r w:rsidR="000B5C0D" w:rsidRPr="00B94369">
        <w:rPr>
          <w:rFonts w:ascii="Times New Roman" w:hAnsi="Times New Roman" w:cs="Times New Roman"/>
          <w:kern w:val="3"/>
        </w:rPr>
        <w:t xml:space="preserve"> </w:t>
      </w:r>
      <w:r w:rsidR="000B5C0D" w:rsidRPr="00B94369">
        <w:rPr>
          <w:rFonts w:ascii="Times New Roman" w:hAnsi="Times New Roman" w:cs="Times New Roman"/>
        </w:rPr>
        <w:t>Účinnosť uvedeného opatrenia sa navrhuje od 1. januára 202</w:t>
      </w:r>
      <w:r w:rsidR="00F70C8A">
        <w:rPr>
          <w:rFonts w:ascii="Times New Roman" w:hAnsi="Times New Roman" w:cs="Times New Roman"/>
        </w:rPr>
        <w:t>3</w:t>
      </w:r>
      <w:r w:rsidR="000B5C0D" w:rsidRPr="00B94369">
        <w:rPr>
          <w:rFonts w:ascii="Times New Roman" w:hAnsi="Times New Roman" w:cs="Times New Roman"/>
        </w:rPr>
        <w:t>.</w:t>
      </w:r>
    </w:p>
    <w:p w:rsidR="000B5C0D" w:rsidRPr="00B94369" w:rsidRDefault="000B5C0D" w:rsidP="001E6E4A">
      <w:pPr>
        <w:pStyle w:val="Odsekzoznamu"/>
        <w:spacing w:after="0" w:line="264" w:lineRule="auto"/>
        <w:jc w:val="both"/>
        <w:rPr>
          <w:rFonts w:ascii="Times New Roman" w:hAnsi="Times New Roman" w:cs="Times New Roman"/>
        </w:rPr>
      </w:pPr>
    </w:p>
    <w:p w:rsidR="000B5C0D" w:rsidRPr="00B94369" w:rsidRDefault="00FB6734" w:rsidP="001E6E4A">
      <w:pPr>
        <w:pStyle w:val="Odsekzoznamu"/>
        <w:numPr>
          <w:ilvl w:val="0"/>
          <w:numId w:val="14"/>
        </w:numPr>
        <w:spacing w:after="0" w:line="264" w:lineRule="auto"/>
        <w:jc w:val="both"/>
        <w:rPr>
          <w:rFonts w:ascii="Times New Roman" w:hAnsi="Times New Roman" w:cs="Times New Roman"/>
          <w:kern w:val="3"/>
        </w:rPr>
      </w:pPr>
      <w:r w:rsidRPr="00B94369">
        <w:rPr>
          <w:rFonts w:ascii="Times New Roman" w:hAnsi="Times New Roman" w:cs="Times New Roman"/>
        </w:rPr>
        <w:t>Navrhuje sa zrušenie ročného zúčtovania v sociálnom poistení (ďalej len „ročné zúčtovanie“) a premietnutie tohto zrušenia na iné súvisiace ustanovenia zákona o sociálnom poistení. Ročné zúčtovanie sa ruší v súvislosti s pripravovanou daňovo-odvodovou reformou podľa Programového vyhlásenia vlády SR na obdobie rokov 2021 - 2024.</w:t>
      </w:r>
      <w:r w:rsidR="000B5C0D" w:rsidRPr="00B94369">
        <w:rPr>
          <w:rFonts w:ascii="Times New Roman" w:hAnsi="Times New Roman" w:cs="Times New Roman"/>
        </w:rPr>
        <w:t xml:space="preserve"> </w:t>
      </w:r>
    </w:p>
    <w:p w:rsidR="000B5C0D" w:rsidRPr="00B94369" w:rsidRDefault="000B5C0D" w:rsidP="001E6E4A">
      <w:pPr>
        <w:spacing w:after="0" w:line="264" w:lineRule="auto"/>
        <w:jc w:val="both"/>
        <w:rPr>
          <w:rFonts w:ascii="Times New Roman" w:hAnsi="Times New Roman" w:cs="Times New Roman"/>
          <w:kern w:val="3"/>
        </w:rPr>
      </w:pPr>
    </w:p>
    <w:p w:rsidR="00FB6734" w:rsidRPr="00B94369" w:rsidRDefault="00FB6734" w:rsidP="001E6E4A">
      <w:pPr>
        <w:pStyle w:val="Odsekzoznamu"/>
        <w:numPr>
          <w:ilvl w:val="0"/>
          <w:numId w:val="14"/>
        </w:numPr>
        <w:spacing w:line="264" w:lineRule="auto"/>
        <w:jc w:val="both"/>
        <w:rPr>
          <w:rFonts w:ascii="Times New Roman" w:hAnsi="Times New Roman" w:cs="Times New Roman"/>
        </w:rPr>
      </w:pPr>
      <w:r w:rsidRPr="00B94369">
        <w:rPr>
          <w:rFonts w:ascii="Times New Roman" w:hAnsi="Times New Roman" w:cs="Times New Roman"/>
          <w:kern w:val="3"/>
        </w:rPr>
        <w:lastRenderedPageBreak/>
        <w:t>Navrhuje sa zvýšenie odvodovej odpočítateľnej položky pre študentov a dôchodcov pracujúcich na dohodu zo súčasných 200 eur na 300 eur.</w:t>
      </w:r>
      <w:r w:rsidR="000B5C0D" w:rsidRPr="00B94369">
        <w:rPr>
          <w:rFonts w:ascii="Times New Roman" w:hAnsi="Times New Roman" w:cs="Times New Roman"/>
          <w:kern w:val="3"/>
        </w:rPr>
        <w:t xml:space="preserve"> </w:t>
      </w:r>
      <w:r w:rsidR="000B5C0D" w:rsidRPr="00B94369">
        <w:rPr>
          <w:rFonts w:ascii="Times New Roman" w:hAnsi="Times New Roman" w:cs="Times New Roman"/>
        </w:rPr>
        <w:t>Účinnosť uvedeného opatrenia sa navrhuje od 1. januára 2023.</w:t>
      </w:r>
    </w:p>
    <w:p w:rsidR="009D6224" w:rsidRPr="00B94369" w:rsidRDefault="009D6224" w:rsidP="001E6E4A">
      <w:pPr>
        <w:pStyle w:val="Odsekzoznamu"/>
        <w:spacing w:after="0" w:line="264" w:lineRule="auto"/>
        <w:jc w:val="both"/>
        <w:rPr>
          <w:rFonts w:ascii="Times New Roman" w:hAnsi="Times New Roman" w:cs="Times New Roman"/>
          <w:kern w:val="3"/>
        </w:rPr>
      </w:pPr>
    </w:p>
    <w:p w:rsidR="00BF2F7A" w:rsidRPr="00B94369" w:rsidRDefault="009D6224" w:rsidP="001E6E4A">
      <w:pPr>
        <w:pStyle w:val="Odsekzoznamu"/>
        <w:numPr>
          <w:ilvl w:val="0"/>
          <w:numId w:val="14"/>
        </w:numPr>
        <w:spacing w:line="264" w:lineRule="auto"/>
        <w:jc w:val="both"/>
        <w:rPr>
          <w:rFonts w:ascii="Times New Roman" w:hAnsi="Times New Roman" w:cs="Times New Roman"/>
        </w:rPr>
      </w:pPr>
      <w:r w:rsidRPr="00B94369">
        <w:rPr>
          <w:rFonts w:ascii="Times New Roman" w:hAnsi="Times New Roman" w:cs="Times New Roman"/>
        </w:rPr>
        <w:t>Reflektujúc záväzok vlády SR, ktorá sa v Programovom vyhlásení vlády SR na roky 2021-2024 zaviazala predĺžiť ochrannú lehotu pri otehotnení po strate zamestnania na 6 mesiacov a ochrannú lehotu pre ženy, ktorým zaniklo nemocenské poistenie (stratili prácu), ak porodia do 14 mesiacov od zániku nemocenského poistenia, sa navrhuje naplniť uvedený záväzok predlžením ochrannej lehoty pre ženy, ktoré otehotnejú do šiestich mesiacov od zániku nemocenského poistenia.</w:t>
      </w:r>
      <w:r w:rsidR="000B5C0D" w:rsidRPr="00B94369">
        <w:rPr>
          <w:rFonts w:ascii="Times New Roman" w:hAnsi="Times New Roman" w:cs="Times New Roman"/>
        </w:rPr>
        <w:t xml:space="preserve"> Účinnosť uvedeného opatrenia sa navrhuje od 1. januára 2022.</w:t>
      </w:r>
    </w:p>
    <w:p w:rsidR="00C23087" w:rsidRPr="00C23087" w:rsidRDefault="00C23087" w:rsidP="009C11D6">
      <w:pPr>
        <w:pStyle w:val="Odsekzoznamu"/>
        <w:spacing w:line="264" w:lineRule="auto"/>
        <w:jc w:val="both"/>
      </w:pPr>
    </w:p>
    <w:p w:rsidR="00C23087" w:rsidRDefault="00C23087" w:rsidP="009C11D6">
      <w:pPr>
        <w:pStyle w:val="Odsekzoznamu"/>
        <w:numPr>
          <w:ilvl w:val="0"/>
          <w:numId w:val="14"/>
        </w:numPr>
        <w:spacing w:after="0" w:line="264" w:lineRule="auto"/>
        <w:jc w:val="both"/>
        <w:rPr>
          <w:rFonts w:ascii="Times New Roman" w:hAnsi="Times New Roman" w:cs="Times New Roman"/>
        </w:rPr>
      </w:pPr>
      <w:r w:rsidRPr="00C23087">
        <w:rPr>
          <w:rFonts w:ascii="Times New Roman" w:hAnsi="Times New Roman" w:cs="Times New Roman"/>
        </w:rPr>
        <w:t>Navrhuje sa zrušiť možnosť úhrady poistného na sociálne poistenie v hotovosti.</w:t>
      </w:r>
    </w:p>
    <w:p w:rsidR="00BF2F7A" w:rsidRDefault="00BF2F7A" w:rsidP="009C11D6">
      <w:pPr>
        <w:pStyle w:val="Odsekzoznamu"/>
        <w:spacing w:after="0" w:line="264" w:lineRule="auto"/>
        <w:jc w:val="both"/>
        <w:rPr>
          <w:rFonts w:ascii="Times New Roman" w:hAnsi="Times New Roman" w:cs="Times New Roman"/>
        </w:rPr>
      </w:pPr>
    </w:p>
    <w:p w:rsidR="00BF2F7A" w:rsidRDefault="00BF2F7A" w:rsidP="009C11D6">
      <w:pPr>
        <w:pStyle w:val="Odsekzoznamu"/>
        <w:numPr>
          <w:ilvl w:val="0"/>
          <w:numId w:val="14"/>
        </w:numPr>
        <w:spacing w:after="0" w:line="264" w:lineRule="auto"/>
        <w:jc w:val="both"/>
        <w:rPr>
          <w:rFonts w:ascii="Times New Roman" w:hAnsi="Times New Roman" w:cs="Times New Roman"/>
        </w:rPr>
      </w:pPr>
      <w:r>
        <w:rPr>
          <w:rFonts w:ascii="Times New Roman" w:hAnsi="Times New Roman" w:cs="Times New Roman"/>
        </w:rPr>
        <w:t xml:space="preserve">Navrhuje sa zrušenie maximálnych </w:t>
      </w:r>
      <w:r w:rsidR="00BA5F87">
        <w:rPr>
          <w:rFonts w:ascii="Times New Roman" w:hAnsi="Times New Roman" w:cs="Times New Roman"/>
        </w:rPr>
        <w:t xml:space="preserve">mesačných </w:t>
      </w:r>
      <w:r>
        <w:rPr>
          <w:rFonts w:ascii="Times New Roman" w:hAnsi="Times New Roman" w:cs="Times New Roman"/>
        </w:rPr>
        <w:t xml:space="preserve">vymeriavacích základov na platenie poistného v sociálnom poistení. </w:t>
      </w:r>
    </w:p>
    <w:p w:rsidR="009C7D41" w:rsidRPr="009C11D6" w:rsidRDefault="009C7D41" w:rsidP="009C11D6">
      <w:pPr>
        <w:spacing w:after="0" w:line="264" w:lineRule="auto"/>
        <w:jc w:val="both"/>
        <w:rPr>
          <w:rFonts w:ascii="Times New Roman" w:hAnsi="Times New Roman" w:cs="Times New Roman"/>
        </w:rPr>
      </w:pPr>
    </w:p>
    <w:p w:rsidR="00BF2F7A" w:rsidRDefault="009C7D41" w:rsidP="009C11D6">
      <w:pPr>
        <w:pStyle w:val="Odsekzoznamu"/>
        <w:numPr>
          <w:ilvl w:val="0"/>
          <w:numId w:val="14"/>
        </w:numPr>
        <w:spacing w:after="0" w:line="264" w:lineRule="auto"/>
        <w:jc w:val="both"/>
        <w:rPr>
          <w:rFonts w:ascii="Times New Roman" w:hAnsi="Times New Roman" w:cs="Times New Roman"/>
        </w:rPr>
      </w:pPr>
      <w:r>
        <w:rPr>
          <w:rFonts w:ascii="Times New Roman" w:hAnsi="Times New Roman" w:cs="Times New Roman"/>
        </w:rPr>
        <w:t>V nadväznosti na zrušenie maximálnych mesačných vymeriavacích základov sa navrhuje</w:t>
      </w:r>
      <w:r w:rsidR="00BF2F7A">
        <w:rPr>
          <w:rFonts w:ascii="Times New Roman" w:hAnsi="Times New Roman" w:cs="Times New Roman"/>
        </w:rPr>
        <w:t xml:space="preserve"> zvýšenie maximálneho denného vymeriavacieho základu na určenie nemocenských dávok a dávky v nezamestnanosti zo súčasného 2</w:t>
      </w:r>
      <w:r w:rsidR="00B3691A">
        <w:rPr>
          <w:rFonts w:ascii="Times New Roman" w:hAnsi="Times New Roman" w:cs="Times New Roman"/>
        </w:rPr>
        <w:t>-</w:t>
      </w:r>
      <w:r w:rsidR="00BF2F7A">
        <w:rPr>
          <w:rFonts w:ascii="Times New Roman" w:hAnsi="Times New Roman" w:cs="Times New Roman"/>
        </w:rPr>
        <w:t>násobku priemernej mzdy v národnom hospodárstve spred dvoch rokov na 2,5</w:t>
      </w:r>
      <w:r w:rsidR="00B3691A">
        <w:rPr>
          <w:rFonts w:ascii="Times New Roman" w:hAnsi="Times New Roman" w:cs="Times New Roman"/>
        </w:rPr>
        <w:t>-</w:t>
      </w:r>
      <w:r w:rsidR="00BF2F7A">
        <w:rPr>
          <w:rFonts w:ascii="Times New Roman" w:hAnsi="Times New Roman" w:cs="Times New Roman"/>
        </w:rPr>
        <w:t>násobok priemernej mzdy v národnom hospodárstve spred dvoch rokov.</w:t>
      </w:r>
    </w:p>
    <w:p w:rsidR="009C7D41" w:rsidRPr="009C11D6" w:rsidRDefault="009C7D41" w:rsidP="009C11D6">
      <w:pPr>
        <w:spacing w:after="0" w:line="264" w:lineRule="auto"/>
        <w:jc w:val="both"/>
        <w:rPr>
          <w:rFonts w:ascii="Times New Roman" w:hAnsi="Times New Roman" w:cs="Times New Roman"/>
        </w:rPr>
      </w:pPr>
    </w:p>
    <w:p w:rsidR="00BF2F7A" w:rsidRDefault="00BA5F87" w:rsidP="009C11D6">
      <w:pPr>
        <w:pStyle w:val="Odsekzoznamu"/>
        <w:numPr>
          <w:ilvl w:val="0"/>
          <w:numId w:val="14"/>
        </w:numPr>
        <w:spacing w:after="0" w:line="264" w:lineRule="auto"/>
        <w:jc w:val="both"/>
        <w:rPr>
          <w:rFonts w:ascii="Times New Roman" w:hAnsi="Times New Roman" w:cs="Times New Roman"/>
        </w:rPr>
      </w:pPr>
      <w:r>
        <w:rPr>
          <w:rFonts w:ascii="Times New Roman" w:hAnsi="Times New Roman" w:cs="Times New Roman"/>
        </w:rPr>
        <w:t xml:space="preserve">V nadväznosti </w:t>
      </w:r>
      <w:r w:rsidRPr="00BA5F87">
        <w:rPr>
          <w:rFonts w:ascii="Times New Roman" w:hAnsi="Times New Roman" w:cs="Times New Roman"/>
        </w:rPr>
        <w:t>zabezpečiť dlhodobú udržateľnosť verejných financií, a to najmä systému zdravotnej starostlivosti a dôchodkového systému</w:t>
      </w:r>
      <w:r>
        <w:rPr>
          <w:rFonts w:ascii="Times New Roman" w:hAnsi="Times New Roman" w:cs="Times New Roman"/>
        </w:rPr>
        <w:t xml:space="preserve"> </w:t>
      </w:r>
      <w:r w:rsidR="00BF2F7A">
        <w:rPr>
          <w:rFonts w:ascii="Times New Roman" w:hAnsi="Times New Roman" w:cs="Times New Roman"/>
        </w:rPr>
        <w:t>sa</w:t>
      </w:r>
      <w:r>
        <w:rPr>
          <w:rFonts w:ascii="Times New Roman" w:hAnsi="Times New Roman" w:cs="Times New Roman"/>
        </w:rPr>
        <w:t xml:space="preserve"> navrhuje</w:t>
      </w:r>
      <w:r w:rsidR="009C7D41">
        <w:rPr>
          <w:rFonts w:ascii="Times New Roman" w:hAnsi="Times New Roman" w:cs="Times New Roman"/>
        </w:rPr>
        <w:t xml:space="preserve"> korekcia mechanizmu medziročnej úpravy</w:t>
      </w:r>
      <w:r w:rsidR="00BF2F7A">
        <w:rPr>
          <w:rFonts w:ascii="Times New Roman" w:hAnsi="Times New Roman" w:cs="Times New Roman"/>
        </w:rPr>
        <w:t xml:space="preserve"> aktuálnej dôchodkovej hodnoty.</w:t>
      </w:r>
    </w:p>
    <w:p w:rsidR="000B5A21" w:rsidRPr="00991566" w:rsidRDefault="000B5A21" w:rsidP="00991566">
      <w:pPr>
        <w:pStyle w:val="Odsekzoznamu"/>
        <w:rPr>
          <w:rFonts w:ascii="Times New Roman" w:hAnsi="Times New Roman" w:cs="Times New Roman"/>
        </w:rPr>
      </w:pPr>
    </w:p>
    <w:p w:rsidR="000B5A21" w:rsidRPr="00B94369" w:rsidRDefault="000B5A21" w:rsidP="000B5A21">
      <w:pPr>
        <w:pStyle w:val="Odsekzoznamu"/>
        <w:numPr>
          <w:ilvl w:val="0"/>
          <w:numId w:val="14"/>
        </w:numPr>
        <w:jc w:val="both"/>
        <w:rPr>
          <w:rFonts w:ascii="Times New Roman" w:hAnsi="Times New Roman" w:cs="Times New Roman"/>
        </w:rPr>
      </w:pPr>
      <w:r w:rsidRPr="00B94369">
        <w:rPr>
          <w:rFonts w:ascii="Times New Roman" w:hAnsi="Times New Roman" w:cs="Times New Roman"/>
        </w:rPr>
        <w:t>Počas obdobia poberania dávky materské je v súčasnosti vylúčená povinnosť platiť poistné na nemocenské poistenie, starobné poistenie, invalidné poistenie, poistenie v nezamestnanosti, garančné poistenie a do rezervného fondu solidarity zo všetkých typov poistných vzťahov. To znamená, že ak sa poberateľ dávky materské pracuje na iný pracovný úväzok ako poberá dávku materské, neplatí on ani jeho zamestnávateľ z tohto úväzku poistné na vyššie uvedené poistenia. Navrhovaná právna úprava navrhuje zrušenie uvedeného právneho stavu a zavádza povinnosť platiť poistné na sociálne poistenie v prípade ak poistenec popri poberaní dávky materské vykonáva zárobkovú činnosť</w:t>
      </w:r>
      <w:r w:rsidR="0039079E">
        <w:rPr>
          <w:rFonts w:ascii="Times New Roman" w:hAnsi="Times New Roman" w:cs="Times New Roman"/>
        </w:rPr>
        <w:t xml:space="preserve"> rovnako ako sa navrhovalo v súvislosti so zavedením ročného zúčtovania</w:t>
      </w:r>
      <w:r w:rsidRPr="00B94369">
        <w:rPr>
          <w:rFonts w:ascii="Times New Roman" w:hAnsi="Times New Roman" w:cs="Times New Roman"/>
        </w:rPr>
        <w:t xml:space="preserve">.  </w:t>
      </w:r>
      <w:r>
        <w:rPr>
          <w:rFonts w:ascii="Times New Roman" w:hAnsi="Times New Roman" w:cs="Times New Roman"/>
        </w:rPr>
        <w:t xml:space="preserve">Navrhovaná právna úprava </w:t>
      </w:r>
      <w:r w:rsidR="0039079E">
        <w:rPr>
          <w:rFonts w:ascii="Times New Roman" w:hAnsi="Times New Roman" w:cs="Times New Roman"/>
        </w:rPr>
        <w:t xml:space="preserve">ale </w:t>
      </w:r>
      <w:r>
        <w:rPr>
          <w:rFonts w:ascii="Times New Roman" w:hAnsi="Times New Roman" w:cs="Times New Roman"/>
        </w:rPr>
        <w:t>nerieši možnosť vyplatenia odmeny  resp. mzdy</w:t>
      </w:r>
      <w:r w:rsidR="0039079E">
        <w:rPr>
          <w:rFonts w:ascii="Times New Roman" w:hAnsi="Times New Roman" w:cs="Times New Roman"/>
        </w:rPr>
        <w:t xml:space="preserve"> z pracovného vzťahu, z ktorého sa vypláca dávka materské. </w:t>
      </w:r>
      <w:r w:rsidRPr="00B94369">
        <w:rPr>
          <w:rFonts w:ascii="Times New Roman" w:hAnsi="Times New Roman" w:cs="Times New Roman"/>
        </w:rPr>
        <w:t>Účinnosť uvedeného opatrenia sa navrhuje od 1. januára 2023.</w:t>
      </w:r>
    </w:p>
    <w:p w:rsidR="000B5A21" w:rsidRDefault="000B5A21" w:rsidP="00991566">
      <w:pPr>
        <w:pStyle w:val="Odsekzoznamu"/>
        <w:spacing w:after="0" w:line="264" w:lineRule="auto"/>
        <w:jc w:val="both"/>
        <w:rPr>
          <w:rFonts w:ascii="Times New Roman" w:hAnsi="Times New Roman" w:cs="Times New Roman"/>
        </w:rPr>
      </w:pPr>
    </w:p>
    <w:p w:rsidR="009C7D41" w:rsidRPr="009C11D6" w:rsidRDefault="009C7D41" w:rsidP="009C11D6">
      <w:pPr>
        <w:pStyle w:val="Odsekzoznamu"/>
        <w:rPr>
          <w:rFonts w:ascii="Times New Roman" w:hAnsi="Times New Roman" w:cs="Times New Roman"/>
        </w:rPr>
      </w:pPr>
    </w:p>
    <w:p w:rsidR="009C7D41" w:rsidRPr="00C23087" w:rsidRDefault="009C7D41" w:rsidP="009C11D6">
      <w:pPr>
        <w:pStyle w:val="Odsekzoznamu"/>
        <w:spacing w:after="0" w:line="264" w:lineRule="auto"/>
        <w:jc w:val="both"/>
        <w:rPr>
          <w:rFonts w:ascii="Times New Roman" w:hAnsi="Times New Roman" w:cs="Times New Roman"/>
        </w:rPr>
      </w:pPr>
    </w:p>
    <w:p w:rsidR="00E47C9F" w:rsidRPr="007D5748" w:rsidRDefault="00E47C9F" w:rsidP="001E6E4A">
      <w:pPr>
        <w:spacing w:after="0" w:line="264"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E0143E">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FB673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E47C9F" w:rsidRPr="007D5748" w:rsidRDefault="00FB6734" w:rsidP="001E6E4A">
      <w:pPr>
        <w:spacing w:after="0" w:line="264"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lastRenderedPageBreak/>
        <w:t xml:space="preserve">    </w:t>
      </w:r>
      <w:r w:rsidR="00E47C9F" w:rsidRPr="007D5748">
        <w:rPr>
          <w:rFonts w:ascii="Times New Roman" w:eastAsia="Times New Roman" w:hAnsi="Times New Roman" w:cs="Times New Roman"/>
          <w:sz w:val="24"/>
          <w:szCs w:val="24"/>
          <w:bdr w:val="single" w:sz="4" w:space="0" w:color="auto"/>
          <w:lang w:eastAsia="sk-SK"/>
        </w:rPr>
        <w:t xml:space="preserve"> </w:t>
      </w:r>
      <w:r w:rsidR="00E47C9F" w:rsidRPr="007D5748">
        <w:rPr>
          <w:rFonts w:ascii="Times New Roman" w:eastAsia="Times New Roman" w:hAnsi="Times New Roman" w:cs="Times New Roman"/>
          <w:sz w:val="24"/>
          <w:szCs w:val="24"/>
          <w:lang w:eastAsia="sk-SK"/>
        </w:rPr>
        <w:t xml:space="preserve">  iné </w:t>
      </w:r>
    </w:p>
    <w:p w:rsidR="008D27D5" w:rsidRPr="007D5748" w:rsidRDefault="008D27D5" w:rsidP="001E6E4A">
      <w:pPr>
        <w:spacing w:after="0" w:line="264" w:lineRule="auto"/>
        <w:rPr>
          <w:rFonts w:ascii="Times New Roman" w:eastAsia="Times New Roman" w:hAnsi="Times New Roman" w:cs="Times New Roman"/>
          <w:sz w:val="24"/>
          <w:szCs w:val="24"/>
          <w:lang w:eastAsia="sk-SK"/>
        </w:rPr>
      </w:pPr>
    </w:p>
    <w:p w:rsidR="00E47C9F" w:rsidRDefault="00E47C9F" w:rsidP="001E6E4A">
      <w:pPr>
        <w:spacing w:after="0" w:line="264" w:lineRule="auto"/>
        <w:rPr>
          <w:rFonts w:ascii="Times New Roman" w:eastAsia="Times New Roman" w:hAnsi="Times New Roman" w:cs="Times New Roman"/>
          <w:b/>
          <w:bCs/>
          <w:sz w:val="24"/>
          <w:szCs w:val="24"/>
          <w:lang w:eastAsia="sk-SK"/>
        </w:rPr>
      </w:pPr>
      <w:bookmarkStart w:id="1" w:name="informacne_systemy"/>
      <w:r w:rsidRPr="007D5748">
        <w:rPr>
          <w:rFonts w:ascii="Times New Roman" w:eastAsia="Times New Roman" w:hAnsi="Times New Roman" w:cs="Times New Roman"/>
          <w:b/>
          <w:bCs/>
          <w:sz w:val="24"/>
          <w:szCs w:val="24"/>
          <w:lang w:eastAsia="sk-SK"/>
        </w:rPr>
        <w:t>2.2.3. Predpoklady vývoja objemu aktivít</w:t>
      </w:r>
      <w:bookmarkEnd w:id="1"/>
      <w:r w:rsidRPr="007D5748">
        <w:rPr>
          <w:rFonts w:ascii="Times New Roman" w:eastAsia="Times New Roman" w:hAnsi="Times New Roman" w:cs="Times New Roman"/>
          <w:b/>
          <w:bCs/>
          <w:sz w:val="24"/>
          <w:szCs w:val="24"/>
          <w:lang w:eastAsia="sk-SK"/>
        </w:rPr>
        <w:t>:</w:t>
      </w:r>
    </w:p>
    <w:p w:rsidR="00E47C9F" w:rsidRDefault="00E47C9F" w:rsidP="001E6E4A">
      <w:pPr>
        <w:spacing w:after="0" w:line="264" w:lineRule="auto"/>
        <w:rPr>
          <w:rFonts w:ascii="Times New Roman" w:eastAsia="Times New Roman" w:hAnsi="Times New Roman" w:cs="Times New Roman"/>
          <w:b/>
          <w:bCs/>
          <w:sz w:val="24"/>
          <w:szCs w:val="24"/>
          <w:lang w:eastAsia="sk-SK"/>
        </w:rPr>
      </w:pPr>
    </w:p>
    <w:p w:rsidR="00577CF3" w:rsidRDefault="00FB6734" w:rsidP="001E6E4A">
      <w:pPr>
        <w:spacing w:after="0" w:line="264" w:lineRule="auto"/>
        <w:ind w:firstLine="708"/>
        <w:jc w:val="both"/>
        <w:rPr>
          <w:rFonts w:ascii="Times New Roman" w:eastAsia="Times New Roman" w:hAnsi="Times New Roman" w:cs="Times New Roman"/>
          <w:szCs w:val="24"/>
          <w:lang w:eastAsia="sk-SK"/>
        </w:rPr>
      </w:pPr>
      <w:r w:rsidRPr="00B94369">
        <w:rPr>
          <w:rFonts w:ascii="Times New Roman" w:eastAsia="Times New Roman" w:hAnsi="Times New Roman" w:cs="Times New Roman"/>
          <w:szCs w:val="24"/>
          <w:lang w:eastAsia="sk-SK"/>
        </w:rPr>
        <w:t xml:space="preserve">Navrhovaná právna úprava </w:t>
      </w:r>
      <w:r w:rsidR="00302EFD" w:rsidRPr="00B94369">
        <w:rPr>
          <w:rFonts w:ascii="Times New Roman" w:eastAsia="Times New Roman" w:hAnsi="Times New Roman" w:cs="Times New Roman"/>
          <w:szCs w:val="24"/>
          <w:lang w:eastAsia="sk-SK"/>
        </w:rPr>
        <w:t>má</w:t>
      </w:r>
      <w:r w:rsidRPr="00B94369">
        <w:rPr>
          <w:rFonts w:ascii="Times New Roman" w:eastAsia="Times New Roman" w:hAnsi="Times New Roman" w:cs="Times New Roman"/>
          <w:szCs w:val="24"/>
          <w:lang w:eastAsia="sk-SK"/>
        </w:rPr>
        <w:t xml:space="preserve">  vplyv na</w:t>
      </w:r>
      <w:r w:rsidR="00806408">
        <w:rPr>
          <w:rFonts w:ascii="Times New Roman" w:eastAsia="Times New Roman" w:hAnsi="Times New Roman" w:cs="Times New Roman"/>
          <w:szCs w:val="24"/>
          <w:lang w:eastAsia="sk-SK"/>
        </w:rPr>
        <w:t xml:space="preserve"> výdavky na</w:t>
      </w:r>
      <w:r w:rsidRPr="00B94369">
        <w:rPr>
          <w:rFonts w:ascii="Times New Roman" w:eastAsia="Times New Roman" w:hAnsi="Times New Roman" w:cs="Times New Roman"/>
          <w:szCs w:val="24"/>
          <w:lang w:eastAsia="sk-SK"/>
        </w:rPr>
        <w:t xml:space="preserve"> informačné systémy inštitúcií  verejnej správy. </w:t>
      </w:r>
      <w:r w:rsidR="00806408">
        <w:rPr>
          <w:rFonts w:ascii="Times New Roman" w:eastAsia="Times New Roman" w:hAnsi="Times New Roman" w:cs="Times New Roman"/>
          <w:szCs w:val="24"/>
          <w:lang w:eastAsia="sk-SK"/>
        </w:rPr>
        <w:t>Pokles predpokladaných výdavkov</w:t>
      </w:r>
      <w:r w:rsidR="00302EFD" w:rsidRPr="00B94369">
        <w:rPr>
          <w:rFonts w:ascii="Times New Roman" w:eastAsia="Times New Roman" w:hAnsi="Times New Roman" w:cs="Times New Roman"/>
          <w:szCs w:val="24"/>
          <w:lang w:eastAsia="sk-SK"/>
        </w:rPr>
        <w:t xml:space="preserve"> na informačné systémy </w:t>
      </w:r>
      <w:r w:rsidRPr="00B94369">
        <w:rPr>
          <w:rFonts w:ascii="Times New Roman" w:eastAsia="Times New Roman" w:hAnsi="Times New Roman" w:cs="Times New Roman"/>
          <w:szCs w:val="24"/>
          <w:lang w:eastAsia="sk-SK"/>
        </w:rPr>
        <w:t xml:space="preserve">zakladá zrušenie ročného zúčtovania, kde sa predpokladali náklady na </w:t>
      </w:r>
      <w:r w:rsidR="00577CF3" w:rsidRPr="00B94369">
        <w:rPr>
          <w:rFonts w:ascii="Times New Roman" w:eastAsia="Times New Roman" w:hAnsi="Times New Roman" w:cs="Times New Roman"/>
          <w:szCs w:val="24"/>
          <w:lang w:eastAsia="sk-SK"/>
        </w:rPr>
        <w:t>zriadenie</w:t>
      </w:r>
      <w:r w:rsidR="00725B63" w:rsidRPr="00B94369">
        <w:rPr>
          <w:rFonts w:ascii="Times New Roman" w:eastAsia="Times New Roman" w:hAnsi="Times New Roman" w:cs="Times New Roman"/>
          <w:szCs w:val="24"/>
          <w:lang w:eastAsia="sk-SK"/>
        </w:rPr>
        <w:t xml:space="preserve"> informačného</w:t>
      </w:r>
      <w:r w:rsidRPr="00B94369">
        <w:rPr>
          <w:rFonts w:ascii="Times New Roman" w:eastAsia="Times New Roman" w:hAnsi="Times New Roman" w:cs="Times New Roman"/>
          <w:szCs w:val="24"/>
          <w:lang w:eastAsia="sk-SK"/>
        </w:rPr>
        <w:t xml:space="preserve"> systém</w:t>
      </w:r>
      <w:r w:rsidR="00725B63" w:rsidRPr="00B94369">
        <w:rPr>
          <w:rFonts w:ascii="Times New Roman" w:eastAsia="Times New Roman" w:hAnsi="Times New Roman" w:cs="Times New Roman"/>
          <w:szCs w:val="24"/>
          <w:lang w:eastAsia="sk-SK"/>
        </w:rPr>
        <w:t>u</w:t>
      </w:r>
      <w:r w:rsidRPr="00B94369">
        <w:rPr>
          <w:rFonts w:ascii="Times New Roman" w:eastAsia="Times New Roman" w:hAnsi="Times New Roman" w:cs="Times New Roman"/>
          <w:szCs w:val="24"/>
          <w:lang w:eastAsia="sk-SK"/>
        </w:rPr>
        <w:t xml:space="preserve"> Sociálnej poisťovne v celkovej výške 15,3 mil. eur a následné každoročné prevádzkové náklady na úrovni približne </w:t>
      </w:r>
      <w:r w:rsidR="009E07AC" w:rsidRPr="00B94369">
        <w:rPr>
          <w:rFonts w:ascii="Times New Roman" w:eastAsia="Times New Roman" w:hAnsi="Times New Roman" w:cs="Times New Roman"/>
          <w:szCs w:val="24"/>
          <w:lang w:eastAsia="sk-SK"/>
        </w:rPr>
        <w:t xml:space="preserve">2,3 mil. eur. </w:t>
      </w:r>
    </w:p>
    <w:p w:rsidR="00B94369" w:rsidRPr="00B94369" w:rsidRDefault="00B94369" w:rsidP="001E6E4A">
      <w:pPr>
        <w:spacing w:after="0" w:line="264" w:lineRule="auto"/>
        <w:ind w:firstLine="708"/>
        <w:jc w:val="both"/>
        <w:rPr>
          <w:rFonts w:ascii="Times New Roman" w:eastAsia="Times New Roman" w:hAnsi="Times New Roman" w:cs="Times New Roman"/>
          <w:szCs w:val="24"/>
          <w:lang w:eastAsia="sk-SK"/>
        </w:rPr>
      </w:pPr>
    </w:p>
    <w:p w:rsidR="00E47C9F" w:rsidRDefault="00C36D15" w:rsidP="001E6E4A">
      <w:pPr>
        <w:spacing w:after="0" w:line="264" w:lineRule="auto"/>
        <w:ind w:firstLine="708"/>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 xml:space="preserve"> Nárast výdavkov</w:t>
      </w:r>
      <w:r w:rsidR="009E07AC" w:rsidRPr="00B94369">
        <w:rPr>
          <w:rFonts w:ascii="Times New Roman" w:eastAsia="Times New Roman" w:hAnsi="Times New Roman" w:cs="Times New Roman"/>
          <w:szCs w:val="24"/>
          <w:lang w:eastAsia="sk-SK"/>
        </w:rPr>
        <w:t xml:space="preserve"> na informačné systémy</w:t>
      </w:r>
      <w:r w:rsidR="00302EFD" w:rsidRPr="00B94369">
        <w:rPr>
          <w:rFonts w:ascii="Times New Roman" w:eastAsia="Times New Roman" w:hAnsi="Times New Roman" w:cs="Times New Roman"/>
          <w:szCs w:val="24"/>
          <w:lang w:eastAsia="sk-SK"/>
        </w:rPr>
        <w:t xml:space="preserve"> </w:t>
      </w:r>
      <w:r w:rsidR="009E07AC" w:rsidRPr="00B94369">
        <w:rPr>
          <w:rFonts w:ascii="Times New Roman" w:eastAsia="Times New Roman" w:hAnsi="Times New Roman" w:cs="Times New Roman"/>
          <w:szCs w:val="24"/>
          <w:lang w:eastAsia="sk-SK"/>
        </w:rPr>
        <w:t xml:space="preserve">súvisí so zavedením elektronickej </w:t>
      </w:r>
      <w:r w:rsidR="00743E8B">
        <w:rPr>
          <w:rFonts w:ascii="Times New Roman" w:eastAsia="Times New Roman" w:hAnsi="Times New Roman" w:cs="Times New Roman"/>
          <w:szCs w:val="24"/>
          <w:lang w:eastAsia="sk-SK"/>
        </w:rPr>
        <w:t>DPN</w:t>
      </w:r>
      <w:r w:rsidR="00BE3092">
        <w:rPr>
          <w:rFonts w:ascii="Times New Roman" w:eastAsia="Times New Roman" w:hAnsi="Times New Roman" w:cs="Times New Roman"/>
          <w:szCs w:val="24"/>
          <w:lang w:eastAsia="sk-SK"/>
        </w:rPr>
        <w:t xml:space="preserve"> a so zavedením tzv. rodičovského </w:t>
      </w:r>
      <w:r w:rsidR="0028361B">
        <w:rPr>
          <w:rFonts w:ascii="Times New Roman" w:eastAsia="Times New Roman" w:hAnsi="Times New Roman" w:cs="Times New Roman"/>
          <w:szCs w:val="24"/>
          <w:lang w:eastAsia="sk-SK"/>
        </w:rPr>
        <w:t>dôchodku</w:t>
      </w:r>
      <w:r w:rsidR="009E07AC" w:rsidRPr="00B94369">
        <w:rPr>
          <w:rFonts w:ascii="Times New Roman" w:eastAsia="Times New Roman" w:hAnsi="Times New Roman" w:cs="Times New Roman"/>
          <w:szCs w:val="24"/>
          <w:lang w:eastAsia="sk-SK"/>
        </w:rPr>
        <w:t xml:space="preserve">. Podrobnejší prehľad </w:t>
      </w:r>
      <w:r w:rsidR="00725B63" w:rsidRPr="00B94369">
        <w:rPr>
          <w:rFonts w:ascii="Times New Roman" w:eastAsia="Times New Roman" w:hAnsi="Times New Roman" w:cs="Times New Roman"/>
          <w:szCs w:val="24"/>
          <w:lang w:eastAsia="sk-SK"/>
        </w:rPr>
        <w:t xml:space="preserve">kapitálových a prevádzkových </w:t>
      </w:r>
      <w:r w:rsidR="009E07AC" w:rsidRPr="00B94369">
        <w:rPr>
          <w:rFonts w:ascii="Times New Roman" w:eastAsia="Times New Roman" w:hAnsi="Times New Roman" w:cs="Times New Roman"/>
          <w:szCs w:val="24"/>
          <w:lang w:eastAsia="sk-SK"/>
        </w:rPr>
        <w:t>výdavkov na informačné systémy</w:t>
      </w:r>
      <w:r w:rsidR="00577CF3" w:rsidRPr="00B94369">
        <w:rPr>
          <w:rFonts w:ascii="Times New Roman" w:eastAsia="Times New Roman" w:hAnsi="Times New Roman" w:cs="Times New Roman"/>
          <w:szCs w:val="24"/>
          <w:lang w:eastAsia="sk-SK"/>
        </w:rPr>
        <w:t xml:space="preserve"> jednotlivých inštitúcií verejnej správy</w:t>
      </w:r>
      <w:r w:rsidR="009E07AC" w:rsidRPr="00B94369">
        <w:rPr>
          <w:rFonts w:ascii="Times New Roman" w:eastAsia="Times New Roman" w:hAnsi="Times New Roman" w:cs="Times New Roman"/>
          <w:szCs w:val="24"/>
          <w:lang w:eastAsia="sk-SK"/>
        </w:rPr>
        <w:t xml:space="preserve"> je uvedený v tabuľke nižšie (znamienko mínus znamená úsporu</w:t>
      </w:r>
      <w:r w:rsidR="00577CF3" w:rsidRPr="00B94369">
        <w:rPr>
          <w:rFonts w:ascii="Times New Roman" w:eastAsia="Times New Roman" w:hAnsi="Times New Roman" w:cs="Times New Roman"/>
          <w:szCs w:val="24"/>
          <w:lang w:eastAsia="sk-SK"/>
        </w:rPr>
        <w:t xml:space="preserve"> vo výdavkoch</w:t>
      </w:r>
      <w:r w:rsidR="009E07AC" w:rsidRPr="00B94369">
        <w:rPr>
          <w:rFonts w:ascii="Times New Roman" w:eastAsia="Times New Roman" w:hAnsi="Times New Roman" w:cs="Times New Roman"/>
          <w:szCs w:val="24"/>
          <w:lang w:eastAsia="sk-SK"/>
        </w:rPr>
        <w:t xml:space="preserve">). </w:t>
      </w:r>
    </w:p>
    <w:p w:rsidR="00806408" w:rsidRPr="00B94369" w:rsidRDefault="00806408" w:rsidP="00577CF3">
      <w:pPr>
        <w:spacing w:after="0" w:line="240" w:lineRule="auto"/>
        <w:ind w:firstLine="708"/>
        <w:jc w:val="both"/>
        <w:rPr>
          <w:rFonts w:ascii="Times New Roman" w:eastAsia="Times New Roman" w:hAnsi="Times New Roman" w:cs="Times New Roman"/>
          <w:szCs w:val="24"/>
          <w:lang w:eastAsia="sk-SK"/>
        </w:rPr>
      </w:pPr>
    </w:p>
    <w:p w:rsidR="00E47C9F" w:rsidRDefault="00725B63" w:rsidP="00E47C9F">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Tabuľky</w:t>
      </w:r>
      <w:r w:rsidR="00E47C9F" w:rsidRPr="007D5748">
        <w:rPr>
          <w:rFonts w:ascii="Times New Roman" w:eastAsia="Times New Roman" w:hAnsi="Times New Roman" w:cs="Times New Roman"/>
          <w:sz w:val="20"/>
          <w:szCs w:val="20"/>
          <w:lang w:eastAsia="sk-SK"/>
        </w:rPr>
        <w:t xml:space="preserve"> č. 2</w:t>
      </w:r>
      <w:r>
        <w:rPr>
          <w:rFonts w:ascii="Times New Roman" w:eastAsia="Times New Roman" w:hAnsi="Times New Roman" w:cs="Times New Roman"/>
          <w:sz w:val="20"/>
          <w:szCs w:val="20"/>
          <w:lang w:eastAsia="sk-SK"/>
        </w:rPr>
        <w:t xml:space="preserve"> v eur</w:t>
      </w:r>
      <w:r w:rsidR="00E47C9F" w:rsidRPr="007D5748">
        <w:rPr>
          <w:rFonts w:ascii="Times New Roman" w:eastAsia="Times New Roman" w:hAnsi="Times New Roman" w:cs="Times New Roman"/>
          <w:sz w:val="20"/>
          <w:szCs w:val="20"/>
          <w:lang w:eastAsia="sk-SK"/>
        </w:rPr>
        <w:t xml:space="preserve"> </w:t>
      </w:r>
    </w:p>
    <w:tbl>
      <w:tblPr>
        <w:tblW w:w="9150" w:type="dxa"/>
        <w:tblInd w:w="-10" w:type="dxa"/>
        <w:tblCellMar>
          <w:left w:w="70" w:type="dxa"/>
          <w:right w:w="70" w:type="dxa"/>
        </w:tblCellMar>
        <w:tblLook w:val="04A0" w:firstRow="1" w:lastRow="0" w:firstColumn="1" w:lastColumn="0" w:noHBand="0" w:noVBand="1"/>
      </w:tblPr>
      <w:tblGrid>
        <w:gridCol w:w="5200"/>
        <w:gridCol w:w="960"/>
        <w:gridCol w:w="1070"/>
        <w:gridCol w:w="960"/>
        <w:gridCol w:w="960"/>
      </w:tblGrid>
      <w:tr w:rsidR="00725B63" w:rsidRPr="00725B63" w:rsidTr="00725B63">
        <w:trPr>
          <w:trHeight w:val="270"/>
        </w:trPr>
        <w:tc>
          <w:tcPr>
            <w:tcW w:w="5200" w:type="dxa"/>
            <w:tcBorders>
              <w:top w:val="single" w:sz="8" w:space="0" w:color="auto"/>
              <w:left w:val="single" w:sz="8" w:space="0" w:color="auto"/>
              <w:bottom w:val="nil"/>
              <w:right w:val="single" w:sz="4" w:space="0" w:color="auto"/>
            </w:tcBorders>
            <w:shd w:val="clear" w:color="000000" w:fill="A6A6A6"/>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rok</w:t>
            </w:r>
          </w:p>
        </w:tc>
        <w:tc>
          <w:tcPr>
            <w:tcW w:w="960" w:type="dxa"/>
            <w:tcBorders>
              <w:top w:val="single" w:sz="8" w:space="0" w:color="auto"/>
              <w:left w:val="nil"/>
              <w:bottom w:val="nil"/>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2021</w:t>
            </w:r>
          </w:p>
        </w:tc>
        <w:tc>
          <w:tcPr>
            <w:tcW w:w="1070" w:type="dxa"/>
            <w:tcBorders>
              <w:top w:val="single" w:sz="8" w:space="0" w:color="auto"/>
              <w:left w:val="nil"/>
              <w:bottom w:val="nil"/>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2022</w:t>
            </w:r>
          </w:p>
        </w:tc>
        <w:tc>
          <w:tcPr>
            <w:tcW w:w="960" w:type="dxa"/>
            <w:tcBorders>
              <w:top w:val="single" w:sz="8" w:space="0" w:color="auto"/>
              <w:left w:val="nil"/>
              <w:bottom w:val="nil"/>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2023</w:t>
            </w:r>
          </w:p>
        </w:tc>
        <w:tc>
          <w:tcPr>
            <w:tcW w:w="960" w:type="dxa"/>
            <w:tcBorders>
              <w:top w:val="single" w:sz="8" w:space="0" w:color="auto"/>
              <w:left w:val="nil"/>
              <w:bottom w:val="nil"/>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2024</w:t>
            </w:r>
          </w:p>
        </w:tc>
      </w:tr>
      <w:tr w:rsidR="00725B63" w:rsidRPr="00725B63" w:rsidTr="00725B63">
        <w:trPr>
          <w:trHeight w:val="255"/>
        </w:trPr>
        <w:tc>
          <w:tcPr>
            <w:tcW w:w="5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25B63" w:rsidRPr="0093736A" w:rsidRDefault="00725B63" w:rsidP="00725B63">
            <w:pPr>
              <w:spacing w:after="0" w:line="240" w:lineRule="auto"/>
              <w:rPr>
                <w:rFonts w:ascii="Arial Narrow" w:eastAsia="Times New Roman" w:hAnsi="Arial Narrow" w:cs="Arial"/>
                <w:bCs/>
                <w:color w:val="000000"/>
                <w:sz w:val="20"/>
                <w:szCs w:val="20"/>
                <w:lang w:eastAsia="sk-SK"/>
              </w:rPr>
            </w:pPr>
            <w:r w:rsidRPr="0093736A">
              <w:rPr>
                <w:rFonts w:ascii="Arial Narrow" w:eastAsia="Times New Roman" w:hAnsi="Arial Narrow" w:cs="Arial"/>
                <w:bCs/>
                <w:color w:val="000000"/>
                <w:sz w:val="20"/>
                <w:szCs w:val="20"/>
                <w:lang w:eastAsia="sk-SK"/>
              </w:rPr>
              <w:t>Sociálna poisťovňa vplyv zrušenia ročného zúčtovania v sociálnom poistení</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-4 000 000</w:t>
            </w:r>
          </w:p>
        </w:tc>
        <w:tc>
          <w:tcPr>
            <w:tcW w:w="1070" w:type="dxa"/>
            <w:tcBorders>
              <w:top w:val="single" w:sz="8" w:space="0" w:color="auto"/>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-11 300 000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r>
      <w:tr w:rsidR="00725B63" w:rsidRPr="00725B63" w:rsidTr="00725B63">
        <w:trPr>
          <w:trHeight w:val="255"/>
        </w:trPr>
        <w:tc>
          <w:tcPr>
            <w:tcW w:w="5200" w:type="dxa"/>
            <w:tcBorders>
              <w:top w:val="nil"/>
              <w:left w:val="single" w:sz="8"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bottom"/>
            <w:hideMark/>
          </w:tcPr>
          <w:p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bottom"/>
            <w:hideMark/>
          </w:tcPr>
          <w:p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bottom"/>
            <w:hideMark/>
          </w:tcPr>
          <w:p w:rsidR="00725B63" w:rsidRPr="00725B63" w:rsidRDefault="00725B63" w:rsidP="00725B63">
            <w:pPr>
              <w:spacing w:after="0" w:line="240" w:lineRule="auto"/>
              <w:rPr>
                <w:rFonts w:ascii="Arial Narrow" w:eastAsia="Times New Roman" w:hAnsi="Arial Narrow" w:cs="Arial"/>
                <w:sz w:val="20"/>
                <w:szCs w:val="20"/>
                <w:lang w:eastAsia="sk-SK"/>
              </w:rPr>
            </w:pPr>
            <w:r w:rsidRPr="00725B63">
              <w:rPr>
                <w:rFonts w:ascii="Arial Narrow" w:eastAsia="Times New Roman" w:hAnsi="Arial Narrow" w:cs="Arial"/>
                <w:sz w:val="20"/>
                <w:szCs w:val="20"/>
                <w:lang w:eastAsia="sk-SK"/>
              </w:rPr>
              <w:t> </w:t>
            </w:r>
          </w:p>
        </w:tc>
        <w:tc>
          <w:tcPr>
            <w:tcW w:w="960" w:type="dxa"/>
            <w:tcBorders>
              <w:top w:val="nil"/>
              <w:left w:val="nil"/>
              <w:bottom w:val="single" w:sz="4" w:space="0" w:color="auto"/>
              <w:right w:val="single" w:sz="8"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725B63" w:rsidRPr="00725B63" w:rsidTr="00725B63">
        <w:trPr>
          <w:trHeight w:val="255"/>
        </w:trPr>
        <w:tc>
          <w:tcPr>
            <w:tcW w:w="5200" w:type="dxa"/>
            <w:tcBorders>
              <w:top w:val="nil"/>
              <w:left w:val="single" w:sz="8"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8"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725B63" w:rsidRPr="00725B63" w:rsidTr="00725B63">
        <w:trPr>
          <w:trHeight w:val="270"/>
        </w:trPr>
        <w:tc>
          <w:tcPr>
            <w:tcW w:w="5200" w:type="dxa"/>
            <w:tcBorders>
              <w:top w:val="nil"/>
              <w:left w:val="single" w:sz="8" w:space="0" w:color="auto"/>
              <w:bottom w:val="single" w:sz="8"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xml:space="preserve">  prevádzkové náklady </w:t>
            </w:r>
          </w:p>
        </w:tc>
        <w:tc>
          <w:tcPr>
            <w:tcW w:w="960" w:type="dxa"/>
            <w:tcBorders>
              <w:top w:val="nil"/>
              <w:left w:val="nil"/>
              <w:bottom w:val="single" w:sz="8"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-4 000 000</w:t>
            </w:r>
          </w:p>
        </w:tc>
        <w:tc>
          <w:tcPr>
            <w:tcW w:w="1070" w:type="dxa"/>
            <w:tcBorders>
              <w:top w:val="nil"/>
              <w:left w:val="nil"/>
              <w:bottom w:val="single" w:sz="8"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-11 300 000</w:t>
            </w:r>
          </w:p>
        </w:tc>
        <w:tc>
          <w:tcPr>
            <w:tcW w:w="960" w:type="dxa"/>
            <w:tcBorders>
              <w:top w:val="nil"/>
              <w:left w:val="nil"/>
              <w:bottom w:val="single" w:sz="8"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c>
          <w:tcPr>
            <w:tcW w:w="960" w:type="dxa"/>
            <w:tcBorders>
              <w:top w:val="nil"/>
              <w:left w:val="nil"/>
              <w:bottom w:val="single" w:sz="8" w:space="0" w:color="auto"/>
              <w:right w:val="single" w:sz="8"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-2 300 000</w:t>
            </w:r>
          </w:p>
        </w:tc>
      </w:tr>
    </w:tbl>
    <w:p w:rsidR="00725B63" w:rsidRDefault="00725B63" w:rsidP="00725B63">
      <w:pPr>
        <w:spacing w:after="0" w:line="240" w:lineRule="auto"/>
        <w:rPr>
          <w:rFonts w:ascii="Times New Roman" w:eastAsia="Times New Roman" w:hAnsi="Times New Roman" w:cs="Times New Roman"/>
          <w:sz w:val="20"/>
          <w:szCs w:val="20"/>
          <w:lang w:eastAsia="sk-SK"/>
        </w:rPr>
      </w:pPr>
    </w:p>
    <w:tbl>
      <w:tblPr>
        <w:tblW w:w="9150" w:type="dxa"/>
        <w:tblInd w:w="-5" w:type="dxa"/>
        <w:tblCellMar>
          <w:left w:w="70" w:type="dxa"/>
          <w:right w:w="70" w:type="dxa"/>
        </w:tblCellMar>
        <w:tblLook w:val="04A0" w:firstRow="1" w:lastRow="0" w:firstColumn="1" w:lastColumn="0" w:noHBand="0" w:noVBand="1"/>
      </w:tblPr>
      <w:tblGrid>
        <w:gridCol w:w="5200"/>
        <w:gridCol w:w="960"/>
        <w:gridCol w:w="1070"/>
        <w:gridCol w:w="960"/>
        <w:gridCol w:w="960"/>
      </w:tblGrid>
      <w:tr w:rsidR="00725B63" w:rsidRPr="00725B63" w:rsidTr="00704176">
        <w:trPr>
          <w:trHeight w:val="255"/>
        </w:trPr>
        <w:tc>
          <w:tcPr>
            <w:tcW w:w="52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rok</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2021</w:t>
            </w:r>
          </w:p>
        </w:tc>
        <w:tc>
          <w:tcPr>
            <w:tcW w:w="107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2022</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2023</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2024</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Sociálna poisťovňa</w:t>
            </w:r>
            <w:r>
              <w:rPr>
                <w:rFonts w:ascii="Arial Narrow" w:eastAsia="Times New Roman" w:hAnsi="Arial Narrow" w:cs="Arial"/>
                <w:color w:val="000000"/>
                <w:sz w:val="20"/>
                <w:szCs w:val="20"/>
                <w:lang w:eastAsia="sk-SK"/>
              </w:rPr>
              <w:t xml:space="preserve"> vplyv zavedenia elektronickej </w:t>
            </w:r>
            <w:r w:rsidR="00743E8B">
              <w:rPr>
                <w:rFonts w:ascii="Arial Narrow" w:eastAsia="Times New Roman" w:hAnsi="Arial Narrow" w:cs="Arial"/>
                <w:color w:val="000000"/>
                <w:sz w:val="20"/>
                <w:szCs w:val="20"/>
                <w:lang w:eastAsia="sk-SK"/>
              </w:rPr>
              <w:t>DPN</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301 968</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622 041</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xml:space="preserve">  prevádzkové náklady </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301 968</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622 041</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bl>
    <w:p w:rsidR="00725B63" w:rsidRDefault="00725B63" w:rsidP="00725B63">
      <w:pPr>
        <w:spacing w:after="0" w:line="240" w:lineRule="auto"/>
        <w:rPr>
          <w:rFonts w:ascii="Times New Roman" w:eastAsia="Times New Roman" w:hAnsi="Times New Roman" w:cs="Times New Roman"/>
          <w:b/>
          <w:sz w:val="20"/>
          <w:szCs w:val="20"/>
          <w:lang w:eastAsia="sk-SK"/>
        </w:rPr>
      </w:pPr>
    </w:p>
    <w:tbl>
      <w:tblPr>
        <w:tblW w:w="9150" w:type="dxa"/>
        <w:tblInd w:w="-5" w:type="dxa"/>
        <w:tblCellMar>
          <w:left w:w="70" w:type="dxa"/>
          <w:right w:w="70" w:type="dxa"/>
        </w:tblCellMar>
        <w:tblLook w:val="04A0" w:firstRow="1" w:lastRow="0" w:firstColumn="1" w:lastColumn="0" w:noHBand="0" w:noVBand="1"/>
      </w:tblPr>
      <w:tblGrid>
        <w:gridCol w:w="5200"/>
        <w:gridCol w:w="960"/>
        <w:gridCol w:w="1070"/>
        <w:gridCol w:w="960"/>
        <w:gridCol w:w="960"/>
      </w:tblGrid>
      <w:tr w:rsidR="00BE3092" w:rsidRPr="00725B63" w:rsidTr="00685314">
        <w:trPr>
          <w:trHeight w:val="255"/>
        </w:trPr>
        <w:tc>
          <w:tcPr>
            <w:tcW w:w="52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rok</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2021</w:t>
            </w:r>
          </w:p>
        </w:tc>
        <w:tc>
          <w:tcPr>
            <w:tcW w:w="107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2022</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2023</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2024</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Sociálna poisťovňa</w:t>
            </w:r>
            <w:r>
              <w:rPr>
                <w:rFonts w:ascii="Arial Narrow" w:eastAsia="Times New Roman" w:hAnsi="Arial Narrow" w:cs="Arial"/>
                <w:color w:val="000000"/>
                <w:sz w:val="20"/>
                <w:szCs w:val="20"/>
                <w:lang w:eastAsia="sk-SK"/>
              </w:rPr>
              <w:t xml:space="preserve"> vplyv zavedenia </w:t>
            </w:r>
            <w:r w:rsidR="0028361B">
              <w:rPr>
                <w:rFonts w:ascii="Arial Narrow" w:eastAsia="Times New Roman" w:hAnsi="Arial Narrow" w:cs="Arial"/>
                <w:color w:val="000000"/>
                <w:sz w:val="20"/>
                <w:szCs w:val="20"/>
                <w:lang w:eastAsia="sk-SK"/>
              </w:rPr>
              <w:t xml:space="preserve">rodičovského dôchodku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100 000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200 000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xml:space="preserve">  prevádzkové náklady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100 000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200 000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bl>
    <w:p w:rsidR="00BE3092" w:rsidRDefault="00BE3092" w:rsidP="00725B63">
      <w:pPr>
        <w:spacing w:after="0" w:line="240" w:lineRule="auto"/>
        <w:rPr>
          <w:rFonts w:ascii="Times New Roman" w:eastAsia="Times New Roman" w:hAnsi="Times New Roman" w:cs="Times New Roman"/>
          <w:b/>
          <w:sz w:val="20"/>
          <w:szCs w:val="20"/>
          <w:lang w:eastAsia="sk-SK"/>
        </w:rPr>
      </w:pPr>
    </w:p>
    <w:p w:rsidR="00BE3092" w:rsidRDefault="00BE3092" w:rsidP="00725B63">
      <w:pPr>
        <w:spacing w:after="0" w:line="240" w:lineRule="auto"/>
        <w:rPr>
          <w:rFonts w:ascii="Times New Roman" w:eastAsia="Times New Roman" w:hAnsi="Times New Roman" w:cs="Times New Roman"/>
          <w:b/>
          <w:sz w:val="20"/>
          <w:szCs w:val="20"/>
          <w:lang w:eastAsia="sk-SK"/>
        </w:rPr>
      </w:pPr>
    </w:p>
    <w:tbl>
      <w:tblPr>
        <w:tblW w:w="9214" w:type="dxa"/>
        <w:tblInd w:w="-5"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CellMar>
          <w:left w:w="70" w:type="dxa"/>
          <w:right w:w="70" w:type="dxa"/>
        </w:tblCellMar>
        <w:tblLook w:val="04A0" w:firstRow="1" w:lastRow="0" w:firstColumn="1" w:lastColumn="0" w:noHBand="0" w:noVBand="1"/>
      </w:tblPr>
      <w:tblGrid>
        <w:gridCol w:w="5185"/>
        <w:gridCol w:w="993"/>
        <w:gridCol w:w="1052"/>
        <w:gridCol w:w="992"/>
        <w:gridCol w:w="992"/>
      </w:tblGrid>
      <w:tr w:rsidR="00725B63" w:rsidRPr="00F67319" w:rsidTr="00704176">
        <w:trPr>
          <w:trHeight w:val="315"/>
        </w:trPr>
        <w:tc>
          <w:tcPr>
            <w:tcW w:w="5185" w:type="dxa"/>
            <w:shd w:val="clear" w:color="000000" w:fill="A6A6A6"/>
            <w:noWrap/>
            <w:vAlign w:val="center"/>
            <w:hideMark/>
          </w:tcPr>
          <w:p w:rsidR="00725B63" w:rsidRPr="00F67319" w:rsidRDefault="00725B63" w:rsidP="00725B63">
            <w:pPr>
              <w:spacing w:after="0" w:line="240" w:lineRule="auto"/>
              <w:rPr>
                <w:rFonts w:ascii="Arial Narrow" w:hAnsi="Arial Narrow" w:cs="Arial"/>
                <w:color w:val="000000"/>
                <w:sz w:val="20"/>
                <w:szCs w:val="20"/>
                <w:lang w:eastAsia="sk-SK"/>
              </w:rPr>
            </w:pPr>
            <w:r w:rsidRPr="00F67319">
              <w:rPr>
                <w:rFonts w:ascii="Arial Narrow" w:hAnsi="Arial Narrow" w:cs="Arial"/>
                <w:color w:val="000000"/>
                <w:sz w:val="20"/>
                <w:szCs w:val="20"/>
                <w:lang w:eastAsia="sk-SK"/>
              </w:rPr>
              <w:t>rok</w:t>
            </w:r>
          </w:p>
        </w:tc>
        <w:tc>
          <w:tcPr>
            <w:tcW w:w="993" w:type="dxa"/>
            <w:shd w:val="clear" w:color="000000" w:fill="A6A6A6"/>
            <w:noWrap/>
            <w:vAlign w:val="center"/>
            <w:hideMark/>
          </w:tcPr>
          <w:p w:rsidR="00725B63" w:rsidRPr="00725B63" w:rsidRDefault="00725B63" w:rsidP="00725B63">
            <w:pPr>
              <w:spacing w:after="0" w:line="240" w:lineRule="auto"/>
              <w:jc w:val="center"/>
              <w:rPr>
                <w:rFonts w:ascii="Arial Narrow" w:hAnsi="Arial Narrow" w:cs="Arial"/>
                <w:b/>
                <w:color w:val="000000"/>
                <w:sz w:val="20"/>
                <w:szCs w:val="20"/>
                <w:lang w:eastAsia="sk-SK"/>
              </w:rPr>
            </w:pPr>
            <w:r w:rsidRPr="00725B63">
              <w:rPr>
                <w:rFonts w:ascii="Arial Narrow" w:hAnsi="Arial Narrow" w:cs="Arial"/>
                <w:b/>
                <w:color w:val="000000"/>
                <w:sz w:val="20"/>
                <w:szCs w:val="20"/>
                <w:lang w:eastAsia="sk-SK"/>
              </w:rPr>
              <w:t>2021</w:t>
            </w:r>
          </w:p>
        </w:tc>
        <w:tc>
          <w:tcPr>
            <w:tcW w:w="1052" w:type="dxa"/>
            <w:shd w:val="clear" w:color="000000" w:fill="A6A6A6"/>
            <w:noWrap/>
            <w:vAlign w:val="center"/>
            <w:hideMark/>
          </w:tcPr>
          <w:p w:rsidR="00725B63" w:rsidRPr="00725B63" w:rsidRDefault="00725B63" w:rsidP="00725B63">
            <w:pPr>
              <w:spacing w:after="0" w:line="240" w:lineRule="auto"/>
              <w:jc w:val="center"/>
              <w:rPr>
                <w:rFonts w:ascii="Arial Narrow" w:hAnsi="Arial Narrow" w:cs="Arial"/>
                <w:b/>
                <w:color w:val="000000"/>
                <w:sz w:val="20"/>
                <w:szCs w:val="20"/>
                <w:lang w:eastAsia="sk-SK"/>
              </w:rPr>
            </w:pPr>
            <w:r w:rsidRPr="00725B63">
              <w:rPr>
                <w:rFonts w:ascii="Arial Narrow" w:hAnsi="Arial Narrow" w:cs="Arial"/>
                <w:b/>
                <w:color w:val="000000"/>
                <w:sz w:val="20"/>
                <w:szCs w:val="20"/>
                <w:lang w:eastAsia="sk-SK"/>
              </w:rPr>
              <w:t>2022</w:t>
            </w:r>
          </w:p>
        </w:tc>
        <w:tc>
          <w:tcPr>
            <w:tcW w:w="992" w:type="dxa"/>
            <w:shd w:val="clear" w:color="000000" w:fill="A6A6A6"/>
            <w:noWrap/>
            <w:vAlign w:val="center"/>
            <w:hideMark/>
          </w:tcPr>
          <w:p w:rsidR="00725B63" w:rsidRPr="00725B63" w:rsidRDefault="00725B63" w:rsidP="00725B63">
            <w:pPr>
              <w:spacing w:after="0" w:line="240" w:lineRule="auto"/>
              <w:jc w:val="center"/>
              <w:rPr>
                <w:rFonts w:ascii="Arial Narrow" w:hAnsi="Arial Narrow" w:cs="Arial"/>
                <w:b/>
                <w:color w:val="000000"/>
                <w:sz w:val="20"/>
                <w:szCs w:val="20"/>
                <w:lang w:eastAsia="sk-SK"/>
              </w:rPr>
            </w:pPr>
            <w:r w:rsidRPr="00725B63">
              <w:rPr>
                <w:rFonts w:ascii="Arial Narrow" w:hAnsi="Arial Narrow" w:cs="Arial"/>
                <w:b/>
                <w:color w:val="000000"/>
                <w:sz w:val="20"/>
                <w:szCs w:val="20"/>
                <w:lang w:eastAsia="sk-SK"/>
              </w:rPr>
              <w:t>2023</w:t>
            </w:r>
          </w:p>
        </w:tc>
        <w:tc>
          <w:tcPr>
            <w:tcW w:w="992" w:type="dxa"/>
            <w:shd w:val="clear" w:color="000000" w:fill="A6A6A6"/>
            <w:noWrap/>
            <w:vAlign w:val="center"/>
            <w:hideMark/>
          </w:tcPr>
          <w:p w:rsidR="00725B63" w:rsidRPr="00725B63" w:rsidRDefault="00725B63" w:rsidP="00725B63">
            <w:pPr>
              <w:spacing w:after="0" w:line="240" w:lineRule="auto"/>
              <w:jc w:val="center"/>
              <w:rPr>
                <w:rFonts w:ascii="Arial Narrow" w:hAnsi="Arial Narrow" w:cs="Arial"/>
                <w:b/>
                <w:color w:val="000000"/>
                <w:sz w:val="20"/>
                <w:szCs w:val="20"/>
                <w:lang w:eastAsia="sk-SK"/>
              </w:rPr>
            </w:pPr>
            <w:r w:rsidRPr="00725B63">
              <w:rPr>
                <w:rFonts w:ascii="Arial Narrow" w:hAnsi="Arial Narrow" w:cs="Arial"/>
                <w:b/>
                <w:color w:val="000000"/>
                <w:sz w:val="20"/>
                <w:szCs w:val="20"/>
                <w:lang w:eastAsia="sk-SK"/>
              </w:rPr>
              <w:t>2024</w:t>
            </w:r>
          </w:p>
        </w:tc>
      </w:tr>
      <w:tr w:rsidR="00EB26B9" w:rsidRPr="00B525F9" w:rsidTr="00704176">
        <w:trPr>
          <w:trHeight w:val="315"/>
        </w:trPr>
        <w:tc>
          <w:tcPr>
            <w:tcW w:w="5185" w:type="dxa"/>
            <w:noWrap/>
            <w:vAlign w:val="center"/>
            <w:hideMark/>
          </w:tcPr>
          <w:p w:rsidR="00EB26B9" w:rsidRPr="00F67319" w:rsidRDefault="00EB26B9" w:rsidP="00EB26B9">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I</w:t>
            </w:r>
            <w:r w:rsidRPr="00333506">
              <w:rPr>
                <w:rFonts w:ascii="Arial Narrow" w:hAnsi="Arial Narrow" w:cs="Arial"/>
                <w:color w:val="000000"/>
                <w:sz w:val="20"/>
                <w:szCs w:val="20"/>
                <w:lang w:eastAsia="sk-SK"/>
              </w:rPr>
              <w:t>nštitúci</w:t>
            </w:r>
            <w:r>
              <w:rPr>
                <w:rFonts w:ascii="Arial Narrow" w:hAnsi="Arial Narrow" w:cs="Arial"/>
                <w:color w:val="000000"/>
                <w:sz w:val="20"/>
                <w:szCs w:val="20"/>
                <w:lang w:eastAsia="sk-SK"/>
              </w:rPr>
              <w:t>e</w:t>
            </w:r>
            <w:r w:rsidRPr="00333506">
              <w:rPr>
                <w:rFonts w:ascii="Arial Narrow" w:hAnsi="Arial Narrow" w:cs="Arial"/>
                <w:color w:val="000000"/>
                <w:sz w:val="20"/>
                <w:szCs w:val="20"/>
                <w:lang w:eastAsia="sk-SK"/>
              </w:rPr>
              <w:t xml:space="preserve"> s osobitným systémom sociálneho zabezpečenia</w:t>
            </w:r>
            <w:r>
              <w:rPr>
                <w:rFonts w:ascii="Arial Narrow" w:hAnsi="Arial Narrow" w:cs="Arial"/>
                <w:color w:val="000000"/>
                <w:sz w:val="20"/>
                <w:szCs w:val="20"/>
                <w:lang w:eastAsia="sk-SK"/>
              </w:rPr>
              <w:t xml:space="preserve"> + </w:t>
            </w:r>
            <w:r w:rsidR="007A6481">
              <w:rPr>
                <w:rFonts w:ascii="Arial Narrow" w:hAnsi="Arial Narrow" w:cs="Arial"/>
                <w:color w:val="000000"/>
                <w:sz w:val="20"/>
                <w:szCs w:val="20"/>
                <w:lang w:eastAsia="sk-SK"/>
              </w:rPr>
              <w:t>F</w:t>
            </w:r>
            <w:r>
              <w:rPr>
                <w:rFonts w:ascii="Arial Narrow" w:hAnsi="Arial Narrow" w:cs="Arial"/>
                <w:color w:val="000000"/>
                <w:sz w:val="20"/>
                <w:szCs w:val="20"/>
                <w:lang w:eastAsia="sk-SK"/>
              </w:rPr>
              <w:t>inančné riaditeľstvo SR vplyv zavedenia elektronickej DPN</w:t>
            </w:r>
          </w:p>
        </w:tc>
        <w:tc>
          <w:tcPr>
            <w:tcW w:w="993"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1 830 000</w:t>
            </w:r>
          </w:p>
        </w:tc>
        <w:tc>
          <w:tcPr>
            <w:tcW w:w="105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266 846</w:t>
            </w:r>
          </w:p>
        </w:tc>
        <w:tc>
          <w:tcPr>
            <w:tcW w:w="99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73 613</w:t>
            </w:r>
          </w:p>
        </w:tc>
        <w:tc>
          <w:tcPr>
            <w:tcW w:w="99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r>
      <w:tr w:rsidR="00725B63" w:rsidRPr="00B525F9" w:rsidTr="00704176">
        <w:trPr>
          <w:trHeight w:val="315"/>
        </w:trPr>
        <w:tc>
          <w:tcPr>
            <w:tcW w:w="5185" w:type="dxa"/>
            <w:noWrap/>
            <w:vAlign w:val="center"/>
          </w:tcPr>
          <w:p w:rsidR="00725B63" w:rsidRDefault="00725B63" w:rsidP="00725B63">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z toho:</w:t>
            </w:r>
          </w:p>
        </w:tc>
        <w:tc>
          <w:tcPr>
            <w:tcW w:w="993"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lang w:eastAsia="sk-SK"/>
              </w:rPr>
              <w:t xml:space="preserve">    </w:t>
            </w:r>
          </w:p>
        </w:tc>
        <w:tc>
          <w:tcPr>
            <w:tcW w:w="105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r>
      <w:tr w:rsidR="00725B63" w:rsidRPr="00B525F9" w:rsidTr="00704176">
        <w:trPr>
          <w:trHeight w:val="315"/>
        </w:trPr>
        <w:tc>
          <w:tcPr>
            <w:tcW w:w="5185" w:type="dxa"/>
            <w:noWrap/>
            <w:vAlign w:val="center"/>
          </w:tcPr>
          <w:p w:rsidR="00725B63" w:rsidRDefault="00725B63" w:rsidP="00725B63">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vplyv na MV SR (SIS)</w:t>
            </w:r>
          </w:p>
        </w:tc>
        <w:tc>
          <w:tcPr>
            <w:tcW w:w="993" w:type="dxa"/>
            <w:noWrap/>
            <w:vAlign w:val="center"/>
          </w:tcPr>
          <w:p w:rsidR="00725B63" w:rsidRDefault="00725B63" w:rsidP="00725B63">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lang w:eastAsia="sk-SK"/>
              </w:rPr>
              <w:t xml:space="preserve">    500 000</w:t>
            </w:r>
          </w:p>
        </w:tc>
        <w:tc>
          <w:tcPr>
            <w:tcW w:w="105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r>
      <w:tr w:rsidR="00725B63" w:rsidRPr="00B525F9" w:rsidTr="00704176">
        <w:trPr>
          <w:trHeight w:val="315"/>
        </w:trPr>
        <w:tc>
          <w:tcPr>
            <w:tcW w:w="5185" w:type="dxa"/>
            <w:noWrap/>
            <w:vAlign w:val="center"/>
          </w:tcPr>
          <w:p w:rsidR="00725B63" w:rsidRDefault="00725B63" w:rsidP="00725B63">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vplyv na MO SR</w:t>
            </w:r>
          </w:p>
        </w:tc>
        <w:tc>
          <w:tcPr>
            <w:tcW w:w="993" w:type="dxa"/>
            <w:noWrap/>
            <w:vAlign w:val="center"/>
          </w:tcPr>
          <w:p w:rsidR="00725B63" w:rsidRDefault="00725B63" w:rsidP="00725B63">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lang w:eastAsia="sk-SK"/>
              </w:rPr>
              <w:t xml:space="preserve">    500 000</w:t>
            </w:r>
          </w:p>
        </w:tc>
        <w:tc>
          <w:tcPr>
            <w:tcW w:w="105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r>
      <w:tr w:rsidR="00725B63" w:rsidRPr="00B525F9" w:rsidTr="00704176">
        <w:trPr>
          <w:trHeight w:val="315"/>
        </w:trPr>
        <w:tc>
          <w:tcPr>
            <w:tcW w:w="5185" w:type="dxa"/>
            <w:noWrap/>
            <w:vAlign w:val="center"/>
          </w:tcPr>
          <w:p w:rsidR="00725B63" w:rsidRDefault="00725B63" w:rsidP="00725B63">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vplyv na NBÚ SR</w:t>
            </w:r>
          </w:p>
        </w:tc>
        <w:tc>
          <w:tcPr>
            <w:tcW w:w="993" w:type="dxa"/>
            <w:noWrap/>
            <w:vAlign w:val="center"/>
          </w:tcPr>
          <w:p w:rsidR="00725B63" w:rsidRDefault="00725B63" w:rsidP="00725B63">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lang w:eastAsia="sk-SK"/>
              </w:rPr>
              <w:t xml:space="preserve">    200 000</w:t>
            </w:r>
          </w:p>
        </w:tc>
        <w:tc>
          <w:tcPr>
            <w:tcW w:w="105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r>
      <w:tr w:rsidR="00725B63" w:rsidRPr="00B525F9" w:rsidTr="00704176">
        <w:trPr>
          <w:trHeight w:val="315"/>
        </w:trPr>
        <w:tc>
          <w:tcPr>
            <w:tcW w:w="5185" w:type="dxa"/>
            <w:noWrap/>
            <w:vAlign w:val="center"/>
          </w:tcPr>
          <w:p w:rsidR="00725B63" w:rsidRDefault="00725B63" w:rsidP="00725B63">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vplyv na MS SR (ZVJS)</w:t>
            </w:r>
          </w:p>
        </w:tc>
        <w:tc>
          <w:tcPr>
            <w:tcW w:w="993" w:type="dxa"/>
            <w:noWrap/>
            <w:vAlign w:val="center"/>
          </w:tcPr>
          <w:p w:rsidR="00725B63" w:rsidRDefault="00725B63" w:rsidP="00725B63">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lang w:eastAsia="sk-SK"/>
              </w:rPr>
              <w:t xml:space="preserve">    450 000</w:t>
            </w:r>
          </w:p>
        </w:tc>
        <w:tc>
          <w:tcPr>
            <w:tcW w:w="105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c>
          <w:tcPr>
            <w:tcW w:w="992" w:type="dxa"/>
            <w:noWrap/>
            <w:vAlign w:val="center"/>
          </w:tcPr>
          <w:p w:rsidR="00725B63" w:rsidRPr="00B525F9" w:rsidRDefault="00725B63" w:rsidP="00725B63">
            <w:pPr>
              <w:spacing w:after="0" w:line="240" w:lineRule="auto"/>
              <w:jc w:val="center"/>
              <w:rPr>
                <w:rFonts w:ascii="Arial Narrow" w:hAnsi="Arial Narrow" w:cs="Arial"/>
                <w:color w:val="000000"/>
                <w:sz w:val="20"/>
                <w:szCs w:val="20"/>
                <w:lang w:eastAsia="sk-SK"/>
              </w:rPr>
            </w:pPr>
          </w:p>
        </w:tc>
      </w:tr>
      <w:tr w:rsidR="00EB26B9" w:rsidRPr="00B525F9" w:rsidTr="00704176">
        <w:trPr>
          <w:trHeight w:val="315"/>
        </w:trPr>
        <w:tc>
          <w:tcPr>
            <w:tcW w:w="5185" w:type="dxa"/>
            <w:noWrap/>
            <w:vAlign w:val="center"/>
          </w:tcPr>
          <w:p w:rsidR="00EB26B9" w:rsidRDefault="00EB26B9" w:rsidP="00EB26B9">
            <w:pPr>
              <w:spacing w:after="0" w:line="240" w:lineRule="auto"/>
              <w:rPr>
                <w:rFonts w:ascii="Arial Narrow" w:hAnsi="Arial Narrow" w:cs="Arial"/>
                <w:color w:val="000000"/>
                <w:sz w:val="20"/>
                <w:szCs w:val="20"/>
                <w:lang w:eastAsia="sk-SK"/>
              </w:rPr>
            </w:pPr>
            <w:r>
              <w:rPr>
                <w:rFonts w:ascii="Arial Narrow" w:hAnsi="Arial Narrow" w:cs="Arial"/>
                <w:color w:val="000000"/>
                <w:sz w:val="20"/>
                <w:szCs w:val="20"/>
                <w:lang w:eastAsia="sk-SK"/>
              </w:rPr>
              <w:t>vplyv na FR SR – Informačný systém vnútornej správy finančnej správy</w:t>
            </w:r>
          </w:p>
        </w:tc>
        <w:tc>
          <w:tcPr>
            <w:tcW w:w="993" w:type="dxa"/>
            <w:noWrap/>
            <w:vAlign w:val="center"/>
          </w:tcPr>
          <w:p w:rsidR="00EB26B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180 000</w:t>
            </w:r>
          </w:p>
        </w:tc>
        <w:tc>
          <w:tcPr>
            <w:tcW w:w="1052" w:type="dxa"/>
            <w:noWrap/>
            <w:vAlign w:val="center"/>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266 846</w:t>
            </w:r>
          </w:p>
        </w:tc>
        <w:tc>
          <w:tcPr>
            <w:tcW w:w="992" w:type="dxa"/>
            <w:noWrap/>
            <w:vAlign w:val="center"/>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73 613</w:t>
            </w:r>
          </w:p>
        </w:tc>
        <w:tc>
          <w:tcPr>
            <w:tcW w:w="992" w:type="dxa"/>
            <w:noWrap/>
            <w:vAlign w:val="center"/>
          </w:tcPr>
          <w:p w:rsidR="00EB26B9" w:rsidRPr="00B525F9" w:rsidRDefault="00EB26B9" w:rsidP="00EB26B9">
            <w:pPr>
              <w:spacing w:after="0" w:line="240" w:lineRule="auto"/>
              <w:jc w:val="center"/>
              <w:rPr>
                <w:rFonts w:ascii="Arial Narrow" w:hAnsi="Arial Narrow" w:cs="Arial"/>
                <w:color w:val="000000"/>
                <w:sz w:val="20"/>
                <w:szCs w:val="20"/>
                <w:lang w:eastAsia="sk-SK"/>
              </w:rPr>
            </w:pPr>
          </w:p>
        </w:tc>
      </w:tr>
      <w:tr w:rsidR="00725B63" w:rsidRPr="00B525F9" w:rsidTr="00704176">
        <w:trPr>
          <w:trHeight w:val="315"/>
        </w:trPr>
        <w:tc>
          <w:tcPr>
            <w:tcW w:w="5185" w:type="dxa"/>
            <w:noWrap/>
            <w:vAlign w:val="center"/>
            <w:hideMark/>
          </w:tcPr>
          <w:p w:rsidR="00725B63" w:rsidRPr="00F67319" w:rsidRDefault="00725B63" w:rsidP="00725B63">
            <w:pPr>
              <w:spacing w:after="0" w:line="240" w:lineRule="auto"/>
              <w:rPr>
                <w:rFonts w:ascii="Arial Narrow" w:hAnsi="Arial Narrow" w:cs="Arial"/>
                <w:color w:val="000000"/>
                <w:sz w:val="20"/>
                <w:szCs w:val="20"/>
                <w:lang w:eastAsia="sk-SK"/>
              </w:rPr>
            </w:pPr>
            <w:r w:rsidRPr="00F67319">
              <w:rPr>
                <w:rFonts w:ascii="Arial Narrow" w:hAnsi="Arial Narrow" w:cs="Arial"/>
                <w:color w:val="000000"/>
                <w:sz w:val="20"/>
                <w:szCs w:val="20"/>
                <w:lang w:eastAsia="sk-SK"/>
              </w:rPr>
              <w:t>z toho:</w:t>
            </w:r>
          </w:p>
        </w:tc>
        <w:tc>
          <w:tcPr>
            <w:tcW w:w="993"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 </w:t>
            </w:r>
          </w:p>
        </w:tc>
        <w:tc>
          <w:tcPr>
            <w:tcW w:w="105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 </w:t>
            </w:r>
          </w:p>
        </w:tc>
        <w:tc>
          <w:tcPr>
            <w:tcW w:w="99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 </w:t>
            </w:r>
          </w:p>
        </w:tc>
        <w:tc>
          <w:tcPr>
            <w:tcW w:w="99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 </w:t>
            </w:r>
          </w:p>
        </w:tc>
      </w:tr>
      <w:tr w:rsidR="00725B63" w:rsidRPr="00B525F9" w:rsidTr="00704176">
        <w:trPr>
          <w:trHeight w:val="315"/>
        </w:trPr>
        <w:tc>
          <w:tcPr>
            <w:tcW w:w="5185" w:type="dxa"/>
            <w:noWrap/>
            <w:vAlign w:val="center"/>
            <w:hideMark/>
          </w:tcPr>
          <w:p w:rsidR="00725B63" w:rsidRPr="00F67319" w:rsidRDefault="00725B63" w:rsidP="00725B63">
            <w:pPr>
              <w:spacing w:after="0" w:line="240" w:lineRule="auto"/>
              <w:rPr>
                <w:rFonts w:ascii="Arial Narrow" w:hAnsi="Arial Narrow" w:cs="Arial"/>
                <w:color w:val="000000"/>
                <w:sz w:val="20"/>
                <w:szCs w:val="20"/>
                <w:lang w:eastAsia="sk-SK"/>
              </w:rPr>
            </w:pPr>
            <w:r w:rsidRPr="00F67319">
              <w:rPr>
                <w:rFonts w:ascii="Arial Narrow" w:hAnsi="Arial Narrow" w:cs="Arial"/>
                <w:color w:val="000000"/>
                <w:sz w:val="20"/>
                <w:szCs w:val="20"/>
                <w:lang w:eastAsia="sk-SK"/>
              </w:rPr>
              <w:t>  kapitálové výdavky</w:t>
            </w:r>
          </w:p>
        </w:tc>
        <w:tc>
          <w:tcPr>
            <w:tcW w:w="993"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c>
          <w:tcPr>
            <w:tcW w:w="105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c>
          <w:tcPr>
            <w:tcW w:w="99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c>
          <w:tcPr>
            <w:tcW w:w="992" w:type="dxa"/>
            <w:noWrap/>
            <w:vAlign w:val="center"/>
            <w:hideMark/>
          </w:tcPr>
          <w:p w:rsidR="00725B63" w:rsidRPr="00B525F9" w:rsidRDefault="00725B63" w:rsidP="00725B63">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r>
      <w:tr w:rsidR="00EB26B9" w:rsidRPr="00B525F9" w:rsidTr="00704176">
        <w:trPr>
          <w:trHeight w:val="315"/>
        </w:trPr>
        <w:tc>
          <w:tcPr>
            <w:tcW w:w="5185" w:type="dxa"/>
            <w:noWrap/>
            <w:vAlign w:val="center"/>
            <w:hideMark/>
          </w:tcPr>
          <w:p w:rsidR="00EB26B9" w:rsidRPr="00F67319" w:rsidRDefault="00EB26B9" w:rsidP="00EB26B9">
            <w:pPr>
              <w:spacing w:after="0" w:line="240" w:lineRule="auto"/>
              <w:rPr>
                <w:rFonts w:ascii="Arial Narrow" w:hAnsi="Arial Narrow" w:cs="Arial"/>
                <w:color w:val="000000"/>
                <w:sz w:val="20"/>
                <w:szCs w:val="20"/>
                <w:lang w:eastAsia="sk-SK"/>
              </w:rPr>
            </w:pPr>
            <w:r w:rsidRPr="00F67319">
              <w:rPr>
                <w:rFonts w:ascii="Arial Narrow" w:hAnsi="Arial Narrow" w:cs="Arial"/>
                <w:color w:val="000000"/>
                <w:sz w:val="20"/>
                <w:szCs w:val="20"/>
                <w:lang w:eastAsia="sk-SK"/>
              </w:rPr>
              <w:t xml:space="preserve">  prevádzkové náklady </w:t>
            </w:r>
          </w:p>
        </w:tc>
        <w:tc>
          <w:tcPr>
            <w:tcW w:w="993"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1 830 000</w:t>
            </w:r>
          </w:p>
        </w:tc>
        <w:tc>
          <w:tcPr>
            <w:tcW w:w="105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266 846</w:t>
            </w:r>
          </w:p>
        </w:tc>
        <w:tc>
          <w:tcPr>
            <w:tcW w:w="99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Pr>
                <w:rFonts w:ascii="Arial Narrow" w:hAnsi="Arial Narrow" w:cs="Arial"/>
                <w:color w:val="000000"/>
                <w:sz w:val="20"/>
                <w:szCs w:val="20"/>
              </w:rPr>
              <w:t>73 613</w:t>
            </w:r>
          </w:p>
        </w:tc>
        <w:tc>
          <w:tcPr>
            <w:tcW w:w="992" w:type="dxa"/>
            <w:noWrap/>
            <w:vAlign w:val="center"/>
            <w:hideMark/>
          </w:tcPr>
          <w:p w:rsidR="00EB26B9" w:rsidRPr="00B525F9" w:rsidRDefault="00EB26B9" w:rsidP="00EB26B9">
            <w:pPr>
              <w:spacing w:after="0" w:line="240" w:lineRule="auto"/>
              <w:jc w:val="center"/>
              <w:rPr>
                <w:rFonts w:ascii="Arial Narrow" w:hAnsi="Arial Narrow" w:cs="Arial"/>
                <w:color w:val="000000"/>
                <w:sz w:val="20"/>
                <w:szCs w:val="20"/>
                <w:lang w:eastAsia="sk-SK"/>
              </w:rPr>
            </w:pPr>
            <w:r w:rsidRPr="00B525F9">
              <w:rPr>
                <w:rFonts w:ascii="Arial Narrow" w:hAnsi="Arial Narrow" w:cs="Arial"/>
                <w:color w:val="000000"/>
                <w:sz w:val="20"/>
                <w:szCs w:val="20"/>
                <w:lang w:eastAsia="sk-SK"/>
              </w:rPr>
              <w:t>0</w:t>
            </w:r>
          </w:p>
        </w:tc>
      </w:tr>
    </w:tbl>
    <w:p w:rsidR="00725B63" w:rsidRPr="00725B63" w:rsidRDefault="00725B63" w:rsidP="00725B63">
      <w:pPr>
        <w:spacing w:after="0" w:line="240" w:lineRule="auto"/>
        <w:rPr>
          <w:rFonts w:ascii="Times New Roman" w:eastAsia="Times New Roman" w:hAnsi="Times New Roman" w:cs="Times New Roman"/>
          <w:b/>
          <w:sz w:val="20"/>
          <w:szCs w:val="20"/>
          <w:lang w:eastAsia="sk-SK"/>
        </w:rPr>
      </w:pPr>
    </w:p>
    <w:tbl>
      <w:tblPr>
        <w:tblW w:w="9214" w:type="dxa"/>
        <w:tblInd w:w="-5" w:type="dxa"/>
        <w:tblCellMar>
          <w:left w:w="70" w:type="dxa"/>
          <w:right w:w="70" w:type="dxa"/>
        </w:tblCellMar>
        <w:tblLook w:val="04A0" w:firstRow="1" w:lastRow="0" w:firstColumn="1" w:lastColumn="0" w:noHBand="0" w:noVBand="1"/>
      </w:tblPr>
      <w:tblGrid>
        <w:gridCol w:w="5200"/>
        <w:gridCol w:w="960"/>
        <w:gridCol w:w="1070"/>
        <w:gridCol w:w="960"/>
        <w:gridCol w:w="1024"/>
      </w:tblGrid>
      <w:tr w:rsidR="00725B63" w:rsidRPr="00725B63" w:rsidTr="00704176">
        <w:trPr>
          <w:trHeight w:val="255"/>
        </w:trPr>
        <w:tc>
          <w:tcPr>
            <w:tcW w:w="52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rok</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2021</w:t>
            </w:r>
          </w:p>
        </w:tc>
        <w:tc>
          <w:tcPr>
            <w:tcW w:w="107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2022</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2023</w:t>
            </w:r>
          </w:p>
        </w:tc>
        <w:tc>
          <w:tcPr>
            <w:tcW w:w="1024" w:type="dxa"/>
            <w:tcBorders>
              <w:top w:val="single" w:sz="4" w:space="0" w:color="auto"/>
              <w:left w:val="nil"/>
              <w:bottom w:val="single" w:sz="4" w:space="0" w:color="auto"/>
              <w:right w:val="single" w:sz="4" w:space="0" w:color="auto"/>
            </w:tcBorders>
            <w:shd w:val="clear" w:color="000000" w:fill="A6A6A6"/>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2024</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Národné centrum zdravotníckych informácií</w:t>
            </w:r>
            <w:r>
              <w:rPr>
                <w:rFonts w:ascii="Arial Narrow" w:eastAsia="Times New Roman" w:hAnsi="Arial Narrow" w:cs="Arial"/>
                <w:color w:val="000000"/>
                <w:sz w:val="20"/>
                <w:szCs w:val="20"/>
                <w:lang w:eastAsia="sk-SK"/>
              </w:rPr>
              <w:t xml:space="preserve"> vplyv zavedenia elektronickej </w:t>
            </w:r>
            <w:r w:rsidR="00743E8B">
              <w:rPr>
                <w:rFonts w:ascii="Arial Narrow" w:eastAsia="Times New Roman" w:hAnsi="Arial Narrow" w:cs="Arial"/>
                <w:color w:val="000000"/>
                <w:sz w:val="20"/>
                <w:szCs w:val="20"/>
                <w:lang w:eastAsia="sk-SK"/>
              </w:rPr>
              <w:t>DPN</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510 000</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45 000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90 000</w:t>
            </w:r>
          </w:p>
        </w:tc>
        <w:tc>
          <w:tcPr>
            <w:tcW w:w="1024"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90 000</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1024"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500 000</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24"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725B63" w:rsidRPr="00725B63" w:rsidTr="00704176">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xml:space="preserve">  prevádzkové náklady </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10 000</w:t>
            </w:r>
          </w:p>
        </w:tc>
        <w:tc>
          <w:tcPr>
            <w:tcW w:w="107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45 000</w:t>
            </w:r>
          </w:p>
        </w:tc>
        <w:tc>
          <w:tcPr>
            <w:tcW w:w="960"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90 000</w:t>
            </w:r>
          </w:p>
        </w:tc>
        <w:tc>
          <w:tcPr>
            <w:tcW w:w="1024" w:type="dxa"/>
            <w:tcBorders>
              <w:top w:val="nil"/>
              <w:left w:val="nil"/>
              <w:bottom w:val="single" w:sz="4" w:space="0" w:color="auto"/>
              <w:right w:val="single" w:sz="4" w:space="0" w:color="auto"/>
            </w:tcBorders>
            <w:shd w:val="clear" w:color="auto" w:fill="auto"/>
            <w:noWrap/>
            <w:vAlign w:val="center"/>
            <w:hideMark/>
          </w:tcPr>
          <w:p w:rsidR="00725B63" w:rsidRPr="00725B63" w:rsidRDefault="00725B63" w:rsidP="00725B63">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90 000</w:t>
            </w:r>
          </w:p>
        </w:tc>
      </w:tr>
    </w:tbl>
    <w:p w:rsidR="00725B63" w:rsidRPr="007D5748" w:rsidRDefault="00725B63" w:rsidP="00725B63">
      <w:pPr>
        <w:spacing w:after="0" w:line="240" w:lineRule="auto"/>
        <w:rPr>
          <w:rFonts w:ascii="Times New Roman" w:eastAsia="Times New Roman" w:hAnsi="Times New Roman" w:cs="Times New Roman"/>
          <w:sz w:val="20"/>
          <w:szCs w:val="20"/>
          <w:lang w:eastAsia="sk-SK"/>
        </w:rPr>
      </w:pPr>
    </w:p>
    <w:p w:rsidR="0093736A" w:rsidRPr="00B94369" w:rsidRDefault="0093736A" w:rsidP="001E6E4A">
      <w:pPr>
        <w:spacing w:after="0" w:line="264" w:lineRule="auto"/>
        <w:ind w:firstLine="709"/>
        <w:jc w:val="both"/>
        <w:rPr>
          <w:rFonts w:ascii="Times New Roman" w:eastAsia="Times New Roman" w:hAnsi="Times New Roman" w:cs="Times New Roman"/>
          <w:szCs w:val="24"/>
          <w:lang w:eastAsia="sk-SK"/>
        </w:rPr>
      </w:pPr>
      <w:r w:rsidRPr="00B94369">
        <w:rPr>
          <w:rFonts w:ascii="Times New Roman" w:eastAsia="Times New Roman" w:hAnsi="Times New Roman" w:cs="Times New Roman"/>
          <w:szCs w:val="24"/>
          <w:lang w:eastAsia="sk-SK"/>
        </w:rPr>
        <w:t>Celkov</w:t>
      </w:r>
      <w:r w:rsidR="00806408">
        <w:rPr>
          <w:rFonts w:ascii="Times New Roman" w:eastAsia="Times New Roman" w:hAnsi="Times New Roman" w:cs="Times New Roman"/>
          <w:szCs w:val="24"/>
          <w:lang w:eastAsia="sk-SK"/>
        </w:rPr>
        <w:t xml:space="preserve">o sa predpokladá pokles výdavkov </w:t>
      </w:r>
      <w:r w:rsidRPr="00B94369">
        <w:rPr>
          <w:rFonts w:ascii="Times New Roman" w:eastAsia="Times New Roman" w:hAnsi="Times New Roman" w:cs="Times New Roman"/>
          <w:szCs w:val="24"/>
          <w:lang w:eastAsia="sk-SK"/>
        </w:rPr>
        <w:t xml:space="preserve"> na informačné systémy verejnej správy v roku 2021 na úrovni približne 1,</w:t>
      </w:r>
      <w:r w:rsidR="00685314">
        <w:rPr>
          <w:rFonts w:ascii="Times New Roman" w:eastAsia="Times New Roman" w:hAnsi="Times New Roman" w:cs="Times New Roman"/>
          <w:szCs w:val="24"/>
          <w:lang w:eastAsia="sk-SK"/>
        </w:rPr>
        <w:t>3</w:t>
      </w:r>
      <w:r w:rsidRPr="00B94369">
        <w:rPr>
          <w:rFonts w:ascii="Times New Roman" w:eastAsia="Times New Roman" w:hAnsi="Times New Roman" w:cs="Times New Roman"/>
          <w:szCs w:val="24"/>
          <w:lang w:eastAsia="sk-SK"/>
        </w:rPr>
        <w:t xml:space="preserve"> mil. eur, v roku 2022 na úrovni približne 10,</w:t>
      </w:r>
      <w:r w:rsidR="00E5214C">
        <w:rPr>
          <w:rFonts w:ascii="Times New Roman" w:eastAsia="Times New Roman" w:hAnsi="Times New Roman" w:cs="Times New Roman"/>
          <w:szCs w:val="24"/>
          <w:lang w:eastAsia="sk-SK"/>
        </w:rPr>
        <w:t>2</w:t>
      </w:r>
      <w:r w:rsidRPr="00B94369">
        <w:rPr>
          <w:rFonts w:ascii="Times New Roman" w:eastAsia="Times New Roman" w:hAnsi="Times New Roman" w:cs="Times New Roman"/>
          <w:szCs w:val="24"/>
          <w:lang w:eastAsia="sk-SK"/>
        </w:rPr>
        <w:t xml:space="preserve"> mil. eur a v rokoch 2023 a 2024 na úrovni približne 2,</w:t>
      </w:r>
      <w:r w:rsidR="00E5214C">
        <w:rPr>
          <w:rFonts w:ascii="Times New Roman" w:eastAsia="Times New Roman" w:hAnsi="Times New Roman" w:cs="Times New Roman"/>
          <w:szCs w:val="24"/>
          <w:lang w:eastAsia="sk-SK"/>
        </w:rPr>
        <w:t xml:space="preserve">1 </w:t>
      </w:r>
      <w:r w:rsidRPr="00B94369">
        <w:rPr>
          <w:rFonts w:ascii="Times New Roman" w:eastAsia="Times New Roman" w:hAnsi="Times New Roman" w:cs="Times New Roman"/>
          <w:szCs w:val="24"/>
          <w:lang w:eastAsia="sk-SK"/>
        </w:rPr>
        <w:t>mil. eur</w:t>
      </w:r>
      <w:r w:rsidR="00E5214C">
        <w:rPr>
          <w:rFonts w:ascii="Times New Roman" w:eastAsia="Times New Roman" w:hAnsi="Times New Roman" w:cs="Times New Roman"/>
          <w:szCs w:val="24"/>
          <w:lang w:eastAsia="sk-SK"/>
        </w:rPr>
        <w:t xml:space="preserve"> a 2,2 mil. eur</w:t>
      </w:r>
      <w:r w:rsidRPr="00B94369">
        <w:rPr>
          <w:rFonts w:ascii="Times New Roman" w:eastAsia="Times New Roman" w:hAnsi="Times New Roman" w:cs="Times New Roman"/>
          <w:szCs w:val="24"/>
          <w:lang w:eastAsia="sk-SK"/>
        </w:rPr>
        <w:t xml:space="preserve">. </w:t>
      </w:r>
    </w:p>
    <w:p w:rsidR="00E47C9F" w:rsidRDefault="00E47C9F" w:rsidP="00E47C9F">
      <w:pPr>
        <w:spacing w:after="0" w:line="240" w:lineRule="auto"/>
        <w:rPr>
          <w:rFonts w:ascii="Times New Roman" w:eastAsia="Times New Roman" w:hAnsi="Times New Roman" w:cs="Times New Roman"/>
          <w:szCs w:val="24"/>
          <w:lang w:eastAsia="sk-SK"/>
        </w:rPr>
      </w:pPr>
    </w:p>
    <w:p w:rsidR="00065664" w:rsidRPr="00B94369" w:rsidRDefault="00065664" w:rsidP="00E47C9F">
      <w:pPr>
        <w:spacing w:after="0" w:line="240" w:lineRule="auto"/>
        <w:rPr>
          <w:rFonts w:ascii="Times New Roman" w:eastAsia="Times New Roman" w:hAnsi="Times New Roman" w:cs="Times New Roman"/>
          <w:szCs w:val="24"/>
          <w:lang w:eastAsia="sk-SK"/>
        </w:rPr>
      </w:pPr>
    </w:p>
    <w:tbl>
      <w:tblPr>
        <w:tblW w:w="9238" w:type="dxa"/>
        <w:tblCellMar>
          <w:left w:w="70" w:type="dxa"/>
          <w:right w:w="70" w:type="dxa"/>
        </w:tblCellMar>
        <w:tblLook w:val="04A0" w:firstRow="1" w:lastRow="0" w:firstColumn="1" w:lastColumn="0" w:noHBand="0" w:noVBand="1"/>
      </w:tblPr>
      <w:tblGrid>
        <w:gridCol w:w="5093"/>
        <w:gridCol w:w="1020"/>
        <w:gridCol w:w="1141"/>
        <w:gridCol w:w="992"/>
        <w:gridCol w:w="992"/>
      </w:tblGrid>
      <w:tr w:rsidR="00577CF3" w:rsidRPr="00577CF3" w:rsidTr="00704176">
        <w:trPr>
          <w:trHeight w:val="270"/>
        </w:trPr>
        <w:tc>
          <w:tcPr>
            <w:tcW w:w="5093" w:type="dxa"/>
            <w:tcBorders>
              <w:top w:val="single" w:sz="8" w:space="0" w:color="auto"/>
              <w:left w:val="single" w:sz="8" w:space="0" w:color="auto"/>
              <w:bottom w:val="nil"/>
              <w:right w:val="single" w:sz="4" w:space="0" w:color="auto"/>
            </w:tcBorders>
            <w:shd w:val="clear" w:color="000000" w:fill="A6A6A6"/>
            <w:noWrap/>
            <w:vAlign w:val="center"/>
            <w:hideMark/>
          </w:tcPr>
          <w:p w:rsidR="00577CF3" w:rsidRPr="00577CF3" w:rsidRDefault="00577CF3" w:rsidP="00577CF3">
            <w:pPr>
              <w:spacing w:after="0" w:line="240" w:lineRule="auto"/>
              <w:rPr>
                <w:rFonts w:ascii="Arial Narrow" w:eastAsia="Times New Roman" w:hAnsi="Arial Narrow" w:cs="Arial"/>
                <w:color w:val="000000"/>
                <w:sz w:val="20"/>
                <w:szCs w:val="20"/>
                <w:lang w:eastAsia="sk-SK"/>
              </w:rPr>
            </w:pPr>
            <w:r w:rsidRPr="00577CF3">
              <w:rPr>
                <w:rFonts w:ascii="Arial Narrow" w:eastAsia="Times New Roman" w:hAnsi="Arial Narrow" w:cs="Arial"/>
                <w:color w:val="000000"/>
                <w:sz w:val="20"/>
                <w:szCs w:val="20"/>
                <w:lang w:eastAsia="sk-SK"/>
              </w:rPr>
              <w:t>rok</w:t>
            </w:r>
          </w:p>
        </w:tc>
        <w:tc>
          <w:tcPr>
            <w:tcW w:w="1020" w:type="dxa"/>
            <w:tcBorders>
              <w:top w:val="single" w:sz="8" w:space="0" w:color="auto"/>
              <w:left w:val="nil"/>
              <w:bottom w:val="nil"/>
              <w:right w:val="single" w:sz="4" w:space="0" w:color="auto"/>
            </w:tcBorders>
            <w:shd w:val="clear" w:color="000000" w:fill="A6A6A6"/>
            <w:noWrap/>
            <w:vAlign w:val="center"/>
            <w:hideMark/>
          </w:tcPr>
          <w:p w:rsidR="00577CF3" w:rsidRPr="00577CF3" w:rsidRDefault="00577CF3" w:rsidP="00577CF3">
            <w:pPr>
              <w:spacing w:after="0" w:line="240" w:lineRule="auto"/>
              <w:jc w:val="center"/>
              <w:rPr>
                <w:rFonts w:ascii="Arial Narrow" w:eastAsia="Times New Roman" w:hAnsi="Arial Narrow" w:cs="Arial"/>
                <w:b/>
                <w:bCs/>
                <w:color w:val="000000"/>
                <w:sz w:val="20"/>
                <w:szCs w:val="20"/>
                <w:lang w:eastAsia="sk-SK"/>
              </w:rPr>
            </w:pPr>
            <w:r w:rsidRPr="00577CF3">
              <w:rPr>
                <w:rFonts w:ascii="Arial Narrow" w:eastAsia="Times New Roman" w:hAnsi="Arial Narrow" w:cs="Arial"/>
                <w:b/>
                <w:bCs/>
                <w:color w:val="000000"/>
                <w:sz w:val="20"/>
                <w:szCs w:val="20"/>
                <w:lang w:eastAsia="sk-SK"/>
              </w:rPr>
              <w:t>2021</w:t>
            </w:r>
          </w:p>
        </w:tc>
        <w:tc>
          <w:tcPr>
            <w:tcW w:w="1141" w:type="dxa"/>
            <w:tcBorders>
              <w:top w:val="single" w:sz="8" w:space="0" w:color="auto"/>
              <w:left w:val="nil"/>
              <w:bottom w:val="nil"/>
              <w:right w:val="single" w:sz="4" w:space="0" w:color="auto"/>
            </w:tcBorders>
            <w:shd w:val="clear" w:color="000000" w:fill="A6A6A6"/>
            <w:noWrap/>
            <w:vAlign w:val="center"/>
            <w:hideMark/>
          </w:tcPr>
          <w:p w:rsidR="00577CF3" w:rsidRPr="00577CF3" w:rsidRDefault="00577CF3" w:rsidP="00577CF3">
            <w:pPr>
              <w:spacing w:after="0" w:line="240" w:lineRule="auto"/>
              <w:jc w:val="center"/>
              <w:rPr>
                <w:rFonts w:ascii="Arial Narrow" w:eastAsia="Times New Roman" w:hAnsi="Arial Narrow" w:cs="Arial"/>
                <w:b/>
                <w:bCs/>
                <w:color w:val="000000"/>
                <w:sz w:val="20"/>
                <w:szCs w:val="20"/>
                <w:lang w:eastAsia="sk-SK"/>
              </w:rPr>
            </w:pPr>
            <w:r w:rsidRPr="00577CF3">
              <w:rPr>
                <w:rFonts w:ascii="Arial Narrow" w:eastAsia="Times New Roman" w:hAnsi="Arial Narrow" w:cs="Arial"/>
                <w:b/>
                <w:bCs/>
                <w:color w:val="000000"/>
                <w:sz w:val="20"/>
                <w:szCs w:val="20"/>
                <w:lang w:eastAsia="sk-SK"/>
              </w:rPr>
              <w:t>2022</w:t>
            </w:r>
          </w:p>
        </w:tc>
        <w:tc>
          <w:tcPr>
            <w:tcW w:w="992" w:type="dxa"/>
            <w:tcBorders>
              <w:top w:val="single" w:sz="8" w:space="0" w:color="auto"/>
              <w:left w:val="nil"/>
              <w:bottom w:val="nil"/>
              <w:right w:val="single" w:sz="4" w:space="0" w:color="auto"/>
            </w:tcBorders>
            <w:shd w:val="clear" w:color="000000" w:fill="A6A6A6"/>
            <w:noWrap/>
            <w:vAlign w:val="center"/>
            <w:hideMark/>
          </w:tcPr>
          <w:p w:rsidR="00577CF3" w:rsidRPr="00577CF3" w:rsidRDefault="00577CF3" w:rsidP="00577CF3">
            <w:pPr>
              <w:spacing w:after="0" w:line="240" w:lineRule="auto"/>
              <w:jc w:val="center"/>
              <w:rPr>
                <w:rFonts w:ascii="Arial Narrow" w:eastAsia="Times New Roman" w:hAnsi="Arial Narrow" w:cs="Arial"/>
                <w:b/>
                <w:bCs/>
                <w:color w:val="000000"/>
                <w:sz w:val="20"/>
                <w:szCs w:val="20"/>
                <w:lang w:eastAsia="sk-SK"/>
              </w:rPr>
            </w:pPr>
            <w:r w:rsidRPr="00577CF3">
              <w:rPr>
                <w:rFonts w:ascii="Arial Narrow" w:eastAsia="Times New Roman" w:hAnsi="Arial Narrow" w:cs="Arial"/>
                <w:b/>
                <w:bCs/>
                <w:color w:val="000000"/>
                <w:sz w:val="20"/>
                <w:szCs w:val="20"/>
                <w:lang w:eastAsia="sk-SK"/>
              </w:rPr>
              <w:t>2023</w:t>
            </w:r>
          </w:p>
        </w:tc>
        <w:tc>
          <w:tcPr>
            <w:tcW w:w="992" w:type="dxa"/>
            <w:tcBorders>
              <w:top w:val="single" w:sz="8" w:space="0" w:color="auto"/>
              <w:left w:val="nil"/>
              <w:bottom w:val="nil"/>
              <w:right w:val="single" w:sz="4" w:space="0" w:color="auto"/>
            </w:tcBorders>
            <w:shd w:val="clear" w:color="000000" w:fill="A6A6A6"/>
            <w:noWrap/>
            <w:vAlign w:val="center"/>
            <w:hideMark/>
          </w:tcPr>
          <w:p w:rsidR="00577CF3" w:rsidRPr="00577CF3" w:rsidRDefault="00577CF3" w:rsidP="00577CF3">
            <w:pPr>
              <w:spacing w:after="0" w:line="240" w:lineRule="auto"/>
              <w:jc w:val="center"/>
              <w:rPr>
                <w:rFonts w:ascii="Arial Narrow" w:eastAsia="Times New Roman" w:hAnsi="Arial Narrow" w:cs="Arial"/>
                <w:b/>
                <w:bCs/>
                <w:color w:val="000000"/>
                <w:sz w:val="20"/>
                <w:szCs w:val="20"/>
                <w:lang w:eastAsia="sk-SK"/>
              </w:rPr>
            </w:pPr>
            <w:r w:rsidRPr="00577CF3">
              <w:rPr>
                <w:rFonts w:ascii="Arial Narrow" w:eastAsia="Times New Roman" w:hAnsi="Arial Narrow" w:cs="Arial"/>
                <w:b/>
                <w:bCs/>
                <w:color w:val="000000"/>
                <w:sz w:val="20"/>
                <w:szCs w:val="20"/>
                <w:lang w:eastAsia="sk-SK"/>
              </w:rPr>
              <w:t>2024</w:t>
            </w:r>
          </w:p>
        </w:tc>
      </w:tr>
      <w:tr w:rsidR="00EB26B9" w:rsidRPr="00577CF3" w:rsidTr="00704176">
        <w:trPr>
          <w:trHeight w:val="255"/>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rPr>
                <w:rFonts w:ascii="Arial Narrow" w:eastAsia="Times New Roman" w:hAnsi="Arial Narrow" w:cs="Arial"/>
                <w:b/>
                <w:bCs/>
                <w:color w:val="000000"/>
                <w:sz w:val="20"/>
                <w:szCs w:val="20"/>
                <w:lang w:eastAsia="sk-SK"/>
              </w:rPr>
            </w:pPr>
            <w:r w:rsidRPr="00577CF3">
              <w:rPr>
                <w:rFonts w:ascii="Arial Narrow" w:eastAsia="Times New Roman" w:hAnsi="Arial Narrow" w:cs="Arial"/>
                <w:b/>
                <w:bCs/>
                <w:color w:val="000000"/>
                <w:sz w:val="20"/>
                <w:szCs w:val="20"/>
                <w:lang w:eastAsia="sk-SK"/>
              </w:rPr>
              <w:t>Inštitúcie verejnej správy spolu</w:t>
            </w:r>
          </w:p>
        </w:tc>
        <w:tc>
          <w:tcPr>
            <w:tcW w:w="1020" w:type="dxa"/>
            <w:tcBorders>
              <w:top w:val="single" w:sz="8" w:space="0" w:color="auto"/>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-1 258 032</w:t>
            </w:r>
          </w:p>
        </w:tc>
        <w:tc>
          <w:tcPr>
            <w:tcW w:w="1141" w:type="dxa"/>
            <w:tcBorders>
              <w:top w:val="single" w:sz="8" w:space="0" w:color="auto"/>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-10 166 113</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-2 136 387</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-2 210 000</w:t>
            </w:r>
          </w:p>
        </w:tc>
      </w:tr>
      <w:tr w:rsidR="00EB26B9" w:rsidRPr="00577CF3" w:rsidTr="00704176">
        <w:trPr>
          <w:trHeight w:val="255"/>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rPr>
                <w:rFonts w:ascii="Arial Narrow" w:eastAsia="Times New Roman" w:hAnsi="Arial Narrow" w:cs="Arial"/>
                <w:color w:val="000000"/>
                <w:sz w:val="20"/>
                <w:szCs w:val="20"/>
                <w:lang w:eastAsia="sk-SK"/>
              </w:rPr>
            </w:pPr>
            <w:r w:rsidRPr="00577CF3">
              <w:rPr>
                <w:rFonts w:ascii="Arial Narrow" w:eastAsia="Times New Roman" w:hAnsi="Arial Narrow" w:cs="Arial"/>
                <w:color w:val="000000"/>
                <w:sz w:val="20"/>
                <w:szCs w:val="20"/>
                <w:lang w:eastAsia="sk-SK"/>
              </w:rPr>
              <w:lastRenderedPageBreak/>
              <w:t>z toho:</w:t>
            </w:r>
          </w:p>
        </w:tc>
        <w:tc>
          <w:tcPr>
            <w:tcW w:w="1020" w:type="dxa"/>
            <w:tcBorders>
              <w:top w:val="nil"/>
              <w:left w:val="nil"/>
              <w:bottom w:val="single" w:sz="4" w:space="0" w:color="auto"/>
              <w:right w:val="single" w:sz="4" w:space="0" w:color="auto"/>
            </w:tcBorders>
            <w:shd w:val="clear" w:color="auto" w:fill="auto"/>
            <w:noWrap/>
            <w:vAlign w:val="bottom"/>
            <w:hideMark/>
          </w:tcPr>
          <w:p w:rsidR="00EB26B9" w:rsidRPr="00685314"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EB26B9" w:rsidRPr="00685314"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B26B9" w:rsidRPr="00685314"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sz w:val="20"/>
                <w:szCs w:val="20"/>
              </w:rPr>
              <w:t> </w:t>
            </w:r>
          </w:p>
        </w:tc>
        <w:tc>
          <w:tcPr>
            <w:tcW w:w="992" w:type="dxa"/>
            <w:tcBorders>
              <w:top w:val="nil"/>
              <w:left w:val="nil"/>
              <w:bottom w:val="single" w:sz="4" w:space="0" w:color="auto"/>
              <w:right w:val="single" w:sz="8"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 </w:t>
            </w:r>
          </w:p>
        </w:tc>
      </w:tr>
      <w:tr w:rsidR="00EB26B9" w:rsidRPr="00577CF3" w:rsidTr="00704176">
        <w:trPr>
          <w:trHeight w:val="255"/>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rPr>
                <w:rFonts w:ascii="Arial Narrow" w:eastAsia="Times New Roman" w:hAnsi="Arial Narrow" w:cs="Arial"/>
                <w:color w:val="000000"/>
                <w:sz w:val="20"/>
                <w:szCs w:val="20"/>
                <w:lang w:eastAsia="sk-SK"/>
              </w:rPr>
            </w:pPr>
            <w:r w:rsidRPr="00577CF3">
              <w:rPr>
                <w:rFonts w:ascii="Arial Narrow" w:eastAsia="Times New Roman" w:hAnsi="Arial Narrow" w:cs="Arial"/>
                <w:color w:val="000000"/>
                <w:sz w:val="20"/>
                <w:szCs w:val="20"/>
                <w:lang w:eastAsia="sk-SK"/>
              </w:rPr>
              <w:t>  kapitálové výdavky</w:t>
            </w:r>
          </w:p>
        </w:tc>
        <w:tc>
          <w:tcPr>
            <w:tcW w:w="1020" w:type="dxa"/>
            <w:tcBorders>
              <w:top w:val="nil"/>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500 000</w:t>
            </w:r>
          </w:p>
        </w:tc>
        <w:tc>
          <w:tcPr>
            <w:tcW w:w="1141" w:type="dxa"/>
            <w:tcBorders>
              <w:top w:val="nil"/>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c>
          <w:tcPr>
            <w:tcW w:w="992" w:type="dxa"/>
            <w:tcBorders>
              <w:top w:val="nil"/>
              <w:left w:val="nil"/>
              <w:bottom w:val="single" w:sz="4" w:space="0" w:color="auto"/>
              <w:right w:val="single" w:sz="8"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0</w:t>
            </w:r>
          </w:p>
        </w:tc>
      </w:tr>
      <w:tr w:rsidR="00EB26B9" w:rsidRPr="00577CF3" w:rsidTr="00704176">
        <w:trPr>
          <w:trHeight w:val="270"/>
        </w:trPr>
        <w:tc>
          <w:tcPr>
            <w:tcW w:w="5093" w:type="dxa"/>
            <w:tcBorders>
              <w:top w:val="nil"/>
              <w:left w:val="single" w:sz="8" w:space="0" w:color="auto"/>
              <w:bottom w:val="single" w:sz="8" w:space="0" w:color="auto"/>
              <w:right w:val="single" w:sz="4" w:space="0" w:color="auto"/>
            </w:tcBorders>
            <w:shd w:val="clear" w:color="auto" w:fill="auto"/>
            <w:noWrap/>
            <w:vAlign w:val="center"/>
            <w:hideMark/>
          </w:tcPr>
          <w:p w:rsidR="00EB26B9" w:rsidRPr="00577CF3" w:rsidRDefault="00EB26B9" w:rsidP="00EB26B9">
            <w:pPr>
              <w:spacing w:after="0" w:line="240" w:lineRule="auto"/>
              <w:rPr>
                <w:rFonts w:ascii="Arial Narrow" w:eastAsia="Times New Roman" w:hAnsi="Arial Narrow" w:cs="Arial"/>
                <w:color w:val="000000"/>
                <w:sz w:val="20"/>
                <w:szCs w:val="20"/>
                <w:lang w:eastAsia="sk-SK"/>
              </w:rPr>
            </w:pPr>
            <w:r w:rsidRPr="00577CF3">
              <w:rPr>
                <w:rFonts w:ascii="Arial Narrow" w:eastAsia="Times New Roman" w:hAnsi="Arial Narrow" w:cs="Arial"/>
                <w:color w:val="000000"/>
                <w:sz w:val="20"/>
                <w:szCs w:val="20"/>
                <w:lang w:eastAsia="sk-SK"/>
              </w:rPr>
              <w:t xml:space="preserve">  prevádzkové náklady </w:t>
            </w:r>
          </w:p>
        </w:tc>
        <w:tc>
          <w:tcPr>
            <w:tcW w:w="1020" w:type="dxa"/>
            <w:tcBorders>
              <w:top w:val="nil"/>
              <w:left w:val="nil"/>
              <w:bottom w:val="single" w:sz="8"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-1 758 032</w:t>
            </w:r>
          </w:p>
        </w:tc>
        <w:tc>
          <w:tcPr>
            <w:tcW w:w="1141" w:type="dxa"/>
            <w:tcBorders>
              <w:top w:val="nil"/>
              <w:left w:val="nil"/>
              <w:bottom w:val="single" w:sz="8"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-10 166 113</w:t>
            </w:r>
          </w:p>
        </w:tc>
        <w:tc>
          <w:tcPr>
            <w:tcW w:w="992" w:type="dxa"/>
            <w:tcBorders>
              <w:top w:val="nil"/>
              <w:left w:val="nil"/>
              <w:bottom w:val="single" w:sz="8" w:space="0" w:color="auto"/>
              <w:right w:val="single" w:sz="4"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-2 136 387</w:t>
            </w:r>
          </w:p>
        </w:tc>
        <w:tc>
          <w:tcPr>
            <w:tcW w:w="992" w:type="dxa"/>
            <w:tcBorders>
              <w:top w:val="nil"/>
              <w:left w:val="nil"/>
              <w:bottom w:val="single" w:sz="8" w:space="0" w:color="auto"/>
              <w:right w:val="single" w:sz="8" w:space="0" w:color="auto"/>
            </w:tcBorders>
            <w:shd w:val="clear" w:color="auto" w:fill="auto"/>
            <w:noWrap/>
            <w:vAlign w:val="center"/>
            <w:hideMark/>
          </w:tcPr>
          <w:p w:rsidR="00EB26B9" w:rsidRPr="00577CF3" w:rsidRDefault="00EB26B9" w:rsidP="00EB26B9">
            <w:pPr>
              <w:spacing w:after="0" w:line="240" w:lineRule="auto"/>
              <w:jc w:val="center"/>
              <w:rPr>
                <w:rFonts w:ascii="Arial Narrow" w:eastAsia="Times New Roman" w:hAnsi="Arial Narrow" w:cs="Arial"/>
                <w:color w:val="000000"/>
                <w:sz w:val="20"/>
                <w:szCs w:val="20"/>
                <w:lang w:eastAsia="sk-SK"/>
              </w:rPr>
            </w:pPr>
            <w:r>
              <w:rPr>
                <w:rFonts w:ascii="Arial Narrow" w:hAnsi="Arial Narrow" w:cs="Arial"/>
                <w:color w:val="000000"/>
                <w:sz w:val="20"/>
                <w:szCs w:val="20"/>
              </w:rPr>
              <w:t>-2 210 000</w:t>
            </w:r>
          </w:p>
        </w:tc>
      </w:tr>
    </w:tbl>
    <w:p w:rsidR="00577CF3" w:rsidRDefault="00577CF3" w:rsidP="00E47C9F">
      <w:pPr>
        <w:spacing w:after="0" w:line="240" w:lineRule="auto"/>
        <w:rPr>
          <w:rFonts w:ascii="Times New Roman" w:eastAsia="Times New Roman" w:hAnsi="Times New Roman" w:cs="Times New Roman"/>
          <w:sz w:val="24"/>
          <w:szCs w:val="24"/>
          <w:lang w:eastAsia="sk-SK"/>
        </w:rPr>
      </w:pPr>
    </w:p>
    <w:p w:rsidR="00497730" w:rsidRPr="007D5748" w:rsidRDefault="00497730" w:rsidP="00E47C9F">
      <w:pPr>
        <w:spacing w:after="0" w:line="240" w:lineRule="auto"/>
        <w:rPr>
          <w:rFonts w:ascii="Times New Roman" w:eastAsia="Times New Roman" w:hAnsi="Times New Roman" w:cs="Times New Roman"/>
          <w:sz w:val="24"/>
          <w:szCs w:val="24"/>
          <w:lang w:eastAsia="sk-SK"/>
        </w:rPr>
      </w:pPr>
    </w:p>
    <w:p w:rsidR="00E47C9F" w:rsidRPr="007D5748" w:rsidRDefault="00E47C9F" w:rsidP="00E47C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E47C9F" w:rsidRPr="007D5748" w:rsidRDefault="00E47C9F" w:rsidP="00E47C9F">
      <w:pPr>
        <w:spacing w:after="0" w:line="240" w:lineRule="auto"/>
        <w:rPr>
          <w:rFonts w:ascii="Times New Roman" w:eastAsia="Times New Roman" w:hAnsi="Times New Roman" w:cs="Times New Roman"/>
          <w:sz w:val="24"/>
          <w:szCs w:val="24"/>
          <w:lang w:eastAsia="sk-SK"/>
        </w:rPr>
      </w:pPr>
    </w:p>
    <w:p w:rsidR="00E47C9F" w:rsidRPr="00B94369" w:rsidRDefault="00E47C9F" w:rsidP="00D75B37">
      <w:pPr>
        <w:spacing w:after="0" w:line="264" w:lineRule="auto"/>
        <w:ind w:firstLine="708"/>
        <w:jc w:val="both"/>
        <w:rPr>
          <w:rFonts w:ascii="Times New Roman" w:hAnsi="Times New Roman" w:cs="Verdana"/>
          <w:b/>
          <w:bCs/>
          <w:iCs/>
          <w:szCs w:val="24"/>
        </w:rPr>
      </w:pPr>
      <w:r w:rsidRPr="00B94369">
        <w:rPr>
          <w:rFonts w:ascii="Times New Roman" w:eastAsia="Times New Roman" w:hAnsi="Times New Roman" w:cs="Times New Roman"/>
          <w:szCs w:val="24"/>
          <w:lang w:eastAsia="sk-SK"/>
        </w:rPr>
        <w:t xml:space="preserve">Navrhovaná právna úprava </w:t>
      </w:r>
      <w:r w:rsidR="000B5C0D" w:rsidRPr="00B94369">
        <w:rPr>
          <w:rFonts w:ascii="Times New Roman" w:eastAsia="Times New Roman" w:hAnsi="Times New Roman" w:cs="Times New Roman"/>
          <w:szCs w:val="24"/>
          <w:lang w:eastAsia="sk-SK"/>
        </w:rPr>
        <w:t>zakladá pozitívne aj negatívne vplyvy na rozpočet verejnej správy</w:t>
      </w:r>
      <w:r w:rsidR="00C54FA3" w:rsidRPr="00B94369">
        <w:rPr>
          <w:rFonts w:ascii="Times New Roman" w:eastAsia="Times New Roman" w:hAnsi="Times New Roman" w:cs="Times New Roman"/>
          <w:szCs w:val="24"/>
          <w:lang w:eastAsia="sk-SK"/>
        </w:rPr>
        <w:t>, ktoré sú podrobnejšie popísané v</w:t>
      </w:r>
      <w:r w:rsidR="00704176" w:rsidRPr="00B94369">
        <w:rPr>
          <w:rFonts w:ascii="Times New Roman" w:eastAsia="Times New Roman" w:hAnsi="Times New Roman" w:cs="Times New Roman"/>
          <w:szCs w:val="24"/>
          <w:lang w:eastAsia="sk-SK"/>
        </w:rPr>
        <w:t> </w:t>
      </w:r>
      <w:r w:rsidR="00C54FA3" w:rsidRPr="00B94369">
        <w:rPr>
          <w:rFonts w:ascii="Times New Roman" w:eastAsia="Times New Roman" w:hAnsi="Times New Roman" w:cs="Times New Roman"/>
          <w:szCs w:val="24"/>
          <w:lang w:eastAsia="sk-SK"/>
        </w:rPr>
        <w:t>časti</w:t>
      </w:r>
      <w:r w:rsidR="00704176" w:rsidRPr="00B94369">
        <w:rPr>
          <w:rFonts w:ascii="Times New Roman" w:eastAsia="Times New Roman" w:hAnsi="Times New Roman" w:cs="Times New Roman"/>
          <w:szCs w:val="24"/>
          <w:lang w:eastAsia="sk-SK"/>
        </w:rPr>
        <w:t xml:space="preserve"> 2.2.4.1 Kvantifikácia príjmov</w:t>
      </w:r>
      <w:r w:rsidR="0028361B">
        <w:rPr>
          <w:rFonts w:ascii="Times New Roman" w:eastAsia="Times New Roman" w:hAnsi="Times New Roman" w:cs="Times New Roman"/>
          <w:szCs w:val="24"/>
          <w:lang w:eastAsia="sk-SK"/>
        </w:rPr>
        <w:t xml:space="preserve"> a 2.2.4.2 Kvantifikácia výdavkov</w:t>
      </w:r>
      <w:r w:rsidR="000B5C0D" w:rsidRPr="00B94369">
        <w:rPr>
          <w:rFonts w:ascii="Times New Roman" w:eastAsia="Times New Roman" w:hAnsi="Times New Roman" w:cs="Times New Roman"/>
          <w:szCs w:val="24"/>
          <w:lang w:eastAsia="sk-SK"/>
        </w:rPr>
        <w:t xml:space="preserve">. Celkový vplyv </w:t>
      </w:r>
      <w:r w:rsidR="00453E3F" w:rsidRPr="00B94369">
        <w:rPr>
          <w:rFonts w:ascii="Times New Roman" w:eastAsia="Times New Roman" w:hAnsi="Times New Roman" w:cs="Times New Roman"/>
          <w:szCs w:val="24"/>
          <w:lang w:eastAsia="sk-SK"/>
        </w:rPr>
        <w:t>na rozpočet verejnej správy sa v rokoch 2021 a 2022 predpokladá</w:t>
      </w:r>
      <w:r w:rsidR="000B5C0D" w:rsidRPr="00B94369">
        <w:rPr>
          <w:rFonts w:ascii="Times New Roman" w:eastAsia="Times New Roman" w:hAnsi="Times New Roman" w:cs="Times New Roman"/>
          <w:szCs w:val="24"/>
          <w:lang w:eastAsia="sk-SK"/>
        </w:rPr>
        <w:t xml:space="preserve"> pozitívny.</w:t>
      </w:r>
      <w:r w:rsidR="00453E3F" w:rsidRPr="00B94369">
        <w:rPr>
          <w:rFonts w:ascii="Times New Roman" w:eastAsia="Times New Roman" w:hAnsi="Times New Roman" w:cs="Times New Roman"/>
          <w:szCs w:val="24"/>
          <w:lang w:eastAsia="sk-SK"/>
        </w:rPr>
        <w:t xml:space="preserve"> Následne od roku 2023 sa predpokladá celkový negatívny vplyv na rozpočet verejnej správy.</w:t>
      </w:r>
      <w:r w:rsidR="000B5C0D" w:rsidRPr="00B94369">
        <w:rPr>
          <w:rFonts w:ascii="Times New Roman" w:eastAsia="Times New Roman" w:hAnsi="Times New Roman" w:cs="Times New Roman"/>
          <w:szCs w:val="24"/>
          <w:lang w:eastAsia="sk-SK"/>
        </w:rPr>
        <w:t xml:space="preserve"> </w:t>
      </w:r>
      <w:r w:rsidR="009B3B22">
        <w:rPr>
          <w:rFonts w:ascii="Times New Roman" w:eastAsia="Times New Roman" w:hAnsi="Times New Roman" w:cs="Times New Roman"/>
          <w:szCs w:val="24"/>
          <w:lang w:eastAsia="sk-SK"/>
        </w:rPr>
        <w:t xml:space="preserve">Kvantifikácie vplyvov zohľadňujú makroekonomickú prognózu IFP z júna 2021 a vplyvy </w:t>
      </w:r>
      <w:r w:rsidR="00325FF7">
        <w:rPr>
          <w:rFonts w:ascii="Times New Roman" w:eastAsia="Times New Roman" w:hAnsi="Times New Roman" w:cs="Times New Roman"/>
          <w:szCs w:val="24"/>
          <w:lang w:eastAsia="sk-SK"/>
        </w:rPr>
        <w:t xml:space="preserve">pandémie </w:t>
      </w:r>
      <w:r w:rsidR="009B3B22">
        <w:rPr>
          <w:rFonts w:ascii="Times New Roman" w:eastAsia="Times New Roman" w:hAnsi="Times New Roman" w:cs="Times New Roman"/>
          <w:szCs w:val="24"/>
          <w:lang w:eastAsia="sk-SK"/>
        </w:rPr>
        <w:t>Covid-19 na dôchodkový systém.</w:t>
      </w:r>
    </w:p>
    <w:p w:rsidR="00E47C9F" w:rsidRDefault="00E47C9F" w:rsidP="00D75B37">
      <w:pPr>
        <w:tabs>
          <w:tab w:val="num" w:pos="1080"/>
        </w:tabs>
        <w:spacing w:after="0" w:line="264" w:lineRule="auto"/>
        <w:jc w:val="both"/>
        <w:rPr>
          <w:rFonts w:ascii="Times New Roman" w:eastAsia="Times New Roman" w:hAnsi="Times New Roman" w:cs="Times New Roman"/>
          <w:bCs/>
          <w:sz w:val="24"/>
          <w:szCs w:val="24"/>
          <w:lang w:eastAsia="sk-SK"/>
        </w:rPr>
      </w:pPr>
    </w:p>
    <w:p w:rsidR="00453509" w:rsidRPr="00B94369" w:rsidRDefault="00453509" w:rsidP="00D75B37">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2A</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subjektov verejnej správy</w:t>
      </w:r>
    </w:p>
    <w:tbl>
      <w:tblPr>
        <w:tblW w:w="9061" w:type="dxa"/>
        <w:jc w:val="center"/>
        <w:tblCellMar>
          <w:left w:w="70" w:type="dxa"/>
          <w:right w:w="70" w:type="dxa"/>
        </w:tblCellMar>
        <w:tblLook w:val="04A0" w:firstRow="1" w:lastRow="0" w:firstColumn="1" w:lastColumn="0" w:noHBand="0" w:noVBand="1"/>
      </w:tblPr>
      <w:tblGrid>
        <w:gridCol w:w="4526"/>
        <w:gridCol w:w="1134"/>
        <w:gridCol w:w="992"/>
        <w:gridCol w:w="1275"/>
        <w:gridCol w:w="1134"/>
      </w:tblGrid>
      <w:tr w:rsidR="00057447" w:rsidRPr="00057447" w:rsidTr="00991566">
        <w:trPr>
          <w:trHeight w:val="375"/>
          <w:jc w:val="center"/>
        </w:trPr>
        <w:tc>
          <w:tcPr>
            <w:tcW w:w="45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7447" w:rsidRPr="00057447" w:rsidRDefault="00057447" w:rsidP="00057447">
            <w:pPr>
              <w:spacing w:after="0" w:line="240" w:lineRule="auto"/>
              <w:jc w:val="both"/>
              <w:rPr>
                <w:rFonts w:ascii="Arial Narrow" w:eastAsia="Times New Roman" w:hAnsi="Arial Narrow" w:cs="Times New Roman"/>
                <w:sz w:val="20"/>
                <w:szCs w:val="20"/>
                <w:lang w:eastAsia="sk-SK"/>
              </w:rPr>
            </w:pPr>
            <w:r w:rsidRPr="00057447">
              <w:rPr>
                <w:rFonts w:ascii="Arial Narrow" w:eastAsia="Times New Roman" w:hAnsi="Arial Narrow" w:cs="Times New Roman"/>
                <w:sz w:val="20"/>
                <w:szCs w:val="20"/>
                <w:lang w:eastAsia="sk-SK"/>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7447" w:rsidRPr="00057447" w:rsidRDefault="00057447" w:rsidP="00057447">
            <w:pPr>
              <w:spacing w:after="0" w:line="240" w:lineRule="auto"/>
              <w:jc w:val="center"/>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2021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57447" w:rsidRPr="00057447" w:rsidRDefault="00057447" w:rsidP="00057447">
            <w:pPr>
              <w:spacing w:after="0" w:line="240" w:lineRule="auto"/>
              <w:jc w:val="center"/>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2022</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57447" w:rsidRPr="00057447" w:rsidRDefault="00057447" w:rsidP="00057447">
            <w:pPr>
              <w:spacing w:after="0" w:line="240" w:lineRule="auto"/>
              <w:jc w:val="center"/>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2023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57447" w:rsidRPr="00057447" w:rsidRDefault="00057447" w:rsidP="00057447">
            <w:pPr>
              <w:spacing w:after="0" w:line="240" w:lineRule="auto"/>
              <w:jc w:val="center"/>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2024</w:t>
            </w:r>
          </w:p>
        </w:tc>
      </w:tr>
      <w:tr w:rsidR="00991566" w:rsidRPr="00057447" w:rsidTr="00991566">
        <w:trPr>
          <w:trHeight w:val="375"/>
          <w:jc w:val="center"/>
        </w:trPr>
        <w:tc>
          <w:tcPr>
            <w:tcW w:w="4526" w:type="dxa"/>
            <w:tcBorders>
              <w:top w:val="nil"/>
              <w:left w:val="single" w:sz="8" w:space="0" w:color="auto"/>
              <w:bottom w:val="nil"/>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 xml:space="preserve">Celkový vplyv na rozpočet verejnej správy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b/>
                <w:bCs/>
                <w:color w:val="000000"/>
                <w:sz w:val="20"/>
                <w:szCs w:val="20"/>
                <w:lang w:eastAsia="sk-SK"/>
              </w:rPr>
            </w:pPr>
            <w:r w:rsidRPr="00057447">
              <w:rPr>
                <w:rFonts w:ascii="Arial Narrow" w:eastAsia="Times New Roman" w:hAnsi="Arial Narrow" w:cs="Times New Roman"/>
                <w:b/>
                <w:bCs/>
                <w:color w:val="000000"/>
                <w:sz w:val="20"/>
                <w:szCs w:val="20"/>
                <w:lang w:eastAsia="sk-SK"/>
              </w:rPr>
              <w:t>1 268 005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b/>
                <w:bCs/>
                <w:color w:val="000000"/>
                <w:sz w:val="20"/>
                <w:szCs w:val="20"/>
                <w:lang w:eastAsia="sk-SK"/>
              </w:rPr>
            </w:pPr>
            <w:r w:rsidRPr="00057447">
              <w:rPr>
                <w:rFonts w:ascii="Arial Narrow" w:eastAsia="Times New Roman" w:hAnsi="Arial Narrow" w:cs="Times New Roman"/>
                <w:b/>
                <w:bCs/>
                <w:color w:val="000000"/>
                <w:sz w:val="20"/>
                <w:szCs w:val="20"/>
                <w:lang w:eastAsia="sk-SK"/>
              </w:rPr>
              <w:t>9 582 040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
                <w:bCs/>
                <w:color w:val="000000"/>
                <w:sz w:val="20"/>
                <w:szCs w:val="20"/>
                <w:lang w:eastAsia="sk-SK"/>
              </w:rPr>
            </w:pPr>
            <w:r w:rsidRPr="00991566">
              <w:rPr>
                <w:rFonts w:ascii="Arial Narrow" w:eastAsia="Times New Roman" w:hAnsi="Arial Narrow" w:cs="Times New Roman"/>
                <w:b/>
                <w:bCs/>
                <w:color w:val="000000"/>
                <w:sz w:val="20"/>
                <w:szCs w:val="20"/>
                <w:lang w:eastAsia="sk-SK"/>
              </w:rPr>
              <w:t>-556 638 575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
                <w:bCs/>
                <w:color w:val="000000"/>
                <w:sz w:val="20"/>
                <w:szCs w:val="20"/>
                <w:lang w:eastAsia="sk-SK"/>
              </w:rPr>
            </w:pPr>
            <w:r w:rsidRPr="00991566">
              <w:rPr>
                <w:rFonts w:ascii="Arial Narrow" w:eastAsia="Times New Roman" w:hAnsi="Arial Narrow" w:cs="Times New Roman"/>
                <w:b/>
                <w:bCs/>
                <w:color w:val="000000"/>
                <w:sz w:val="20"/>
                <w:szCs w:val="20"/>
                <w:lang w:eastAsia="sk-SK"/>
              </w:rPr>
              <w:t>-595 487 354</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b/>
                <w:bCs/>
                <w:sz w:val="20"/>
                <w:szCs w:val="20"/>
                <w:lang w:eastAsia="sk-SK"/>
              </w:rPr>
            </w:pPr>
            <w:r w:rsidRPr="00057447">
              <w:rPr>
                <w:rFonts w:ascii="Arial Narrow" w:eastAsia="Times New Roman" w:hAnsi="Arial Narrow" w:cs="Times New Roman"/>
                <w:b/>
                <w:bCs/>
                <w:sz w:val="20"/>
                <w:szCs w:val="20"/>
                <w:lang w:eastAsia="sk-SK"/>
              </w:rPr>
              <w:t>(-) negatívny / (+) pozitívny</w:t>
            </w:r>
          </w:p>
        </w:tc>
        <w:tc>
          <w:tcPr>
            <w:tcW w:w="1134" w:type="dxa"/>
            <w:vMerge/>
            <w:tcBorders>
              <w:top w:val="nil"/>
              <w:left w:val="single" w:sz="8" w:space="0" w:color="auto"/>
              <w:bottom w:val="single" w:sz="8" w:space="0" w:color="000000"/>
              <w:right w:val="single" w:sz="8" w:space="0" w:color="auto"/>
            </w:tcBorders>
            <w:vAlign w:val="center"/>
            <w:hideMark/>
          </w:tcPr>
          <w:p w:rsidR="00991566" w:rsidRPr="00057447" w:rsidRDefault="00991566" w:rsidP="00991566">
            <w:pPr>
              <w:spacing w:after="0" w:line="240" w:lineRule="auto"/>
              <w:rPr>
                <w:rFonts w:ascii="Arial Narrow" w:eastAsia="Times New Roman" w:hAnsi="Arial Narrow" w:cs="Times New Roman"/>
                <w:b/>
                <w:bCs/>
                <w:color w:val="000000"/>
                <w:sz w:val="20"/>
                <w:szCs w:val="2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991566" w:rsidRPr="00057447" w:rsidRDefault="00991566" w:rsidP="00991566">
            <w:pPr>
              <w:spacing w:after="0" w:line="240" w:lineRule="auto"/>
              <w:rPr>
                <w:rFonts w:ascii="Arial Narrow" w:eastAsia="Times New Roman" w:hAnsi="Arial Narrow" w:cs="Times New Roman"/>
                <w:b/>
                <w:bCs/>
                <w:color w:val="000000"/>
                <w:sz w:val="20"/>
                <w:szCs w:val="20"/>
                <w:lang w:eastAsia="sk-SK"/>
              </w:rPr>
            </w:pPr>
          </w:p>
        </w:tc>
        <w:tc>
          <w:tcPr>
            <w:tcW w:w="1275" w:type="dxa"/>
            <w:vMerge/>
            <w:tcBorders>
              <w:top w:val="nil"/>
              <w:left w:val="single" w:sz="8" w:space="0" w:color="auto"/>
              <w:bottom w:val="single" w:sz="8" w:space="0" w:color="000000"/>
              <w:right w:val="single" w:sz="8" w:space="0" w:color="auto"/>
            </w:tcBorders>
            <w:vAlign w:val="center"/>
            <w:hideMark/>
          </w:tcPr>
          <w:p w:rsidR="00991566" w:rsidRPr="00057447" w:rsidRDefault="00991566" w:rsidP="00991566">
            <w:pPr>
              <w:spacing w:after="0" w:line="240" w:lineRule="auto"/>
              <w:jc w:val="right"/>
              <w:rPr>
                <w:rFonts w:ascii="Arial Narrow" w:eastAsia="Times New Roman" w:hAnsi="Arial Narrow" w:cs="Times New Roman"/>
                <w:b/>
                <w:bCs/>
                <w:color w:val="000000"/>
                <w:sz w:val="20"/>
                <w:szCs w:val="20"/>
                <w:lang w:eastAsia="sk-SK"/>
              </w:rPr>
            </w:pPr>
          </w:p>
        </w:tc>
        <w:tc>
          <w:tcPr>
            <w:tcW w:w="1134" w:type="dxa"/>
            <w:vMerge/>
            <w:tcBorders>
              <w:top w:val="nil"/>
              <w:left w:val="single" w:sz="8" w:space="0" w:color="auto"/>
              <w:bottom w:val="single" w:sz="8" w:space="0" w:color="000000"/>
              <w:right w:val="single" w:sz="8" w:space="0" w:color="auto"/>
            </w:tcBorders>
            <w:vAlign w:val="center"/>
            <w:hideMark/>
          </w:tcPr>
          <w:p w:rsidR="00991566" w:rsidRPr="00057447" w:rsidRDefault="00991566" w:rsidP="00991566">
            <w:pPr>
              <w:spacing w:after="0" w:line="240" w:lineRule="auto"/>
              <w:jc w:val="right"/>
              <w:rPr>
                <w:rFonts w:ascii="Arial Narrow" w:eastAsia="Times New Roman" w:hAnsi="Arial Narrow" w:cs="Times New Roman"/>
                <w:b/>
                <w:bCs/>
                <w:color w:val="000000"/>
                <w:sz w:val="20"/>
                <w:szCs w:val="20"/>
                <w:lang w:eastAsia="sk-SK"/>
              </w:rPr>
            </w:pP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Sociálna poisťovňa</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3 598 032</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9 891 385</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-523 169 481</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-561 730 237</w:t>
            </w: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zdravotné poisťovne</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-6 300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-2 319 526</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-2 629 968</w:t>
            </w: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obce</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6 981</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6 161</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-6 962 795</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-6 661 251</w:t>
            </w: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VÚC</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2 992</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2 640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-2 984 055</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-2 854 822</w:t>
            </w: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ŠR (kapitoly jednotlivých ministerstiev</w:t>
            </w:r>
            <w:r>
              <w:rPr>
                <w:rFonts w:ascii="Arial Narrow" w:eastAsia="Times New Roman" w:hAnsi="Arial Narrow" w:cs="Times New Roman"/>
                <w:color w:val="000000"/>
                <w:sz w:val="20"/>
                <w:szCs w:val="20"/>
                <w:lang w:eastAsia="sk-SK"/>
              </w:rPr>
              <w:t xml:space="preserve"> vplyv zrušenia maximálnych mesačných vymeriavacích základov</w:t>
            </w:r>
            <w:r w:rsidRPr="00057447">
              <w:rPr>
                <w:rFonts w:ascii="Arial Narrow" w:eastAsia="Times New Roman" w:hAnsi="Arial Narrow" w:cs="Times New Roman"/>
                <w:color w:val="000000"/>
                <w:sz w:val="20"/>
                <w:szCs w:val="20"/>
                <w:lang w:eastAsia="sk-SK"/>
              </w:rPr>
              <w:t>)</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-1 402 087</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-1 430 129</w:t>
            </w:r>
          </w:p>
        </w:tc>
      </w:tr>
      <w:tr w:rsidR="00991566" w:rsidRPr="00057447" w:rsidTr="00991566">
        <w:trPr>
          <w:trHeight w:val="360"/>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MPSVR</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96 420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100 899</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MF SR - VPS</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-19 733 439</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-20 191 847</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MZ SR (NCZI)</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-510 000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-45 000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-90 000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-90 000</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MV SR (SIS)</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-500 000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MO SR </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-500 000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NBÚ SR</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-200 000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MS SR (ZVJS)</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-450 000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0</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r>
      <w:tr w:rsidR="00991566" w:rsidRPr="00057447" w:rsidTr="00991566">
        <w:trPr>
          <w:trHeight w:val="375"/>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 xml:space="preserve"> - v tom: FR SR (Informačný systém vnútornej správy finančnej správy)</w:t>
            </w:r>
          </w:p>
        </w:tc>
        <w:tc>
          <w:tcPr>
            <w:tcW w:w="1134"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-180 000</w:t>
            </w:r>
          </w:p>
        </w:tc>
        <w:tc>
          <w:tcPr>
            <w:tcW w:w="992" w:type="dxa"/>
            <w:tcBorders>
              <w:top w:val="nil"/>
              <w:left w:val="nil"/>
              <w:bottom w:val="single" w:sz="8" w:space="0" w:color="auto"/>
              <w:right w:val="single" w:sz="8" w:space="0" w:color="auto"/>
            </w:tcBorders>
            <w:shd w:val="clear" w:color="auto" w:fill="auto"/>
            <w:vAlign w:val="center"/>
            <w:hideMark/>
          </w:tcPr>
          <w:p w:rsidR="00991566" w:rsidRPr="00057447" w:rsidRDefault="00991566" w:rsidP="00991566">
            <w:pPr>
              <w:spacing w:after="0" w:line="240" w:lineRule="auto"/>
              <w:jc w:val="right"/>
              <w:rPr>
                <w:rFonts w:ascii="Arial Narrow" w:eastAsia="Times New Roman" w:hAnsi="Arial Narrow" w:cs="Times New Roman"/>
                <w:color w:val="000000"/>
                <w:sz w:val="20"/>
                <w:szCs w:val="20"/>
                <w:lang w:eastAsia="sk-SK"/>
              </w:rPr>
            </w:pPr>
            <w:r w:rsidRPr="00057447">
              <w:rPr>
                <w:rFonts w:ascii="Arial Narrow" w:eastAsia="Times New Roman" w:hAnsi="Arial Narrow" w:cs="Times New Roman"/>
                <w:color w:val="000000"/>
                <w:sz w:val="20"/>
                <w:szCs w:val="20"/>
                <w:lang w:eastAsia="sk-SK"/>
              </w:rPr>
              <w:t>-266 846</w:t>
            </w:r>
          </w:p>
        </w:tc>
        <w:tc>
          <w:tcPr>
            <w:tcW w:w="1275"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-73 613</w:t>
            </w:r>
          </w:p>
        </w:tc>
        <w:tc>
          <w:tcPr>
            <w:tcW w:w="1134" w:type="dxa"/>
            <w:tcBorders>
              <w:top w:val="nil"/>
              <w:left w:val="nil"/>
              <w:bottom w:val="single" w:sz="8" w:space="0" w:color="auto"/>
              <w:right w:val="single" w:sz="8" w:space="0" w:color="auto"/>
            </w:tcBorders>
            <w:shd w:val="clear" w:color="auto" w:fill="auto"/>
            <w:vAlign w:val="center"/>
            <w:hideMark/>
          </w:tcPr>
          <w:p w:rsidR="00991566" w:rsidRPr="00991566" w:rsidRDefault="00991566" w:rsidP="00991566">
            <w:pPr>
              <w:spacing w:after="0" w:line="240" w:lineRule="auto"/>
              <w:jc w:val="right"/>
              <w:rPr>
                <w:rFonts w:ascii="Arial Narrow" w:eastAsia="Times New Roman" w:hAnsi="Arial Narrow" w:cs="Times New Roman"/>
                <w:bCs/>
                <w:color w:val="000000"/>
                <w:sz w:val="20"/>
                <w:szCs w:val="20"/>
                <w:lang w:eastAsia="sk-SK"/>
              </w:rPr>
            </w:pPr>
            <w:r w:rsidRPr="00991566">
              <w:rPr>
                <w:rFonts w:ascii="Arial Narrow" w:eastAsia="Times New Roman" w:hAnsi="Arial Narrow" w:cs="Times New Roman"/>
                <w:bCs/>
                <w:color w:val="000000"/>
                <w:sz w:val="20"/>
                <w:szCs w:val="20"/>
                <w:lang w:eastAsia="sk-SK"/>
              </w:rPr>
              <w:t>0</w:t>
            </w:r>
          </w:p>
        </w:tc>
      </w:tr>
    </w:tbl>
    <w:p w:rsidR="008D27D5" w:rsidRPr="00065D19" w:rsidRDefault="00065D19" w:rsidP="00E47C9F">
      <w:pPr>
        <w:tabs>
          <w:tab w:val="num" w:pos="1080"/>
        </w:tabs>
        <w:spacing w:after="0" w:line="240" w:lineRule="auto"/>
        <w:jc w:val="both"/>
        <w:rPr>
          <w:rFonts w:ascii="Times New Roman" w:eastAsia="Times New Roman" w:hAnsi="Times New Roman" w:cs="Times New Roman"/>
          <w:bCs/>
          <w:sz w:val="20"/>
          <w:szCs w:val="24"/>
          <w:lang w:eastAsia="sk-SK"/>
        </w:rPr>
      </w:pPr>
      <w:r w:rsidRPr="00065D19">
        <w:rPr>
          <w:rFonts w:ascii="Times New Roman" w:eastAsia="Times New Roman" w:hAnsi="Times New Roman" w:cs="Times New Roman"/>
          <w:bCs/>
          <w:sz w:val="20"/>
          <w:szCs w:val="24"/>
          <w:lang w:eastAsia="sk-SK"/>
        </w:rPr>
        <w:t>NCZI – Národné centrum zdravotníckych zariadení, SIS –</w:t>
      </w:r>
      <w:r w:rsidR="00356273">
        <w:rPr>
          <w:rFonts w:ascii="Times New Roman" w:eastAsia="Times New Roman" w:hAnsi="Times New Roman" w:cs="Times New Roman"/>
          <w:bCs/>
          <w:sz w:val="20"/>
          <w:szCs w:val="24"/>
          <w:lang w:eastAsia="sk-SK"/>
        </w:rPr>
        <w:t xml:space="preserve"> S</w:t>
      </w:r>
      <w:r w:rsidRPr="00065D19">
        <w:rPr>
          <w:rFonts w:ascii="Times New Roman" w:eastAsia="Times New Roman" w:hAnsi="Times New Roman" w:cs="Times New Roman"/>
          <w:bCs/>
          <w:sz w:val="20"/>
          <w:szCs w:val="24"/>
          <w:lang w:eastAsia="sk-SK"/>
        </w:rPr>
        <w:t>lovenská informačná služba; ZVJS –</w:t>
      </w:r>
      <w:r w:rsidR="00356273">
        <w:rPr>
          <w:rFonts w:ascii="Times New Roman" w:eastAsia="Times New Roman" w:hAnsi="Times New Roman" w:cs="Times New Roman"/>
          <w:bCs/>
          <w:sz w:val="20"/>
          <w:szCs w:val="24"/>
          <w:lang w:eastAsia="sk-SK"/>
        </w:rPr>
        <w:t xml:space="preserve"> Z</w:t>
      </w:r>
      <w:r w:rsidRPr="00065D19">
        <w:rPr>
          <w:rFonts w:ascii="Times New Roman" w:eastAsia="Times New Roman" w:hAnsi="Times New Roman" w:cs="Times New Roman"/>
          <w:bCs/>
          <w:sz w:val="20"/>
          <w:szCs w:val="24"/>
          <w:lang w:eastAsia="sk-SK"/>
        </w:rPr>
        <w:t>bor väzenskej a justičnej stráže</w:t>
      </w:r>
      <w:r w:rsidR="00BF72E6">
        <w:rPr>
          <w:rFonts w:ascii="Times New Roman" w:eastAsia="Times New Roman" w:hAnsi="Times New Roman" w:cs="Times New Roman"/>
          <w:bCs/>
          <w:sz w:val="20"/>
          <w:szCs w:val="24"/>
          <w:lang w:eastAsia="sk-SK"/>
        </w:rPr>
        <w:t>; MPSVR SR – Ministerstvo práce, sociálnych vecí a rodiny SR</w:t>
      </w:r>
      <w:r w:rsidR="00685314">
        <w:rPr>
          <w:rFonts w:ascii="Times New Roman" w:eastAsia="Times New Roman" w:hAnsi="Times New Roman" w:cs="Times New Roman"/>
          <w:bCs/>
          <w:sz w:val="20"/>
          <w:szCs w:val="24"/>
          <w:lang w:eastAsia="sk-SK"/>
        </w:rPr>
        <w:t>, MF SR – Ministerstvo financií SR, VPS – všeobecná pokladničná správa</w:t>
      </w:r>
    </w:p>
    <w:p w:rsidR="00453509" w:rsidRDefault="00453509" w:rsidP="00E47C9F">
      <w:pPr>
        <w:tabs>
          <w:tab w:val="num" w:pos="1080"/>
        </w:tabs>
        <w:spacing w:after="0" w:line="240" w:lineRule="auto"/>
        <w:jc w:val="both"/>
        <w:rPr>
          <w:rFonts w:ascii="Times New Roman" w:eastAsia="Times New Roman" w:hAnsi="Times New Roman" w:cs="Times New Roman"/>
          <w:bCs/>
          <w:sz w:val="24"/>
          <w:szCs w:val="24"/>
          <w:lang w:eastAsia="sk-SK"/>
        </w:rPr>
      </w:pPr>
    </w:p>
    <w:p w:rsidR="00453509" w:rsidRPr="00E70116" w:rsidRDefault="00453509" w:rsidP="001E6E4A">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2B</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opatrení a vplyvu na subjekty verejnej správy, ktoré zakladá navrhovaná právna úprava</w:t>
      </w:r>
      <w:r w:rsidR="005810A3">
        <w:rPr>
          <w:rFonts w:ascii="Times New Roman" w:eastAsia="Times New Roman" w:hAnsi="Times New Roman" w:cs="Times New Roman"/>
          <w:bCs/>
          <w:szCs w:val="24"/>
          <w:lang w:eastAsia="sk-SK"/>
        </w:rPr>
        <w:t xml:space="preserve"> – záporné znamienko (-) predstavuje zhoršenie bilancie</w:t>
      </w:r>
      <w:r w:rsidR="00F006B3">
        <w:rPr>
          <w:rFonts w:ascii="Times New Roman" w:eastAsia="Times New Roman" w:hAnsi="Times New Roman" w:cs="Times New Roman"/>
          <w:bCs/>
          <w:szCs w:val="24"/>
          <w:lang w:eastAsia="sk-SK"/>
        </w:rPr>
        <w:t xml:space="preserve"> – bez vplyvu transferu zo štátneho rozpočtu</w:t>
      </w:r>
      <w:r w:rsidRPr="00B94369">
        <w:rPr>
          <w:rFonts w:ascii="Times New Roman" w:eastAsia="Times New Roman" w:hAnsi="Times New Roman" w:cs="Times New Roman"/>
          <w:bCs/>
          <w:szCs w:val="24"/>
          <w:lang w:eastAsia="sk-SK"/>
        </w:rPr>
        <w:t>.</w:t>
      </w:r>
    </w:p>
    <w:tbl>
      <w:tblPr>
        <w:tblW w:w="9036" w:type="dxa"/>
        <w:jc w:val="center"/>
        <w:tblCellMar>
          <w:left w:w="70" w:type="dxa"/>
          <w:right w:w="70" w:type="dxa"/>
        </w:tblCellMar>
        <w:tblLook w:val="04A0" w:firstRow="1" w:lastRow="0" w:firstColumn="1" w:lastColumn="0" w:noHBand="0" w:noVBand="1"/>
      </w:tblPr>
      <w:tblGrid>
        <w:gridCol w:w="557"/>
        <w:gridCol w:w="4085"/>
        <w:gridCol w:w="992"/>
        <w:gridCol w:w="993"/>
        <w:gridCol w:w="1134"/>
        <w:gridCol w:w="1275"/>
      </w:tblGrid>
      <w:tr w:rsidR="00057447" w:rsidRPr="00057447" w:rsidTr="00991566">
        <w:trPr>
          <w:trHeight w:val="300"/>
          <w:jc w:val="center"/>
        </w:trPr>
        <w:tc>
          <w:tcPr>
            <w:tcW w:w="557"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057447" w:rsidRPr="00057447" w:rsidRDefault="00057447" w:rsidP="00057447">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 </w:t>
            </w:r>
          </w:p>
        </w:tc>
        <w:tc>
          <w:tcPr>
            <w:tcW w:w="4085" w:type="dxa"/>
            <w:tcBorders>
              <w:top w:val="single" w:sz="8" w:space="0" w:color="auto"/>
              <w:left w:val="nil"/>
              <w:bottom w:val="nil"/>
              <w:right w:val="single" w:sz="8" w:space="0" w:color="auto"/>
            </w:tcBorders>
            <w:shd w:val="clear" w:color="000000" w:fill="808080"/>
            <w:noWrap/>
            <w:vAlign w:val="center"/>
            <w:hideMark/>
          </w:tcPr>
          <w:p w:rsidR="00057447" w:rsidRPr="00057447" w:rsidRDefault="00057447" w:rsidP="00057447">
            <w:pPr>
              <w:spacing w:after="0" w:line="240" w:lineRule="auto"/>
              <w:jc w:val="center"/>
              <w:rPr>
                <w:rFonts w:ascii="Arial Narrow" w:eastAsia="Times New Roman" w:hAnsi="Arial Narrow" w:cs="Arial"/>
                <w:b/>
                <w:bCs/>
                <w:color w:val="FFFFFF"/>
                <w:sz w:val="20"/>
                <w:szCs w:val="20"/>
                <w:lang w:eastAsia="sk-SK"/>
              </w:rPr>
            </w:pPr>
            <w:r w:rsidRPr="00057447">
              <w:rPr>
                <w:rFonts w:ascii="Arial Narrow" w:eastAsia="Times New Roman" w:hAnsi="Arial Narrow" w:cs="Arial"/>
                <w:b/>
                <w:bCs/>
                <w:color w:val="FFFFFF"/>
                <w:sz w:val="20"/>
                <w:szCs w:val="20"/>
                <w:lang w:eastAsia="sk-SK"/>
              </w:rPr>
              <w:t xml:space="preserve">Návrh zmeny </w:t>
            </w:r>
          </w:p>
        </w:tc>
        <w:tc>
          <w:tcPr>
            <w:tcW w:w="992" w:type="dxa"/>
            <w:tcBorders>
              <w:top w:val="single" w:sz="8" w:space="0" w:color="auto"/>
              <w:left w:val="nil"/>
              <w:bottom w:val="nil"/>
              <w:right w:val="single" w:sz="8" w:space="0" w:color="auto"/>
            </w:tcBorders>
            <w:shd w:val="clear" w:color="000000" w:fill="808080"/>
            <w:noWrap/>
            <w:vAlign w:val="center"/>
            <w:hideMark/>
          </w:tcPr>
          <w:p w:rsidR="00057447" w:rsidRPr="00057447" w:rsidRDefault="00057447" w:rsidP="00057447">
            <w:pPr>
              <w:spacing w:after="0" w:line="240" w:lineRule="auto"/>
              <w:jc w:val="center"/>
              <w:rPr>
                <w:rFonts w:ascii="Arial Narrow" w:eastAsia="Times New Roman" w:hAnsi="Arial Narrow" w:cs="Arial"/>
                <w:b/>
                <w:bCs/>
                <w:color w:val="FFFFFF"/>
                <w:sz w:val="20"/>
                <w:szCs w:val="20"/>
                <w:lang w:eastAsia="sk-SK"/>
              </w:rPr>
            </w:pPr>
            <w:r w:rsidRPr="00057447">
              <w:rPr>
                <w:rFonts w:ascii="Arial Narrow" w:eastAsia="Times New Roman" w:hAnsi="Arial Narrow" w:cs="Arial"/>
                <w:b/>
                <w:bCs/>
                <w:color w:val="FFFFFF"/>
                <w:sz w:val="20"/>
                <w:szCs w:val="20"/>
                <w:lang w:eastAsia="sk-SK"/>
              </w:rPr>
              <w:t>2021</w:t>
            </w:r>
          </w:p>
        </w:tc>
        <w:tc>
          <w:tcPr>
            <w:tcW w:w="993" w:type="dxa"/>
            <w:tcBorders>
              <w:top w:val="single" w:sz="8" w:space="0" w:color="auto"/>
              <w:left w:val="nil"/>
              <w:bottom w:val="nil"/>
              <w:right w:val="single" w:sz="8" w:space="0" w:color="auto"/>
            </w:tcBorders>
            <w:shd w:val="clear" w:color="000000" w:fill="808080"/>
            <w:noWrap/>
            <w:vAlign w:val="center"/>
            <w:hideMark/>
          </w:tcPr>
          <w:p w:rsidR="00057447" w:rsidRPr="00057447" w:rsidRDefault="00057447" w:rsidP="00057447">
            <w:pPr>
              <w:spacing w:after="0" w:line="240" w:lineRule="auto"/>
              <w:jc w:val="center"/>
              <w:rPr>
                <w:rFonts w:ascii="Arial Narrow" w:eastAsia="Times New Roman" w:hAnsi="Arial Narrow" w:cs="Arial"/>
                <w:b/>
                <w:bCs/>
                <w:color w:val="FFFFFF"/>
                <w:sz w:val="20"/>
                <w:szCs w:val="20"/>
                <w:lang w:eastAsia="sk-SK"/>
              </w:rPr>
            </w:pPr>
            <w:r w:rsidRPr="00057447">
              <w:rPr>
                <w:rFonts w:ascii="Arial Narrow" w:eastAsia="Times New Roman" w:hAnsi="Arial Narrow" w:cs="Arial"/>
                <w:b/>
                <w:bCs/>
                <w:color w:val="FFFFFF"/>
                <w:sz w:val="20"/>
                <w:szCs w:val="20"/>
                <w:lang w:eastAsia="sk-SK"/>
              </w:rPr>
              <w:t>2022</w:t>
            </w:r>
          </w:p>
        </w:tc>
        <w:tc>
          <w:tcPr>
            <w:tcW w:w="1134" w:type="dxa"/>
            <w:tcBorders>
              <w:top w:val="single" w:sz="8" w:space="0" w:color="auto"/>
              <w:left w:val="nil"/>
              <w:bottom w:val="nil"/>
              <w:right w:val="single" w:sz="8" w:space="0" w:color="auto"/>
            </w:tcBorders>
            <w:shd w:val="clear" w:color="000000" w:fill="808080"/>
            <w:noWrap/>
            <w:vAlign w:val="center"/>
            <w:hideMark/>
          </w:tcPr>
          <w:p w:rsidR="00057447" w:rsidRPr="00057447" w:rsidRDefault="00057447" w:rsidP="00057447">
            <w:pPr>
              <w:spacing w:after="0" w:line="240" w:lineRule="auto"/>
              <w:jc w:val="center"/>
              <w:rPr>
                <w:rFonts w:ascii="Arial Narrow" w:eastAsia="Times New Roman" w:hAnsi="Arial Narrow" w:cs="Arial"/>
                <w:b/>
                <w:bCs/>
                <w:color w:val="FFFFFF"/>
                <w:sz w:val="20"/>
                <w:szCs w:val="20"/>
                <w:lang w:eastAsia="sk-SK"/>
              </w:rPr>
            </w:pPr>
            <w:r w:rsidRPr="00057447">
              <w:rPr>
                <w:rFonts w:ascii="Arial Narrow" w:eastAsia="Times New Roman" w:hAnsi="Arial Narrow" w:cs="Arial"/>
                <w:b/>
                <w:bCs/>
                <w:color w:val="FFFFFF"/>
                <w:sz w:val="20"/>
                <w:szCs w:val="20"/>
                <w:lang w:eastAsia="sk-SK"/>
              </w:rPr>
              <w:t>2023</w:t>
            </w:r>
          </w:p>
        </w:tc>
        <w:tc>
          <w:tcPr>
            <w:tcW w:w="1275" w:type="dxa"/>
            <w:tcBorders>
              <w:top w:val="single" w:sz="8" w:space="0" w:color="auto"/>
              <w:left w:val="nil"/>
              <w:bottom w:val="nil"/>
              <w:right w:val="single" w:sz="8" w:space="0" w:color="auto"/>
            </w:tcBorders>
            <w:shd w:val="clear" w:color="000000" w:fill="808080"/>
            <w:noWrap/>
            <w:vAlign w:val="center"/>
            <w:hideMark/>
          </w:tcPr>
          <w:p w:rsidR="00057447" w:rsidRPr="00057447" w:rsidRDefault="00057447" w:rsidP="00057447">
            <w:pPr>
              <w:spacing w:after="0" w:line="240" w:lineRule="auto"/>
              <w:jc w:val="center"/>
              <w:rPr>
                <w:rFonts w:ascii="Arial Narrow" w:eastAsia="Times New Roman" w:hAnsi="Arial Narrow" w:cs="Arial"/>
                <w:b/>
                <w:bCs/>
                <w:color w:val="FFFFFF"/>
                <w:sz w:val="20"/>
                <w:szCs w:val="20"/>
                <w:lang w:eastAsia="sk-SK"/>
              </w:rPr>
            </w:pPr>
            <w:r w:rsidRPr="00057447">
              <w:rPr>
                <w:rFonts w:ascii="Arial Narrow" w:eastAsia="Times New Roman" w:hAnsi="Arial Narrow" w:cs="Arial"/>
                <w:b/>
                <w:bCs/>
                <w:color w:val="FFFFFF"/>
                <w:sz w:val="20"/>
                <w:szCs w:val="20"/>
                <w:lang w:eastAsia="sk-SK"/>
              </w:rPr>
              <w:t>2024</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A</w:t>
            </w:r>
          </w:p>
        </w:tc>
        <w:tc>
          <w:tcPr>
            <w:tcW w:w="40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Dôchodkový vek</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line="240" w:lineRule="auto"/>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B1</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Odchod po 40 rokoch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-17 913 818</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-47 222 618</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B2</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Odchod po 40 rokoch bilancia obce a VUC</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-1 485 860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-1 759 486</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B3</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Odchod po 40 rokoch bilancia ZP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-1 951 126</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-2 261 568</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C</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Asignácia odvodov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-100 000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-200 000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-570 646 704</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-607 966 314</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D1</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Elektronická PN vplyv na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-301 968</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-622 041</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D2</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Elektronická PN vplyv na ŠR - MZ SR (NCZI)</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-510 000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-45 000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-90 000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-90 000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D3</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Elektronická PN vplyv na silové rezorty</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-1 830 000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-266 846</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-73 613</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D4</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Elektronická PN vplyv na zdravotné poisťovne</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D5</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Elektronická PN vplyv na obce a VÚC</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9 973</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16 128</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16 128</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11 376</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E</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Poberatelia výsluhových dôchodkov</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F1</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Československé dôchodky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-1 162 632</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-1 187 111</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lastRenderedPageBreak/>
              <w:t>F2</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Československé dôchodky bilancia ŠR</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96 420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100 899</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G1</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4 000 000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11 369 300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-68 348 194</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-44 119 649</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G2</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ŠR</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8 140 309</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8 329 402</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G3</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obce a VÚC</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-7 327</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4 022 220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5 021 730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G4</w:t>
            </w:r>
          </w:p>
        </w:tc>
        <w:tc>
          <w:tcPr>
            <w:tcW w:w="4085" w:type="dxa"/>
            <w:tcBorders>
              <w:top w:val="nil"/>
              <w:left w:val="single" w:sz="8" w:space="0" w:color="auto"/>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Ročné zúčtovanie bilancia zdravotné poisťovne</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-6 300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-368 400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-368 400</w:t>
            </w:r>
          </w:p>
        </w:tc>
      </w:tr>
      <w:tr w:rsidR="00991566" w:rsidRPr="00057447" w:rsidTr="00991566">
        <w:trPr>
          <w:trHeight w:val="375"/>
          <w:jc w:val="center"/>
        </w:trPr>
        <w:tc>
          <w:tcPr>
            <w:tcW w:w="557" w:type="dxa"/>
            <w:tcBorders>
              <w:top w:val="nil"/>
              <w:left w:val="single" w:sz="8" w:space="0" w:color="auto"/>
              <w:bottom w:val="single" w:sz="8" w:space="0" w:color="auto"/>
              <w:right w:val="nil"/>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H1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OOP- zmena z 200 na 300 eur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-7 436 992</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-7 605 612</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H2</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OOP- zmena z 200 na 300 eur bilancia ŠR</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827 652</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846 863</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H3</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OOP- zmena z 200 na 300 eur bilancia obce a VÚC</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381 765</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390 627</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I</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Predĺženie ochrannej lehoty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-1 155 874</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-1 202 955</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-1 261 565</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J1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Zrušenie platieb v hotovosti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500 000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500 000</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500 000</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K1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Zrušenie maximálnych vymeriavacích základov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187 528 782</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191 884 935</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K2</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Zrušenie maximálnych vymeriavacích základov bilancia obce a VÚC</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-12 881 102</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-13 180 321</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K3</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Zrušenie maximálnych vymeriavacích základov bilancia VPS</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-28 701 399</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-29 368 111</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K4</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 xml:space="preserve">Zrušenie maximálnych vymeriavacích základov bilancia ŠR </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-1 402 087</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-1 430 129</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L1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Zvýšenie maximálneho denného vymeriavacieho základu na platenie poistného z 2 násobku PM na 2,5 násobok PM</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-43 024 238</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-44 752 616</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M1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sidRPr="00057447">
              <w:rPr>
                <w:rFonts w:ascii="Arial Narrow" w:eastAsia="Times New Roman" w:hAnsi="Arial Narrow" w:cs="Arial"/>
                <w:sz w:val="20"/>
                <w:szCs w:val="20"/>
                <w:lang w:eastAsia="sk-SK"/>
              </w:rPr>
              <w:t>Naviazanie aktuálnej dôchodkovej hodnoty na 95% nominálneho rastu priemernej mzdy</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678 955</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2 163 418</w:t>
            </w:r>
          </w:p>
        </w:tc>
      </w:tr>
      <w:tr w:rsidR="00991566" w:rsidRPr="00057447" w:rsidTr="00991566">
        <w:trPr>
          <w:trHeight w:val="375"/>
          <w:jc w:val="center"/>
        </w:trPr>
        <w:tc>
          <w:tcPr>
            <w:tcW w:w="557" w:type="dxa"/>
            <w:tcBorders>
              <w:top w:val="nil"/>
              <w:left w:val="single" w:sz="8" w:space="0" w:color="auto"/>
              <w:bottom w:val="single" w:sz="8" w:space="0" w:color="auto"/>
              <w:right w:val="single" w:sz="8" w:space="0" w:color="auto"/>
            </w:tcBorders>
            <w:shd w:val="clear" w:color="000000" w:fill="C0C0C0"/>
            <w:noWrap/>
            <w:vAlign w:val="center"/>
            <w:hideMark/>
          </w:tcPr>
          <w:p w:rsidR="00991566" w:rsidRPr="00057447" w:rsidRDefault="00991566" w:rsidP="00991566">
            <w:pPr>
              <w:spacing w:after="0" w:line="240" w:lineRule="auto"/>
              <w:jc w:val="center"/>
              <w:rPr>
                <w:rFonts w:ascii="Arial Narrow" w:eastAsia="Times New Roman" w:hAnsi="Arial Narrow" w:cs="Arial"/>
                <w:b/>
                <w:bCs/>
                <w:sz w:val="20"/>
                <w:szCs w:val="20"/>
                <w:lang w:eastAsia="sk-SK"/>
              </w:rPr>
            </w:pPr>
            <w:r w:rsidRPr="00057447">
              <w:rPr>
                <w:rFonts w:ascii="Arial Narrow" w:eastAsia="Times New Roman" w:hAnsi="Arial Narrow" w:cs="Arial"/>
                <w:b/>
                <w:bCs/>
                <w:sz w:val="20"/>
                <w:szCs w:val="20"/>
                <w:lang w:eastAsia="sk-SK"/>
              </w:rPr>
              <w:t>N1</w:t>
            </w:r>
          </w:p>
        </w:tc>
        <w:tc>
          <w:tcPr>
            <w:tcW w:w="4085" w:type="dxa"/>
            <w:tcBorders>
              <w:top w:val="nil"/>
              <w:left w:val="nil"/>
              <w:bottom w:val="single" w:sz="8" w:space="0" w:color="auto"/>
              <w:right w:val="single" w:sz="8" w:space="0" w:color="auto"/>
            </w:tcBorders>
            <w:shd w:val="clear" w:color="auto" w:fill="auto"/>
            <w:noWrap/>
            <w:vAlign w:val="center"/>
            <w:hideMark/>
          </w:tcPr>
          <w:p w:rsidR="00991566" w:rsidRPr="00057447" w:rsidRDefault="00991566" w:rsidP="00991566">
            <w:pPr>
              <w:spacing w:after="0" w:line="240" w:lineRule="auto"/>
              <w:rPr>
                <w:rFonts w:ascii="Arial Narrow" w:eastAsia="Times New Roman" w:hAnsi="Arial Narrow" w:cs="Arial"/>
                <w:sz w:val="20"/>
                <w:szCs w:val="20"/>
                <w:lang w:eastAsia="sk-SK"/>
              </w:rPr>
            </w:pPr>
            <w:r>
              <w:rPr>
                <w:rFonts w:ascii="Arial Narrow" w:eastAsia="Times New Roman" w:hAnsi="Arial Narrow" w:cs="Arial"/>
                <w:sz w:val="20"/>
                <w:szCs w:val="20"/>
                <w:lang w:eastAsia="sk-SK"/>
              </w:rPr>
              <w:t>Vyplácanie odmien a mzdy</w:t>
            </w:r>
            <w:r w:rsidRPr="00057447">
              <w:rPr>
                <w:rFonts w:ascii="Arial Narrow" w:eastAsia="Times New Roman" w:hAnsi="Arial Narrow" w:cs="Arial"/>
                <w:sz w:val="20"/>
                <w:szCs w:val="20"/>
                <w:lang w:eastAsia="sk-SK"/>
              </w:rPr>
              <w:t xml:space="preserve"> počas poberania dávky materské</w:t>
            </w:r>
            <w:r>
              <w:rPr>
                <w:rFonts w:ascii="Arial Narrow" w:eastAsia="Times New Roman" w:hAnsi="Arial Narrow" w:cs="Arial"/>
                <w:sz w:val="20"/>
                <w:szCs w:val="20"/>
                <w:lang w:eastAsia="sk-SK"/>
              </w:rPr>
              <w:t xml:space="preserve"> – nepriamy vplyv zrušenia ročného zúčtovania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993"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-2 141 687</w:t>
            </w:r>
          </w:p>
        </w:tc>
        <w:tc>
          <w:tcPr>
            <w:tcW w:w="1275" w:type="dxa"/>
            <w:tcBorders>
              <w:top w:val="nil"/>
              <w:left w:val="nil"/>
              <w:bottom w:val="single" w:sz="8" w:space="0" w:color="auto"/>
              <w:right w:val="single" w:sz="8" w:space="0" w:color="auto"/>
            </w:tcBorders>
            <w:shd w:val="clear" w:color="auto" w:fill="auto"/>
            <w:noWrap/>
            <w:vAlign w:val="center"/>
            <w:hideMark/>
          </w:tcPr>
          <w:p w:rsidR="00991566" w:rsidRPr="00991566" w:rsidRDefault="00991566" w:rsidP="00991566">
            <w:pPr>
              <w:spacing w:after="0"/>
              <w:jc w:val="right"/>
              <w:rPr>
                <w:rFonts w:ascii="Arial Narrow" w:hAnsi="Arial Narrow" w:cs="Arial"/>
                <w:sz w:val="20"/>
                <w:szCs w:val="20"/>
              </w:rPr>
            </w:pPr>
            <w:r w:rsidRPr="00991566">
              <w:rPr>
                <w:rFonts w:ascii="Arial Narrow" w:hAnsi="Arial Narrow" w:cs="Arial"/>
                <w:sz w:val="20"/>
                <w:szCs w:val="20"/>
              </w:rPr>
              <w:t>-2 163 104</w:t>
            </w:r>
          </w:p>
        </w:tc>
      </w:tr>
    </w:tbl>
    <w:p w:rsidR="00453509" w:rsidRDefault="004854DC" w:rsidP="0028361B">
      <w:pPr>
        <w:spacing w:after="0" w:line="240" w:lineRule="auto"/>
        <w:jc w:val="both"/>
        <w:rPr>
          <w:rFonts w:ascii="Times New Roman" w:hAnsi="Times New Roman" w:cs="Verdana"/>
          <w:b/>
          <w:bCs/>
          <w:iCs/>
          <w:sz w:val="24"/>
          <w:szCs w:val="24"/>
        </w:rPr>
      </w:pPr>
      <w:r w:rsidRPr="00065D19">
        <w:rPr>
          <w:rFonts w:ascii="Times New Roman" w:eastAsia="Times New Roman" w:hAnsi="Times New Roman" w:cs="Times New Roman"/>
          <w:bCs/>
          <w:sz w:val="20"/>
          <w:szCs w:val="24"/>
          <w:lang w:eastAsia="sk-SK"/>
        </w:rPr>
        <w:t xml:space="preserve"> </w:t>
      </w:r>
      <w:r w:rsidR="00065D19" w:rsidRPr="00065D19">
        <w:rPr>
          <w:rFonts w:ascii="Times New Roman" w:eastAsia="Times New Roman" w:hAnsi="Times New Roman" w:cs="Times New Roman"/>
          <w:bCs/>
          <w:sz w:val="20"/>
          <w:szCs w:val="24"/>
          <w:lang w:eastAsia="sk-SK"/>
        </w:rPr>
        <w:t>SP – Sociálna poisťovňa; VÚC –</w:t>
      </w:r>
      <w:r w:rsidR="00356273">
        <w:rPr>
          <w:rFonts w:ascii="Times New Roman" w:eastAsia="Times New Roman" w:hAnsi="Times New Roman" w:cs="Times New Roman"/>
          <w:bCs/>
          <w:sz w:val="20"/>
          <w:szCs w:val="24"/>
          <w:lang w:eastAsia="sk-SK"/>
        </w:rPr>
        <w:t xml:space="preserve"> v</w:t>
      </w:r>
      <w:r w:rsidR="00065D19" w:rsidRPr="00065D19">
        <w:rPr>
          <w:rFonts w:ascii="Times New Roman" w:eastAsia="Times New Roman" w:hAnsi="Times New Roman" w:cs="Times New Roman"/>
          <w:bCs/>
          <w:sz w:val="20"/>
          <w:szCs w:val="24"/>
          <w:lang w:eastAsia="sk-SK"/>
        </w:rPr>
        <w:t xml:space="preserve">yššie územné celky; ZP – zdravotné poisťovne; </w:t>
      </w:r>
      <w:r w:rsidR="00FE6546">
        <w:rPr>
          <w:rFonts w:ascii="Times New Roman" w:eastAsia="Times New Roman" w:hAnsi="Times New Roman" w:cs="Times New Roman"/>
          <w:bCs/>
          <w:sz w:val="20"/>
          <w:szCs w:val="24"/>
          <w:lang w:eastAsia="sk-SK"/>
        </w:rPr>
        <w:t>D</w:t>
      </w:r>
      <w:r w:rsidR="00305DEB">
        <w:rPr>
          <w:rFonts w:ascii="Times New Roman" w:eastAsia="Times New Roman" w:hAnsi="Times New Roman" w:cs="Times New Roman"/>
          <w:bCs/>
          <w:sz w:val="20"/>
          <w:szCs w:val="24"/>
          <w:lang w:eastAsia="sk-SK"/>
        </w:rPr>
        <w:t xml:space="preserve">PN- </w:t>
      </w:r>
      <w:r w:rsidR="00FE6546">
        <w:rPr>
          <w:rFonts w:ascii="Times New Roman" w:eastAsia="Times New Roman" w:hAnsi="Times New Roman" w:cs="Times New Roman"/>
          <w:bCs/>
          <w:sz w:val="20"/>
          <w:szCs w:val="24"/>
          <w:lang w:eastAsia="sk-SK"/>
        </w:rPr>
        <w:t xml:space="preserve">dočasná </w:t>
      </w:r>
      <w:r w:rsidR="00305DEB">
        <w:rPr>
          <w:rFonts w:ascii="Times New Roman" w:eastAsia="Times New Roman" w:hAnsi="Times New Roman" w:cs="Times New Roman"/>
          <w:bCs/>
          <w:sz w:val="20"/>
          <w:szCs w:val="24"/>
          <w:lang w:eastAsia="sk-SK"/>
        </w:rPr>
        <w:t xml:space="preserve">práceneschopnosť; </w:t>
      </w:r>
      <w:r w:rsidR="00065D19" w:rsidRPr="00065D19">
        <w:rPr>
          <w:rFonts w:ascii="Times New Roman" w:eastAsia="Times New Roman" w:hAnsi="Times New Roman" w:cs="Times New Roman"/>
          <w:bCs/>
          <w:sz w:val="20"/>
          <w:szCs w:val="24"/>
          <w:lang w:eastAsia="sk-SK"/>
        </w:rPr>
        <w:t>MZ SR – Ministerstvo zdravotníctva SR; NCZI – Národné centrum zdravotníckych zariadení</w:t>
      </w:r>
      <w:r w:rsidR="00065D19">
        <w:rPr>
          <w:rFonts w:ascii="Times New Roman" w:eastAsia="Times New Roman" w:hAnsi="Times New Roman" w:cs="Times New Roman"/>
          <w:bCs/>
          <w:sz w:val="20"/>
          <w:szCs w:val="24"/>
          <w:lang w:eastAsia="sk-SK"/>
        </w:rPr>
        <w:t xml:space="preserve">; </w:t>
      </w:r>
      <w:r w:rsidR="00305DEB">
        <w:rPr>
          <w:rFonts w:ascii="Times New Roman" w:eastAsia="Times New Roman" w:hAnsi="Times New Roman" w:cs="Times New Roman"/>
          <w:bCs/>
          <w:sz w:val="20"/>
          <w:szCs w:val="24"/>
          <w:lang w:eastAsia="sk-SK"/>
        </w:rPr>
        <w:t>ŠR –</w:t>
      </w:r>
      <w:r w:rsidR="00356273">
        <w:rPr>
          <w:rFonts w:ascii="Times New Roman" w:eastAsia="Times New Roman" w:hAnsi="Times New Roman" w:cs="Times New Roman"/>
          <w:bCs/>
          <w:sz w:val="20"/>
          <w:szCs w:val="24"/>
          <w:lang w:eastAsia="sk-SK"/>
        </w:rPr>
        <w:t xml:space="preserve"> š</w:t>
      </w:r>
      <w:r w:rsidR="00305DEB">
        <w:rPr>
          <w:rFonts w:ascii="Times New Roman" w:eastAsia="Times New Roman" w:hAnsi="Times New Roman" w:cs="Times New Roman"/>
          <w:bCs/>
          <w:sz w:val="20"/>
          <w:szCs w:val="24"/>
          <w:lang w:eastAsia="sk-SK"/>
        </w:rPr>
        <w:t>tátny rozpočet; OOP – odvodová odpočítateľná položka</w:t>
      </w:r>
      <w:r w:rsidR="00C633AE">
        <w:rPr>
          <w:rFonts w:ascii="Times New Roman" w:eastAsia="Times New Roman" w:hAnsi="Times New Roman" w:cs="Times New Roman"/>
          <w:bCs/>
          <w:sz w:val="20"/>
          <w:szCs w:val="24"/>
          <w:lang w:eastAsia="sk-SK"/>
        </w:rPr>
        <w:t>; VPS – všeobecná pokladničná správa;</w:t>
      </w:r>
      <w:r w:rsidR="00867937">
        <w:rPr>
          <w:rFonts w:ascii="Times New Roman" w:eastAsia="Times New Roman" w:hAnsi="Times New Roman" w:cs="Times New Roman"/>
          <w:bCs/>
          <w:sz w:val="20"/>
          <w:szCs w:val="24"/>
          <w:lang w:eastAsia="sk-SK"/>
        </w:rPr>
        <w:t xml:space="preserve"> PM – priemerná mzda v národnom hospodárstve SR</w:t>
      </w:r>
    </w:p>
    <w:p w:rsidR="00453509" w:rsidRDefault="00453509" w:rsidP="00E47C9F">
      <w:pPr>
        <w:spacing w:after="0" w:line="240" w:lineRule="auto"/>
        <w:rPr>
          <w:rFonts w:ascii="Times New Roman" w:hAnsi="Times New Roman" w:cs="Verdana"/>
          <w:b/>
          <w:bCs/>
          <w:iCs/>
          <w:sz w:val="24"/>
          <w:szCs w:val="24"/>
        </w:rPr>
      </w:pPr>
    </w:p>
    <w:p w:rsidR="00453509" w:rsidRDefault="00453509" w:rsidP="00E47C9F">
      <w:pPr>
        <w:spacing w:after="0" w:line="240" w:lineRule="auto"/>
        <w:rPr>
          <w:rFonts w:ascii="Times New Roman" w:hAnsi="Times New Roman" w:cs="Verdana"/>
          <w:b/>
          <w:bCs/>
          <w:iCs/>
          <w:sz w:val="24"/>
          <w:szCs w:val="24"/>
        </w:rPr>
      </w:pPr>
    </w:p>
    <w:p w:rsidR="00E47C9F" w:rsidRPr="006139BF" w:rsidRDefault="00E47C9F" w:rsidP="00E47C9F">
      <w:pPr>
        <w:spacing w:after="0" w:line="240" w:lineRule="auto"/>
        <w:rPr>
          <w:rFonts w:ascii="Times New Roman" w:hAnsi="Times New Roman" w:cs="Verdana"/>
          <w:b/>
          <w:bCs/>
          <w:iCs/>
          <w:sz w:val="24"/>
          <w:szCs w:val="24"/>
        </w:rPr>
      </w:pPr>
      <w:r w:rsidRPr="006139BF">
        <w:rPr>
          <w:rFonts w:ascii="Times New Roman" w:hAnsi="Times New Roman" w:cs="Verdana"/>
          <w:b/>
          <w:bCs/>
          <w:iCs/>
          <w:sz w:val="24"/>
          <w:szCs w:val="24"/>
        </w:rPr>
        <w:t>2.2.4.1 Kvantifikácia príjmov</w:t>
      </w:r>
    </w:p>
    <w:p w:rsidR="00E47C9F" w:rsidRDefault="00E47C9F" w:rsidP="00E47C9F">
      <w:pPr>
        <w:tabs>
          <w:tab w:val="num" w:pos="1080"/>
        </w:tabs>
        <w:spacing w:after="0" w:line="240" w:lineRule="auto"/>
        <w:jc w:val="both"/>
        <w:rPr>
          <w:rFonts w:ascii="Times New Roman" w:eastAsia="Times New Roman" w:hAnsi="Times New Roman" w:cs="Times New Roman"/>
          <w:bCs/>
          <w:sz w:val="24"/>
          <w:szCs w:val="20"/>
          <w:lang w:eastAsia="sk-SK"/>
        </w:rPr>
      </w:pPr>
    </w:p>
    <w:p w:rsidR="00D53DEE"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00D53DEE"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00D53DEE"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príjmy verejnej správy</w:t>
      </w:r>
      <w:r w:rsidR="00D53DEE" w:rsidRPr="00B94369">
        <w:rPr>
          <w:rFonts w:ascii="Times New Roman" w:eastAsia="Times New Roman" w:hAnsi="Times New Roman" w:cs="Times New Roman"/>
          <w:bCs/>
          <w:lang w:eastAsia="sk-SK"/>
        </w:rPr>
        <w:t>:</w:t>
      </w:r>
    </w:p>
    <w:p w:rsidR="00D53DEE" w:rsidRPr="00B94369" w:rsidRDefault="00D53DEE" w:rsidP="001E6E4A">
      <w:pPr>
        <w:tabs>
          <w:tab w:val="num" w:pos="1080"/>
        </w:tabs>
        <w:spacing w:after="0" w:line="264" w:lineRule="auto"/>
        <w:jc w:val="both"/>
        <w:rPr>
          <w:rFonts w:ascii="Times New Roman" w:eastAsia="Times New Roman" w:hAnsi="Times New Roman" w:cs="Times New Roman"/>
          <w:bCs/>
          <w:lang w:eastAsia="sk-SK"/>
        </w:rPr>
      </w:pPr>
    </w:p>
    <w:p w:rsidR="00D53DEE" w:rsidRPr="0028361B" w:rsidRDefault="00065D19"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28361B">
        <w:rPr>
          <w:rFonts w:ascii="Times New Roman" w:eastAsia="Times New Roman" w:hAnsi="Times New Roman" w:cs="Times New Roman"/>
          <w:bCs/>
          <w:lang w:eastAsia="sk-SK"/>
        </w:rPr>
        <w:t xml:space="preserve">B) </w:t>
      </w:r>
      <w:r w:rsidR="002C5E86" w:rsidRPr="0028361B">
        <w:rPr>
          <w:rFonts w:ascii="Times New Roman" w:eastAsia="Times New Roman" w:hAnsi="Times New Roman" w:cs="Times New Roman"/>
          <w:bCs/>
          <w:lang w:eastAsia="sk-SK"/>
        </w:rPr>
        <w:t>vznik nároku na predčasný starobný</w:t>
      </w:r>
      <w:r w:rsidRPr="0028361B">
        <w:rPr>
          <w:rFonts w:ascii="Times New Roman" w:eastAsia="Times New Roman" w:hAnsi="Times New Roman" w:cs="Times New Roman"/>
          <w:bCs/>
          <w:lang w:eastAsia="sk-SK"/>
        </w:rPr>
        <w:t xml:space="preserve"> dôchod</w:t>
      </w:r>
      <w:r w:rsidR="002C5E86" w:rsidRPr="0028361B">
        <w:rPr>
          <w:rFonts w:ascii="Times New Roman" w:eastAsia="Times New Roman" w:hAnsi="Times New Roman" w:cs="Times New Roman"/>
          <w:bCs/>
          <w:lang w:eastAsia="sk-SK"/>
        </w:rPr>
        <w:t>o</w:t>
      </w:r>
      <w:r w:rsidRPr="0028361B">
        <w:rPr>
          <w:rFonts w:ascii="Times New Roman" w:eastAsia="Times New Roman" w:hAnsi="Times New Roman" w:cs="Times New Roman"/>
          <w:bCs/>
          <w:lang w:eastAsia="sk-SK"/>
        </w:rPr>
        <w:t>k za 40 odpracovaných rokov</w:t>
      </w:r>
      <w:r w:rsidR="0028361B" w:rsidRPr="0028361B">
        <w:rPr>
          <w:rFonts w:ascii="Times New Roman" w:eastAsia="Times New Roman" w:hAnsi="Times New Roman" w:cs="Times New Roman"/>
          <w:bCs/>
          <w:lang w:eastAsia="sk-SK"/>
        </w:rPr>
        <w:t>;</w:t>
      </w:r>
    </w:p>
    <w:p w:rsidR="00305DEB" w:rsidRPr="0028361B" w:rsidRDefault="00305DEB"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28361B">
        <w:rPr>
          <w:rFonts w:ascii="Times New Roman" w:eastAsia="Times New Roman" w:hAnsi="Times New Roman" w:cs="Times New Roman"/>
          <w:bCs/>
          <w:lang w:eastAsia="sk-SK"/>
        </w:rPr>
        <w:t>G) zrušenie ročného zúčtovania</w:t>
      </w:r>
      <w:r w:rsidR="0028361B" w:rsidRPr="0028361B">
        <w:rPr>
          <w:rFonts w:ascii="Times New Roman" w:eastAsia="Times New Roman" w:hAnsi="Times New Roman" w:cs="Times New Roman"/>
          <w:bCs/>
          <w:lang w:eastAsia="sk-SK"/>
        </w:rPr>
        <w:t>;</w:t>
      </w:r>
    </w:p>
    <w:p w:rsidR="00305DEB" w:rsidRPr="0028361B" w:rsidRDefault="00305DEB"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28361B">
        <w:rPr>
          <w:rFonts w:ascii="Times New Roman" w:eastAsia="Times New Roman" w:hAnsi="Times New Roman" w:cs="Times New Roman"/>
          <w:bCs/>
          <w:lang w:eastAsia="sk-SK"/>
        </w:rPr>
        <w:t xml:space="preserve">H) zmena </w:t>
      </w:r>
      <w:r w:rsidR="002D2CE5" w:rsidRPr="0028361B">
        <w:rPr>
          <w:rFonts w:ascii="Times New Roman" w:eastAsia="Times New Roman" w:hAnsi="Times New Roman" w:cs="Times New Roman"/>
          <w:bCs/>
          <w:lang w:eastAsia="sk-SK"/>
        </w:rPr>
        <w:t xml:space="preserve">tzv. </w:t>
      </w:r>
      <w:r w:rsidRPr="0028361B">
        <w:rPr>
          <w:rFonts w:ascii="Times New Roman" w:eastAsia="Times New Roman" w:hAnsi="Times New Roman" w:cs="Times New Roman"/>
          <w:bCs/>
          <w:lang w:eastAsia="sk-SK"/>
        </w:rPr>
        <w:t>odvodovej odpočítateľnej položky zo súčasných 200 na 300 eur</w:t>
      </w:r>
      <w:r w:rsidR="0028361B" w:rsidRPr="0028361B">
        <w:rPr>
          <w:rFonts w:ascii="Times New Roman" w:eastAsia="Times New Roman" w:hAnsi="Times New Roman" w:cs="Times New Roman"/>
          <w:bCs/>
          <w:lang w:eastAsia="sk-SK"/>
        </w:rPr>
        <w:t>;</w:t>
      </w:r>
    </w:p>
    <w:p w:rsidR="003045F3" w:rsidRPr="00991566" w:rsidRDefault="007C36AA" w:rsidP="00F11736">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K</w:t>
      </w:r>
      <w:r w:rsidR="00305DEB" w:rsidRPr="0028361B">
        <w:rPr>
          <w:rFonts w:ascii="Times New Roman" w:eastAsia="Times New Roman" w:hAnsi="Times New Roman" w:cs="Times New Roman"/>
          <w:bCs/>
          <w:lang w:eastAsia="sk-SK"/>
        </w:rPr>
        <w:t xml:space="preserve">) </w:t>
      </w:r>
      <w:r>
        <w:rPr>
          <w:rFonts w:ascii="Times New Roman" w:hAnsi="Times New Roman" w:cs="Times New Roman"/>
          <w:szCs w:val="20"/>
        </w:rPr>
        <w:t>z</w:t>
      </w:r>
      <w:r w:rsidRPr="009C11D6">
        <w:rPr>
          <w:rFonts w:ascii="Times New Roman" w:hAnsi="Times New Roman" w:cs="Times New Roman"/>
          <w:szCs w:val="20"/>
        </w:rPr>
        <w:t xml:space="preserve">rušenie maximálnych </w:t>
      </w:r>
      <w:r w:rsidR="00867937">
        <w:rPr>
          <w:rFonts w:ascii="Times New Roman" w:hAnsi="Times New Roman" w:cs="Times New Roman"/>
          <w:szCs w:val="20"/>
        </w:rPr>
        <w:t xml:space="preserve">mesačných </w:t>
      </w:r>
      <w:r w:rsidRPr="009C11D6">
        <w:rPr>
          <w:rFonts w:ascii="Times New Roman" w:hAnsi="Times New Roman" w:cs="Times New Roman"/>
          <w:szCs w:val="20"/>
        </w:rPr>
        <w:t>vymeriavacích základov</w:t>
      </w:r>
      <w:r>
        <w:rPr>
          <w:rFonts w:ascii="Times New Roman" w:hAnsi="Times New Roman" w:cs="Times New Roman"/>
          <w:szCs w:val="20"/>
        </w:rPr>
        <w:t xml:space="preserve"> na platenie poistného</w:t>
      </w:r>
      <w:r w:rsidR="00057447">
        <w:rPr>
          <w:rFonts w:ascii="Arial Narrow" w:hAnsi="Arial Narrow" w:cs="Arial"/>
          <w:szCs w:val="20"/>
        </w:rPr>
        <w:t>;</w:t>
      </w:r>
    </w:p>
    <w:p w:rsidR="00305DEB" w:rsidRPr="00991566" w:rsidRDefault="003045F3" w:rsidP="00991566">
      <w:pPr>
        <w:pStyle w:val="Odsekzoznamu"/>
        <w:numPr>
          <w:ilvl w:val="0"/>
          <w:numId w:val="17"/>
        </w:numP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N) </w:t>
      </w:r>
      <w:r w:rsidR="000B5A21">
        <w:rPr>
          <w:rFonts w:ascii="Times New Roman" w:eastAsia="Times New Roman" w:hAnsi="Times New Roman" w:cs="Times New Roman"/>
          <w:bCs/>
          <w:lang w:eastAsia="sk-SK"/>
        </w:rPr>
        <w:t>v</w:t>
      </w:r>
      <w:r w:rsidRPr="003045F3">
        <w:rPr>
          <w:rFonts w:ascii="Times New Roman" w:eastAsia="Times New Roman" w:hAnsi="Times New Roman" w:cs="Times New Roman"/>
          <w:bCs/>
          <w:lang w:eastAsia="sk-SK"/>
        </w:rPr>
        <w:t xml:space="preserve">yplácanie odmien a mzdy počas poberania dávky materské – </w:t>
      </w:r>
      <w:r w:rsidR="000B5A21">
        <w:rPr>
          <w:rFonts w:ascii="Times New Roman" w:eastAsia="Times New Roman" w:hAnsi="Times New Roman" w:cs="Times New Roman"/>
          <w:bCs/>
          <w:lang w:eastAsia="sk-SK"/>
        </w:rPr>
        <w:t xml:space="preserve">nepriamy </w:t>
      </w:r>
      <w:r w:rsidRPr="003045F3">
        <w:rPr>
          <w:rFonts w:ascii="Times New Roman" w:eastAsia="Times New Roman" w:hAnsi="Times New Roman" w:cs="Times New Roman"/>
          <w:bCs/>
          <w:lang w:eastAsia="sk-SK"/>
        </w:rPr>
        <w:t>vplyv zrušenia ročného zúčtovania</w:t>
      </w:r>
    </w:p>
    <w:p w:rsidR="00065D19" w:rsidRDefault="00065D19" w:rsidP="001E6E4A">
      <w:pPr>
        <w:pStyle w:val="Odsekzoznamu"/>
        <w:tabs>
          <w:tab w:val="num" w:pos="1080"/>
        </w:tabs>
        <w:spacing w:after="0" w:line="264" w:lineRule="auto"/>
        <w:jc w:val="both"/>
        <w:rPr>
          <w:rFonts w:ascii="Times New Roman" w:eastAsia="Times New Roman" w:hAnsi="Times New Roman" w:cs="Times New Roman"/>
          <w:bCs/>
          <w:lang w:eastAsia="sk-SK"/>
        </w:rPr>
      </w:pPr>
    </w:p>
    <w:p w:rsidR="00506756" w:rsidRPr="00B94369" w:rsidRDefault="00506756" w:rsidP="001E6E4A">
      <w:pPr>
        <w:pStyle w:val="Odsekzoznamu"/>
        <w:tabs>
          <w:tab w:val="num" w:pos="1080"/>
        </w:tabs>
        <w:spacing w:after="0" w:line="264" w:lineRule="auto"/>
        <w:jc w:val="both"/>
        <w:rPr>
          <w:rFonts w:ascii="Times New Roman" w:eastAsia="Times New Roman" w:hAnsi="Times New Roman" w:cs="Times New Roman"/>
          <w:bCs/>
          <w:lang w:eastAsia="sk-SK"/>
        </w:rPr>
      </w:pPr>
    </w:p>
    <w:p w:rsidR="00E47C9F" w:rsidRPr="00B94369" w:rsidRDefault="005F3EF6" w:rsidP="001E6E4A">
      <w:pPr>
        <w:tabs>
          <w:tab w:val="num" w:pos="1080"/>
        </w:tabs>
        <w:spacing w:after="0" w:line="264" w:lineRule="auto"/>
        <w:jc w:val="both"/>
        <w:rPr>
          <w:rFonts w:ascii="Times New Roman" w:eastAsia="Times New Roman" w:hAnsi="Times New Roman" w:cs="Times New Roman"/>
          <w:b/>
          <w:bCs/>
          <w:lang w:eastAsia="sk-SK"/>
        </w:rPr>
      </w:pPr>
      <w:r w:rsidRPr="00B94369">
        <w:rPr>
          <w:rFonts w:ascii="Times New Roman" w:eastAsia="Times New Roman" w:hAnsi="Times New Roman" w:cs="Times New Roman"/>
          <w:b/>
          <w:bCs/>
          <w:lang w:eastAsia="sk-SK"/>
        </w:rPr>
        <w:t xml:space="preserve">B) </w:t>
      </w:r>
      <w:r w:rsidR="002C5E86">
        <w:rPr>
          <w:rFonts w:ascii="Times New Roman" w:eastAsia="Times New Roman" w:hAnsi="Times New Roman" w:cs="Times New Roman"/>
          <w:b/>
          <w:bCs/>
          <w:lang w:eastAsia="sk-SK"/>
        </w:rPr>
        <w:t>Vznik nároku na predčasný starobný</w:t>
      </w:r>
      <w:r w:rsidRPr="00B94369">
        <w:rPr>
          <w:rFonts w:ascii="Times New Roman" w:eastAsia="Times New Roman" w:hAnsi="Times New Roman" w:cs="Times New Roman"/>
          <w:b/>
          <w:bCs/>
          <w:lang w:eastAsia="sk-SK"/>
        </w:rPr>
        <w:t xml:space="preserve"> dôchod</w:t>
      </w:r>
      <w:r w:rsidR="002C5E86">
        <w:rPr>
          <w:rFonts w:ascii="Times New Roman" w:eastAsia="Times New Roman" w:hAnsi="Times New Roman" w:cs="Times New Roman"/>
          <w:b/>
          <w:bCs/>
          <w:lang w:eastAsia="sk-SK"/>
        </w:rPr>
        <w:t>o</w:t>
      </w:r>
      <w:r w:rsidRPr="00B94369">
        <w:rPr>
          <w:rFonts w:ascii="Times New Roman" w:eastAsia="Times New Roman" w:hAnsi="Times New Roman" w:cs="Times New Roman"/>
          <w:b/>
          <w:bCs/>
          <w:lang w:eastAsia="sk-SK"/>
        </w:rPr>
        <w:t>k za 40 odpracovaných rokov</w:t>
      </w:r>
      <w:r w:rsidR="00E47C9F" w:rsidRPr="00B94369">
        <w:rPr>
          <w:rFonts w:ascii="Times New Roman" w:eastAsia="Times New Roman" w:hAnsi="Times New Roman" w:cs="Times New Roman"/>
          <w:b/>
          <w:bCs/>
          <w:lang w:eastAsia="sk-SK"/>
        </w:rPr>
        <w:t xml:space="preserve"> </w:t>
      </w:r>
    </w:p>
    <w:p w:rsidR="00E47C9F" w:rsidRPr="00B94369" w:rsidRDefault="00E47C9F" w:rsidP="001E6E4A">
      <w:pPr>
        <w:tabs>
          <w:tab w:val="num" w:pos="1080"/>
        </w:tabs>
        <w:spacing w:after="0" w:line="264" w:lineRule="auto"/>
        <w:jc w:val="both"/>
        <w:rPr>
          <w:rFonts w:ascii="Times New Roman" w:eastAsia="Times New Roman" w:hAnsi="Times New Roman" w:cs="Times New Roman"/>
          <w:b/>
          <w:bCs/>
          <w:lang w:eastAsia="sk-SK"/>
        </w:rPr>
      </w:pPr>
    </w:p>
    <w:p w:rsidR="00121C82" w:rsidRDefault="005F3EF6" w:rsidP="001E6E4A">
      <w:pPr>
        <w:spacing w:after="0" w:line="264" w:lineRule="auto"/>
        <w:ind w:firstLine="708"/>
        <w:jc w:val="both"/>
        <w:rPr>
          <w:rFonts w:ascii="Times New Roman" w:hAnsi="Times New Roman"/>
        </w:rPr>
      </w:pPr>
      <w:r w:rsidRPr="00B94369">
        <w:rPr>
          <w:rFonts w:ascii="Times New Roman" w:hAnsi="Times New Roman"/>
        </w:rPr>
        <w:t>Navrhovaná právna úprava navrhuje</w:t>
      </w:r>
      <w:r w:rsidR="00C77987" w:rsidRPr="00B94369">
        <w:rPr>
          <w:rFonts w:ascii="Times New Roman" w:hAnsi="Times New Roman"/>
        </w:rPr>
        <w:t xml:space="preserve"> okrem iného</w:t>
      </w:r>
      <w:r w:rsidRPr="00B94369">
        <w:rPr>
          <w:rFonts w:ascii="Times New Roman" w:hAnsi="Times New Roman"/>
        </w:rPr>
        <w:t xml:space="preserve"> aj alternatívnu možnosť odchodu do predčasného starobného dôchodku. Okrem možnosti odchodu do predčasného starobného dôchodku po splnení vekovej podmienky a dosiahnutia najmenej 15 rokov obdobia dôchodkového poistenia, by na základe uvedenej právnej úpravy, mohli poistenci odchádzať skôr do dôchodku aj po odpracovaní stanoveného počtu rokov. V dôs</w:t>
      </w:r>
      <w:r w:rsidR="00705127" w:rsidRPr="00B94369">
        <w:rPr>
          <w:rFonts w:ascii="Times New Roman" w:hAnsi="Times New Roman"/>
        </w:rPr>
        <w:t>ledku tohto opatrenia možno</w:t>
      </w:r>
      <w:r w:rsidRPr="00B94369">
        <w:rPr>
          <w:rFonts w:ascii="Times New Roman" w:hAnsi="Times New Roman"/>
        </w:rPr>
        <w:t xml:space="preserve"> očakávať </w:t>
      </w:r>
      <w:r w:rsidR="00207EED" w:rsidRPr="00B94369">
        <w:rPr>
          <w:rFonts w:ascii="Times New Roman" w:hAnsi="Times New Roman"/>
        </w:rPr>
        <w:t xml:space="preserve">na trhu práce </w:t>
      </w:r>
      <w:r w:rsidRPr="00B94369">
        <w:rPr>
          <w:rFonts w:ascii="Times New Roman" w:hAnsi="Times New Roman"/>
        </w:rPr>
        <w:t>mierny pokles pracovnej sily, čo má negatívny vplyv na príjmy Sociálnej poisťovne</w:t>
      </w:r>
      <w:r w:rsidR="00207EED" w:rsidRPr="00B94369">
        <w:rPr>
          <w:rFonts w:ascii="Times New Roman" w:hAnsi="Times New Roman"/>
        </w:rPr>
        <w:t xml:space="preserve"> a výber dane z príjmu fyzických osôb</w:t>
      </w:r>
      <w:r w:rsidRPr="00B94369">
        <w:rPr>
          <w:rFonts w:ascii="Times New Roman" w:hAnsi="Times New Roman"/>
        </w:rPr>
        <w:t>.</w:t>
      </w:r>
      <w:r w:rsidR="00705127" w:rsidRPr="00B94369">
        <w:rPr>
          <w:rFonts w:ascii="Times New Roman" w:hAnsi="Times New Roman"/>
        </w:rPr>
        <w:t xml:space="preserve"> Na základe údajov Sociálnej poisťovne by nárok na skorší odchod do dôchodku za tzv. 40 odpracovaných rokov v posledných 5 kalendárnych rokoch, t . j. v rokoch 2016</w:t>
      </w:r>
      <w:r w:rsidR="00121C82" w:rsidRPr="00B94369">
        <w:rPr>
          <w:rFonts w:ascii="Times New Roman" w:hAnsi="Times New Roman"/>
        </w:rPr>
        <w:t xml:space="preserve"> až 2020</w:t>
      </w:r>
      <w:r w:rsidR="00705127" w:rsidRPr="00B94369">
        <w:rPr>
          <w:rFonts w:ascii="Times New Roman" w:hAnsi="Times New Roman"/>
        </w:rPr>
        <w:t xml:space="preserve"> splnilo približne 26 % poistencov</w:t>
      </w:r>
      <w:r w:rsidR="00121C82" w:rsidRPr="00B94369">
        <w:rPr>
          <w:rFonts w:ascii="Times New Roman" w:hAnsi="Times New Roman"/>
        </w:rPr>
        <w:t xml:space="preserve">. </w:t>
      </w:r>
    </w:p>
    <w:p w:rsidR="001E6E4A" w:rsidRPr="00B94369" w:rsidRDefault="001E6E4A" w:rsidP="001E6E4A">
      <w:pPr>
        <w:spacing w:after="0" w:line="264" w:lineRule="auto"/>
        <w:ind w:firstLine="708"/>
        <w:jc w:val="both"/>
        <w:rPr>
          <w:rFonts w:ascii="Times New Roman" w:hAnsi="Times New Roman"/>
        </w:rPr>
      </w:pPr>
    </w:p>
    <w:p w:rsidR="007C36AA" w:rsidRPr="00B94369" w:rsidRDefault="007C36AA" w:rsidP="007C36AA">
      <w:pPr>
        <w:spacing w:after="0" w:line="240" w:lineRule="auto"/>
        <w:ind w:firstLine="708"/>
        <w:jc w:val="both"/>
        <w:rPr>
          <w:rFonts w:ascii="Times New Roman" w:hAnsi="Times New Roman"/>
        </w:rPr>
      </w:pPr>
      <w:r w:rsidRPr="00B94369">
        <w:rPr>
          <w:rFonts w:ascii="Times New Roman" w:hAnsi="Times New Roman"/>
        </w:rPr>
        <w:lastRenderedPageBreak/>
        <w:t>MPSVR SR predpokladá, že skorší odchod do dôchodku</w:t>
      </w:r>
      <w:r>
        <w:rPr>
          <w:rFonts w:ascii="Times New Roman" w:hAnsi="Times New Roman"/>
        </w:rPr>
        <w:t xml:space="preserve"> za tzv. 40 odpracovaných rokov</w:t>
      </w:r>
      <w:r w:rsidRPr="00B94369">
        <w:rPr>
          <w:rFonts w:ascii="Times New Roman" w:hAnsi="Times New Roman"/>
        </w:rPr>
        <w:t xml:space="preserve"> v</w:t>
      </w:r>
      <w:r>
        <w:rPr>
          <w:rFonts w:ascii="Times New Roman" w:hAnsi="Times New Roman"/>
        </w:rPr>
        <w:t> roku 2023 využije približne 3 3</w:t>
      </w:r>
      <w:r w:rsidRPr="00B94369">
        <w:rPr>
          <w:rFonts w:ascii="Times New Roman" w:hAnsi="Times New Roman"/>
        </w:rPr>
        <w:t>00 pois</w:t>
      </w:r>
      <w:r>
        <w:rPr>
          <w:rFonts w:ascii="Times New Roman" w:hAnsi="Times New Roman"/>
        </w:rPr>
        <w:t>tencov a v roku 2024 približne 3 6</w:t>
      </w:r>
      <w:r w:rsidRPr="00B94369">
        <w:rPr>
          <w:rFonts w:ascii="Times New Roman" w:hAnsi="Times New Roman"/>
        </w:rPr>
        <w:t>00 poistencov</w:t>
      </w:r>
      <w:r>
        <w:rPr>
          <w:rFonts w:ascii="Times New Roman" w:hAnsi="Times New Roman"/>
        </w:rPr>
        <w:t>, t. j. približne 33</w:t>
      </w:r>
      <w:r w:rsidRPr="00B94369">
        <w:rPr>
          <w:rFonts w:ascii="Times New Roman" w:hAnsi="Times New Roman"/>
        </w:rPr>
        <w:t xml:space="preserve"> % osôb, ktoré splnia podmienky nároku</w:t>
      </w:r>
      <w:r>
        <w:rPr>
          <w:rFonts w:ascii="Times New Roman" w:hAnsi="Times New Roman"/>
        </w:rPr>
        <w:t xml:space="preserve"> (v súčasnosti odchádza do predčasného starobného dôchodku približne 20 % poistencov, ktorí splnia podmienky nároku, nakoľko ale % krátenia pri skoršom odchode za 40 odpracovaných rokov </w:t>
      </w:r>
      <w:r w:rsidR="00122FB4">
        <w:rPr>
          <w:rFonts w:ascii="Times New Roman" w:hAnsi="Times New Roman"/>
        </w:rPr>
        <w:t xml:space="preserve">sa navrhuje na </w:t>
      </w:r>
      <w:r>
        <w:rPr>
          <w:rFonts w:ascii="Times New Roman" w:hAnsi="Times New Roman"/>
        </w:rPr>
        <w:t>nižš</w:t>
      </w:r>
      <w:r w:rsidR="00122FB4">
        <w:rPr>
          <w:rFonts w:ascii="Times New Roman" w:hAnsi="Times New Roman"/>
        </w:rPr>
        <w:t>ej úrovni</w:t>
      </w:r>
      <w:r>
        <w:rPr>
          <w:rFonts w:ascii="Times New Roman" w:hAnsi="Times New Roman"/>
        </w:rPr>
        <w:t>, t. j. na úrovni 0,3 % za každých začatých 30 dní skoršieho poberania dôchodku, predpokladáme, že záujem poistencov bude o túto možnosť odchodu z trhu práce bude o niečo vyšší)</w:t>
      </w:r>
      <w:r w:rsidRPr="00B94369">
        <w:rPr>
          <w:rFonts w:ascii="Times New Roman" w:hAnsi="Times New Roman"/>
        </w:rPr>
        <w:t>.</w:t>
      </w:r>
      <w:r>
        <w:rPr>
          <w:rFonts w:ascii="Times New Roman" w:hAnsi="Times New Roman"/>
        </w:rPr>
        <w:t xml:space="preserve"> Samozrejme skutočný vývoj bude v značnej miere ovplyvnený správaním poistencov a reálne počty odchádzajúcich poistencov a dopad na výdavky dôchodkového systému bude možné lepšie posúdiť až na skutočných dátach v najbližších rokoch.</w:t>
      </w:r>
      <w:r w:rsidRPr="00B94369">
        <w:rPr>
          <w:rFonts w:ascii="Times New Roman" w:hAnsi="Times New Roman"/>
        </w:rPr>
        <w:t xml:space="preserve"> V nasledujúcom období predpokladáme, že zamestnanci, ktorí odídu skôr do dôchodku, budú postupne na svojich pozíciách nahradení novými zamestnancami. </w:t>
      </w:r>
      <w:r w:rsidR="002E18B8">
        <w:rPr>
          <w:rFonts w:ascii="Times New Roman" w:hAnsi="Times New Roman"/>
        </w:rPr>
        <w:t>O</w:t>
      </w:r>
      <w:r w:rsidR="003045F3">
        <w:rPr>
          <w:rFonts w:ascii="Times New Roman" w:hAnsi="Times New Roman"/>
        </w:rPr>
        <w:t xml:space="preserve">dhadujeme, že výpadok poistného bude trvať v priemere </w:t>
      </w:r>
      <w:r w:rsidR="00E67266">
        <w:rPr>
          <w:rFonts w:ascii="Times New Roman" w:hAnsi="Times New Roman"/>
        </w:rPr>
        <w:t>3 mesiace</w:t>
      </w:r>
      <w:r w:rsidR="003045F3">
        <w:rPr>
          <w:rFonts w:ascii="Times New Roman" w:hAnsi="Times New Roman"/>
        </w:rPr>
        <w:t>,</w:t>
      </w:r>
      <w:r w:rsidR="002E18B8">
        <w:rPr>
          <w:rFonts w:ascii="Times New Roman" w:hAnsi="Times New Roman"/>
        </w:rPr>
        <w:t xml:space="preserve"> t. j. do času kým </w:t>
      </w:r>
      <w:r w:rsidR="003045F3">
        <w:rPr>
          <w:rFonts w:ascii="Times New Roman" w:hAnsi="Times New Roman"/>
        </w:rPr>
        <w:t xml:space="preserve">bude zamestnanec nahradený novým zamestnancom. </w:t>
      </w:r>
      <w:r w:rsidRPr="00B94369">
        <w:rPr>
          <w:rFonts w:ascii="Times New Roman" w:hAnsi="Times New Roman"/>
        </w:rPr>
        <w:t>Priemerný vymeriavací základ dotknutej skupiny poistencov predpokladáme v roku 2023 na úrovni približne 1 3</w:t>
      </w:r>
      <w:r>
        <w:rPr>
          <w:rFonts w:ascii="Times New Roman" w:hAnsi="Times New Roman"/>
        </w:rPr>
        <w:t>13</w:t>
      </w:r>
      <w:r w:rsidRPr="00B94369">
        <w:rPr>
          <w:rFonts w:ascii="Times New Roman" w:hAnsi="Times New Roman"/>
        </w:rPr>
        <w:t xml:space="preserve"> eur a v roku 2024 na úrovni približne 1 3</w:t>
      </w:r>
      <w:r>
        <w:rPr>
          <w:rFonts w:ascii="Times New Roman" w:hAnsi="Times New Roman"/>
        </w:rPr>
        <w:t>74</w:t>
      </w:r>
      <w:r w:rsidRPr="00B94369">
        <w:rPr>
          <w:rFonts w:ascii="Times New Roman" w:hAnsi="Times New Roman"/>
        </w:rPr>
        <w:t xml:space="preserve"> eur</w:t>
      </w:r>
      <w:r>
        <w:rPr>
          <w:rFonts w:ascii="Times New Roman" w:hAnsi="Times New Roman"/>
        </w:rPr>
        <w:t>, čo zodpovedá odhadovanej priemernej mzde v národnom hospodárstve</w:t>
      </w:r>
      <w:r w:rsidRPr="00B94369">
        <w:rPr>
          <w:rFonts w:ascii="Times New Roman" w:hAnsi="Times New Roman"/>
        </w:rPr>
        <w:t xml:space="preserve"> </w:t>
      </w:r>
      <w:r>
        <w:rPr>
          <w:rFonts w:ascii="Times New Roman" w:hAnsi="Times New Roman"/>
        </w:rPr>
        <w:t>SR na základe júnovej makroekonomickej prognózy Inštitútu finančnej politiky.</w:t>
      </w:r>
    </w:p>
    <w:p w:rsidR="001E6E4A" w:rsidRPr="00B94369" w:rsidRDefault="001E6E4A" w:rsidP="009C11D6">
      <w:pPr>
        <w:spacing w:after="0" w:line="264" w:lineRule="auto"/>
        <w:jc w:val="both"/>
        <w:rPr>
          <w:rFonts w:ascii="Times New Roman" w:hAnsi="Times New Roman"/>
        </w:rPr>
      </w:pPr>
    </w:p>
    <w:p w:rsidR="005F3EF6" w:rsidRPr="00B94369" w:rsidRDefault="004C2740" w:rsidP="001E6E4A">
      <w:pPr>
        <w:spacing w:after="0" w:line="264" w:lineRule="auto"/>
        <w:ind w:firstLine="708"/>
        <w:jc w:val="both"/>
        <w:rPr>
          <w:rFonts w:ascii="Times New Roman" w:hAnsi="Times New Roman"/>
        </w:rPr>
      </w:pPr>
      <w:r w:rsidRPr="00B94369">
        <w:rPr>
          <w:rFonts w:ascii="Times New Roman" w:hAnsi="Times New Roman"/>
        </w:rPr>
        <w:t>Celkový výpadok poistné</w:t>
      </w:r>
      <w:r w:rsidR="00C77987" w:rsidRPr="00B94369">
        <w:rPr>
          <w:rFonts w:ascii="Times New Roman" w:hAnsi="Times New Roman"/>
        </w:rPr>
        <w:t>ho</w:t>
      </w:r>
      <w:r w:rsidRPr="00B94369">
        <w:rPr>
          <w:rFonts w:ascii="Times New Roman" w:hAnsi="Times New Roman"/>
        </w:rPr>
        <w:t xml:space="preserve"> na sociálne poistenie odhadujeme </w:t>
      </w:r>
      <w:r w:rsidR="00C77987" w:rsidRPr="00B94369">
        <w:rPr>
          <w:rFonts w:ascii="Times New Roman" w:hAnsi="Times New Roman"/>
        </w:rPr>
        <w:t xml:space="preserve">vplyvom skoršieho odchodu z trhu práce </w:t>
      </w:r>
      <w:r w:rsidRPr="00B94369">
        <w:rPr>
          <w:rFonts w:ascii="Times New Roman" w:hAnsi="Times New Roman"/>
        </w:rPr>
        <w:t>v r</w:t>
      </w:r>
      <w:r w:rsidR="005C04FE">
        <w:rPr>
          <w:rFonts w:ascii="Times New Roman" w:hAnsi="Times New Roman"/>
        </w:rPr>
        <w:t>oku 2023 na úrovni približne 4,8</w:t>
      </w:r>
      <w:r w:rsidRPr="00B94369">
        <w:rPr>
          <w:rFonts w:ascii="Times New Roman" w:hAnsi="Times New Roman"/>
        </w:rPr>
        <w:t xml:space="preserve"> mil. eur a v</w:t>
      </w:r>
      <w:r w:rsidR="005C04FE">
        <w:rPr>
          <w:rFonts w:ascii="Times New Roman" w:hAnsi="Times New Roman"/>
        </w:rPr>
        <w:t> roku 2024 na úrovni približne 5</w:t>
      </w:r>
      <w:r w:rsidRPr="00B94369">
        <w:rPr>
          <w:rFonts w:ascii="Times New Roman" w:hAnsi="Times New Roman"/>
        </w:rPr>
        <w:t>,</w:t>
      </w:r>
      <w:r w:rsidR="00E67266">
        <w:rPr>
          <w:rFonts w:ascii="Times New Roman" w:hAnsi="Times New Roman"/>
        </w:rPr>
        <w:t>6</w:t>
      </w:r>
      <w:r w:rsidRPr="00B94369">
        <w:rPr>
          <w:rFonts w:ascii="Times New Roman" w:hAnsi="Times New Roman"/>
        </w:rPr>
        <w:t xml:space="preserve"> mil. eur. </w:t>
      </w:r>
      <w:r w:rsidR="00C77987" w:rsidRPr="00B94369">
        <w:rPr>
          <w:rFonts w:ascii="Times New Roman" w:hAnsi="Times New Roman"/>
        </w:rPr>
        <w:t>Celkový výpadok príjmov na zdravotnom poistení odhadujeme v roku 20</w:t>
      </w:r>
      <w:r w:rsidR="00492C2D">
        <w:rPr>
          <w:rFonts w:ascii="Times New Roman" w:hAnsi="Times New Roman"/>
        </w:rPr>
        <w:t>23 na úrovni približne 2,0</w:t>
      </w:r>
      <w:r w:rsidR="00C77987" w:rsidRPr="00B94369">
        <w:rPr>
          <w:rFonts w:ascii="Times New Roman" w:hAnsi="Times New Roman"/>
        </w:rPr>
        <w:t xml:space="preserve"> mil. eur a v r</w:t>
      </w:r>
      <w:r w:rsidR="00492C2D">
        <w:rPr>
          <w:rFonts w:ascii="Times New Roman" w:hAnsi="Times New Roman"/>
        </w:rPr>
        <w:t>oku 2024 na úrovni približne 2,3</w:t>
      </w:r>
      <w:r w:rsidR="00C77987" w:rsidRPr="00B94369">
        <w:rPr>
          <w:rFonts w:ascii="Times New Roman" w:hAnsi="Times New Roman"/>
        </w:rPr>
        <w:t xml:space="preserve"> mil. eur. Uvedené opatrenie zakladá rovnako aj negatívny vplyv na výber dane z príjmu fyzických osôb, kde predpokladáme celkový negatív</w:t>
      </w:r>
      <w:r w:rsidR="00492C2D">
        <w:rPr>
          <w:rFonts w:ascii="Times New Roman" w:hAnsi="Times New Roman"/>
        </w:rPr>
        <w:t>ny vplyv na úrovni približne 1,5</w:t>
      </w:r>
      <w:r w:rsidR="00C77987" w:rsidRPr="00B94369">
        <w:rPr>
          <w:rFonts w:ascii="Times New Roman" w:hAnsi="Times New Roman"/>
        </w:rPr>
        <w:t xml:space="preserve"> mil. eur v rok</w:t>
      </w:r>
      <w:r w:rsidR="00492C2D">
        <w:rPr>
          <w:rFonts w:ascii="Times New Roman" w:hAnsi="Times New Roman"/>
        </w:rPr>
        <w:t>u 2023 a 1,8</w:t>
      </w:r>
      <w:r w:rsidR="00C77987" w:rsidRPr="00B94369">
        <w:rPr>
          <w:rFonts w:ascii="Times New Roman" w:hAnsi="Times New Roman"/>
        </w:rPr>
        <w:t xml:space="preserve"> mil. eur v roku 2024.</w:t>
      </w:r>
    </w:p>
    <w:p w:rsidR="00867937" w:rsidRDefault="00867937" w:rsidP="00867937">
      <w:pPr>
        <w:spacing w:after="0"/>
        <w:jc w:val="both"/>
        <w:rPr>
          <w:rFonts w:ascii="Times New Roman" w:hAnsi="Times New Roman"/>
        </w:rPr>
      </w:pPr>
    </w:p>
    <w:p w:rsidR="00867937" w:rsidRPr="00B94369" w:rsidRDefault="00867937" w:rsidP="009C11D6">
      <w:pPr>
        <w:spacing w:after="0"/>
        <w:ind w:firstLine="708"/>
        <w:jc w:val="both"/>
        <w:rPr>
          <w:rFonts w:ascii="Times New Roman" w:hAnsi="Times New Roman"/>
        </w:rPr>
      </w:pPr>
      <w:r w:rsidRPr="00B94369">
        <w:rPr>
          <w:rFonts w:ascii="Times New Roman" w:hAnsi="Times New Roman"/>
        </w:rPr>
        <w:t xml:space="preserve">V dlhodobom horizonte očakávame mierny pokles príjmov na úrovni približne 0,1 p. b. HDP, čo môžeme označiť ako  mierny negatívny vplyv na bilanciu dôchodkového systému. </w:t>
      </w:r>
    </w:p>
    <w:p w:rsidR="00867937" w:rsidRPr="00B94369" w:rsidRDefault="00867937" w:rsidP="00867937">
      <w:pPr>
        <w:spacing w:after="0"/>
        <w:rPr>
          <w:rFonts w:ascii="Times New Roman" w:hAnsi="Times New Roman"/>
        </w:rPr>
      </w:pPr>
    </w:p>
    <w:p w:rsidR="00867937" w:rsidRPr="00B94369" w:rsidRDefault="00867937" w:rsidP="00867937">
      <w:pPr>
        <w:spacing w:after="0"/>
        <w:rPr>
          <w:rFonts w:ascii="Times New Roman" w:hAnsi="Times New Roman"/>
        </w:rPr>
      </w:pPr>
      <w:r w:rsidRPr="00B94369">
        <w:rPr>
          <w:rFonts w:ascii="Times New Roman" w:hAnsi="Times New Roman"/>
        </w:rPr>
        <w:t>Predpoklady použité pri kvantifikácii</w:t>
      </w:r>
      <w:r>
        <w:rPr>
          <w:rFonts w:ascii="Times New Roman" w:hAnsi="Times New Roman"/>
        </w:rPr>
        <w:t xml:space="preserve"> na dlhodobom horizonte</w:t>
      </w:r>
      <w:r w:rsidRPr="00B94369">
        <w:rPr>
          <w:rFonts w:ascii="Times New Roman" w:hAnsi="Times New Roman"/>
        </w:rPr>
        <w:t xml:space="preserve">: </w:t>
      </w:r>
    </w:p>
    <w:p w:rsidR="00867937" w:rsidRPr="00B94369" w:rsidRDefault="00867937" w:rsidP="00867937">
      <w:pPr>
        <w:spacing w:after="0"/>
        <w:rPr>
          <w:rFonts w:ascii="Times New Roman" w:hAnsi="Times New Roman"/>
        </w:rPr>
      </w:pPr>
    </w:p>
    <w:p w:rsidR="00867937" w:rsidRPr="00B94369" w:rsidRDefault="00867937" w:rsidP="006C5856">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HDP je upravené o pokles jednotlivcov z pracovnej sily, ktorí sa rozhodnú odísť z pracovného trhu skôr.</w:t>
      </w:r>
      <w:r w:rsidR="006C5856">
        <w:rPr>
          <w:rFonts w:ascii="Times New Roman" w:hAnsi="Times New Roman" w:cs="Times New Roman"/>
        </w:rPr>
        <w:t xml:space="preserve"> V počiatočných rokoch sa </w:t>
      </w:r>
      <w:r w:rsidR="006C5856" w:rsidRPr="006C5856">
        <w:rPr>
          <w:rFonts w:ascii="Times New Roman" w:hAnsi="Times New Roman" w:cs="Times New Roman"/>
        </w:rPr>
        <w:t>predpoklad</w:t>
      </w:r>
      <w:r w:rsidR="006C5856">
        <w:rPr>
          <w:rFonts w:ascii="Times New Roman" w:hAnsi="Times New Roman" w:cs="Times New Roman"/>
        </w:rPr>
        <w:t>á účasť na úrovni 33%. Následne sa uvažuje postupný nárast účasti z dôvodu predpokladaného zvyšovania dôchodkového</w:t>
      </w:r>
      <w:r w:rsidR="006C5856" w:rsidRPr="006C5856">
        <w:rPr>
          <w:rFonts w:ascii="Times New Roman" w:hAnsi="Times New Roman" w:cs="Times New Roman"/>
        </w:rPr>
        <w:t xml:space="preserve"> vek</w:t>
      </w:r>
      <w:r w:rsidR="006C5856">
        <w:rPr>
          <w:rFonts w:ascii="Times New Roman" w:hAnsi="Times New Roman" w:cs="Times New Roman"/>
        </w:rPr>
        <w:t>u, pričom, ale hranica 40 rokov zostáva zachovaná</w:t>
      </w:r>
      <w:r w:rsidR="006C5856" w:rsidRPr="006C5856">
        <w:rPr>
          <w:rFonts w:ascii="Times New Roman" w:hAnsi="Times New Roman" w:cs="Times New Roman"/>
        </w:rPr>
        <w:t>.</w:t>
      </w:r>
      <w:r w:rsidRPr="00B94369">
        <w:rPr>
          <w:rFonts w:ascii="Times New Roman" w:hAnsi="Times New Roman" w:cs="Times New Roman"/>
        </w:rPr>
        <w:t xml:space="preserve"> </w:t>
      </w:r>
    </w:p>
    <w:p w:rsidR="00867937" w:rsidRPr="00B94369" w:rsidRDefault="00867937" w:rsidP="00867937">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 xml:space="preserve">Vďaka aktuárnemu princípu by celkový objem výdavkov na dôchodky nemala táto zmena výraznejšie ovplyvniť. </w:t>
      </w:r>
    </w:p>
    <w:p w:rsidR="00867937" w:rsidRPr="00B94369" w:rsidRDefault="00867937" w:rsidP="00867937">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Kalkulácia zároveň predpokladá už zavedené naviazanie rastu dôchodkového veku na rast strednej dĺžky života, t. j. jedná sa  o dodatočný vplyv k zavedeniu rastu DV so SDŽ a nie oproti súčasnému právnemu stavu. V porovnaní so súčasným právnym stavom by bol efekt nižší, nakoľko by túto možnosť mohlo využiť menej ľudí.</w:t>
      </w:r>
    </w:p>
    <w:p w:rsidR="00867937" w:rsidRPr="00B94369" w:rsidRDefault="00867937" w:rsidP="00867937">
      <w:pPr>
        <w:pStyle w:val="Nadpis3"/>
        <w:spacing w:before="0"/>
        <w:jc w:val="both"/>
        <w:rPr>
          <w:rFonts w:ascii="Times New Roman" w:hAnsi="Times New Roman" w:cs="Times New Roman"/>
          <w:color w:val="auto"/>
          <w:sz w:val="22"/>
          <w:szCs w:val="22"/>
        </w:rPr>
      </w:pPr>
    </w:p>
    <w:p w:rsidR="00867937" w:rsidRPr="00B94369" w:rsidRDefault="00867937" w:rsidP="00867937">
      <w:pPr>
        <w:pStyle w:val="Nadpis3"/>
        <w:spacing w:before="0"/>
        <w:jc w:val="both"/>
        <w:rPr>
          <w:rFonts w:ascii="Times New Roman" w:hAnsi="Times New Roman" w:cs="Times New Roman"/>
          <w:color w:val="auto"/>
          <w:sz w:val="22"/>
          <w:szCs w:val="22"/>
        </w:rPr>
      </w:pPr>
      <w:r w:rsidRPr="00B94369">
        <w:rPr>
          <w:rFonts w:ascii="Times New Roman" w:hAnsi="Times New Roman" w:cs="Times New Roman"/>
          <w:b/>
          <w:color w:val="auto"/>
          <w:sz w:val="22"/>
          <w:szCs w:val="22"/>
          <w:u w:val="single"/>
        </w:rPr>
        <w:t>Tabuľka 3A:</w:t>
      </w:r>
      <w:r w:rsidRPr="00B94369">
        <w:rPr>
          <w:rFonts w:ascii="Times New Roman" w:hAnsi="Times New Roman" w:cs="Times New Roman"/>
          <w:color w:val="auto"/>
          <w:sz w:val="22"/>
          <w:szCs w:val="22"/>
        </w:rPr>
        <w:t xml:space="preserve"> Vplyv odchodu do dôchodku za 40 odpracovaných rokov vrátane naviazanie dôchodkového veku na strednú dĺžku života na bilanciu dôchodkového systému v dlhodobom horizonte</w:t>
      </w:r>
    </w:p>
    <w:p w:rsidR="00867937" w:rsidRPr="006C6991" w:rsidRDefault="00867937" w:rsidP="00867937">
      <w:pPr>
        <w:spacing w:after="0"/>
        <w:jc w:val="both"/>
        <w:rPr>
          <w:rFonts w:ascii="Times New Roman" w:hAnsi="Times New Roman"/>
        </w:rPr>
      </w:pP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867937" w:rsidRPr="006C6991" w:rsidTr="00F11736">
        <w:trPr>
          <w:trHeight w:val="300"/>
          <w:jc w:val="center"/>
        </w:trPr>
        <w:tc>
          <w:tcPr>
            <w:tcW w:w="1560" w:type="dxa"/>
            <w:noWrap/>
            <w:hideMark/>
          </w:tcPr>
          <w:p w:rsidR="00867937" w:rsidRPr="00E17E65" w:rsidRDefault="00867937" w:rsidP="008B1817">
            <w:pPr>
              <w:spacing w:after="0" w:line="240" w:lineRule="auto"/>
              <w:rPr>
                <w:rFonts w:ascii="Times New Roman" w:hAnsi="Times New Roman"/>
                <w:color w:val="000000"/>
                <w:sz w:val="20"/>
                <w:szCs w:val="20"/>
                <w:lang w:eastAsia="sk-SK"/>
              </w:rPr>
            </w:pPr>
            <w:r w:rsidRPr="00E17E65">
              <w:rPr>
                <w:rFonts w:ascii="Times New Roman" w:hAnsi="Times New Roman"/>
                <w:color w:val="000000"/>
                <w:sz w:val="20"/>
                <w:szCs w:val="20"/>
                <w:lang w:eastAsia="sk-SK"/>
              </w:rPr>
              <w:t> </w:t>
            </w:r>
          </w:p>
        </w:tc>
        <w:tc>
          <w:tcPr>
            <w:tcW w:w="616"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2023</w:t>
            </w:r>
          </w:p>
        </w:tc>
        <w:tc>
          <w:tcPr>
            <w:tcW w:w="616"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2024</w:t>
            </w:r>
          </w:p>
        </w:tc>
        <w:tc>
          <w:tcPr>
            <w:tcW w:w="616"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2025</w:t>
            </w:r>
          </w:p>
        </w:tc>
        <w:tc>
          <w:tcPr>
            <w:tcW w:w="670"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2030</w:t>
            </w:r>
          </w:p>
        </w:tc>
        <w:tc>
          <w:tcPr>
            <w:tcW w:w="670"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2035</w:t>
            </w:r>
          </w:p>
        </w:tc>
        <w:tc>
          <w:tcPr>
            <w:tcW w:w="670"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2040</w:t>
            </w:r>
          </w:p>
        </w:tc>
        <w:tc>
          <w:tcPr>
            <w:tcW w:w="670"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2045</w:t>
            </w:r>
          </w:p>
        </w:tc>
        <w:tc>
          <w:tcPr>
            <w:tcW w:w="670" w:type="dxa"/>
            <w:noWrap/>
            <w:hideMark/>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2050</w:t>
            </w:r>
          </w:p>
        </w:tc>
        <w:tc>
          <w:tcPr>
            <w:tcW w:w="616" w:type="dxa"/>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2055</w:t>
            </w:r>
          </w:p>
        </w:tc>
        <w:tc>
          <w:tcPr>
            <w:tcW w:w="616" w:type="dxa"/>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2060</w:t>
            </w:r>
          </w:p>
        </w:tc>
        <w:tc>
          <w:tcPr>
            <w:tcW w:w="616" w:type="dxa"/>
          </w:tcPr>
          <w:p w:rsidR="00867937" w:rsidRPr="00E17E65" w:rsidRDefault="00867937" w:rsidP="008B1817">
            <w:pPr>
              <w:spacing w:after="0" w:line="240" w:lineRule="auto"/>
              <w:jc w:val="right"/>
              <w:rPr>
                <w:rFonts w:ascii="Times New Roman" w:hAnsi="Times New Roman"/>
                <w:color w:val="000000"/>
                <w:sz w:val="20"/>
                <w:szCs w:val="20"/>
                <w:lang w:eastAsia="sk-SK"/>
              </w:rPr>
            </w:pPr>
            <w:r w:rsidRPr="00E17E65">
              <w:rPr>
                <w:rFonts w:ascii="Times New Roman" w:hAnsi="Times New Roman"/>
                <w:color w:val="000000"/>
                <w:sz w:val="20"/>
                <w:szCs w:val="20"/>
                <w:lang w:eastAsia="sk-SK"/>
              </w:rPr>
              <w:t>2065</w:t>
            </w:r>
          </w:p>
        </w:tc>
        <w:tc>
          <w:tcPr>
            <w:tcW w:w="616" w:type="dxa"/>
          </w:tcPr>
          <w:p w:rsidR="00867937" w:rsidRPr="00E17E65" w:rsidRDefault="00867937" w:rsidP="008B1817">
            <w:pPr>
              <w:spacing w:after="0" w:line="240" w:lineRule="auto"/>
              <w:rPr>
                <w:rFonts w:ascii="Times New Roman" w:hAnsi="Times New Roman"/>
                <w:color w:val="000000"/>
                <w:sz w:val="20"/>
                <w:szCs w:val="20"/>
                <w:lang w:eastAsia="sk-SK"/>
              </w:rPr>
            </w:pPr>
            <w:r w:rsidRPr="00E17E65">
              <w:rPr>
                <w:rFonts w:ascii="Times New Roman" w:hAnsi="Times New Roman"/>
                <w:color w:val="000000"/>
                <w:sz w:val="20"/>
                <w:szCs w:val="20"/>
                <w:lang w:eastAsia="sk-SK"/>
              </w:rPr>
              <w:t>2070</w:t>
            </w:r>
          </w:p>
        </w:tc>
      </w:tr>
      <w:tr w:rsidR="00F11736" w:rsidRPr="006C6991" w:rsidTr="00F11736">
        <w:trPr>
          <w:trHeight w:val="300"/>
          <w:jc w:val="center"/>
        </w:trPr>
        <w:tc>
          <w:tcPr>
            <w:tcW w:w="1560" w:type="dxa"/>
            <w:noWrap/>
            <w:vAlign w:val="bottom"/>
            <w:hideMark/>
          </w:tcPr>
          <w:p w:rsidR="00F11736" w:rsidRPr="002120F0" w:rsidRDefault="00F11736" w:rsidP="00F11736">
            <w:pPr>
              <w:spacing w:after="0" w:line="240" w:lineRule="auto"/>
              <w:jc w:val="center"/>
              <w:rPr>
                <w:rFonts w:ascii="Times New Roman" w:hAnsi="Times New Roman"/>
                <w:bCs/>
                <w:color w:val="000000"/>
                <w:sz w:val="20"/>
                <w:szCs w:val="20"/>
                <w:lang w:eastAsia="sk-SK"/>
              </w:rPr>
            </w:pPr>
            <w:r w:rsidRPr="002120F0">
              <w:rPr>
                <w:rFonts w:ascii="Times New Roman" w:hAnsi="Times New Roman"/>
                <w:bCs/>
                <w:color w:val="000000"/>
                <w:sz w:val="20"/>
                <w:szCs w:val="20"/>
                <w:lang w:eastAsia="sk-SK"/>
              </w:rPr>
              <w:t>Vplyv na bilanciu v p. b. HDP</w:t>
            </w:r>
          </w:p>
        </w:tc>
        <w:tc>
          <w:tcPr>
            <w:tcW w:w="616"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0,0</w:t>
            </w:r>
          </w:p>
        </w:tc>
        <w:tc>
          <w:tcPr>
            <w:tcW w:w="616"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0,0</w:t>
            </w:r>
          </w:p>
        </w:tc>
        <w:tc>
          <w:tcPr>
            <w:tcW w:w="616"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0,0</w:t>
            </w:r>
          </w:p>
        </w:tc>
        <w:tc>
          <w:tcPr>
            <w:tcW w:w="670"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0,0</w:t>
            </w:r>
          </w:p>
        </w:tc>
        <w:tc>
          <w:tcPr>
            <w:tcW w:w="670"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0,0</w:t>
            </w:r>
          </w:p>
        </w:tc>
        <w:tc>
          <w:tcPr>
            <w:tcW w:w="670"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70"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70" w:type="dxa"/>
            <w:noWrap/>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16" w:type="dxa"/>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16" w:type="dxa"/>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16" w:type="dxa"/>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c>
          <w:tcPr>
            <w:tcW w:w="616" w:type="dxa"/>
            <w:vAlign w:val="center"/>
          </w:tcPr>
          <w:p w:rsidR="00F11736" w:rsidRPr="00F11736" w:rsidRDefault="00F11736" w:rsidP="00F11736">
            <w:pPr>
              <w:spacing w:after="0"/>
              <w:jc w:val="center"/>
              <w:rPr>
                <w:rFonts w:ascii="Arial Narrow" w:hAnsi="Arial Narrow"/>
                <w:color w:val="000000" w:themeColor="text1"/>
                <w:sz w:val="20"/>
                <w:szCs w:val="20"/>
              </w:rPr>
            </w:pPr>
            <w:r w:rsidRPr="00F11736">
              <w:rPr>
                <w:rFonts w:ascii="Arial Narrow" w:hAnsi="Arial Narrow"/>
                <w:color w:val="000000"/>
                <w:sz w:val="20"/>
                <w:szCs w:val="20"/>
              </w:rPr>
              <w:t>0,1</w:t>
            </w:r>
          </w:p>
        </w:tc>
      </w:tr>
    </w:tbl>
    <w:p w:rsidR="00867937" w:rsidRPr="00905577" w:rsidRDefault="00867937" w:rsidP="00867937">
      <w:pPr>
        <w:spacing w:after="0"/>
        <w:rPr>
          <w:rFonts w:ascii="Times New Roman" w:hAnsi="Times New Roman"/>
          <w:sz w:val="20"/>
          <w:szCs w:val="20"/>
        </w:rPr>
      </w:pPr>
      <w:r w:rsidRPr="00905577">
        <w:rPr>
          <w:rFonts w:ascii="Times New Roman" w:hAnsi="Times New Roman"/>
          <w:sz w:val="20"/>
          <w:szCs w:val="20"/>
        </w:rPr>
        <w:t>Zdroj: IFP; (-) záporná hodnota predstavuje úsporu</w:t>
      </w:r>
    </w:p>
    <w:p w:rsidR="00497730" w:rsidRDefault="00497730" w:rsidP="00AD7397">
      <w:pPr>
        <w:tabs>
          <w:tab w:val="num" w:pos="1080"/>
        </w:tabs>
        <w:spacing w:after="0" w:line="240" w:lineRule="auto"/>
        <w:rPr>
          <w:rFonts w:ascii="Times New Roman" w:eastAsia="Times New Roman" w:hAnsi="Times New Roman" w:cs="Times New Roman"/>
          <w:bCs/>
          <w:sz w:val="24"/>
          <w:szCs w:val="24"/>
          <w:lang w:eastAsia="sk-SK"/>
        </w:rPr>
      </w:pPr>
    </w:p>
    <w:p w:rsidR="008E4630" w:rsidRPr="00B94369" w:rsidRDefault="008E4630" w:rsidP="008E4630">
      <w:pPr>
        <w:tabs>
          <w:tab w:val="num" w:pos="1080"/>
        </w:tabs>
        <w:spacing w:after="0" w:line="240" w:lineRule="auto"/>
        <w:rPr>
          <w:rFonts w:ascii="Times New Roman" w:eastAsia="Times New Roman" w:hAnsi="Times New Roman" w:cs="Times New Roman"/>
          <w:b/>
          <w:bCs/>
          <w:lang w:eastAsia="sk-SK"/>
        </w:rPr>
      </w:pPr>
      <w:r w:rsidRPr="00EF7B49">
        <w:rPr>
          <w:rFonts w:ascii="Times New Roman" w:eastAsia="Times New Roman" w:hAnsi="Times New Roman" w:cs="Times New Roman"/>
          <w:b/>
          <w:bCs/>
          <w:lang w:eastAsia="sk-SK"/>
        </w:rPr>
        <w:lastRenderedPageBreak/>
        <w:t>G) Zrušenie ročného zúčtovania</w:t>
      </w:r>
    </w:p>
    <w:p w:rsidR="008E4630" w:rsidRPr="00B94369" w:rsidRDefault="008E4630" w:rsidP="008E4630">
      <w:pPr>
        <w:tabs>
          <w:tab w:val="num" w:pos="1080"/>
        </w:tabs>
        <w:spacing w:after="0" w:line="240" w:lineRule="auto"/>
        <w:rPr>
          <w:rFonts w:ascii="Times New Roman" w:eastAsia="Times New Roman" w:hAnsi="Times New Roman" w:cs="Times New Roman"/>
          <w:b/>
          <w:bCs/>
          <w:lang w:eastAsia="sk-SK"/>
        </w:rPr>
      </w:pPr>
    </w:p>
    <w:p w:rsidR="00E3225B" w:rsidRPr="00B94369" w:rsidRDefault="00D8340B" w:rsidP="001E6E4A">
      <w:pPr>
        <w:spacing w:after="0" w:line="264" w:lineRule="auto"/>
        <w:ind w:firstLine="709"/>
        <w:jc w:val="both"/>
        <w:rPr>
          <w:rFonts w:ascii="Times New Roman" w:hAnsi="Times New Roman"/>
          <w:bCs/>
        </w:rPr>
      </w:pPr>
      <w:r w:rsidRPr="00B94369">
        <w:rPr>
          <w:rFonts w:ascii="Times New Roman" w:hAnsi="Times New Roman"/>
          <w:bCs/>
        </w:rPr>
        <w:t>K</w:t>
      </w:r>
      <w:r w:rsidR="008E4630" w:rsidRPr="00B94369">
        <w:rPr>
          <w:rFonts w:ascii="Times New Roman" w:hAnsi="Times New Roman"/>
          <w:bCs/>
        </w:rPr>
        <w:t>vantifiká</w:t>
      </w:r>
      <w:r w:rsidRPr="00B94369">
        <w:rPr>
          <w:rFonts w:ascii="Times New Roman" w:hAnsi="Times New Roman"/>
          <w:bCs/>
        </w:rPr>
        <w:t>cia finančných dopadov zrušenia</w:t>
      </w:r>
      <w:r w:rsidR="008E4630" w:rsidRPr="00B94369">
        <w:rPr>
          <w:rFonts w:ascii="Times New Roman" w:hAnsi="Times New Roman"/>
          <w:bCs/>
        </w:rPr>
        <w:t xml:space="preserve"> ročného zúčtovania </w:t>
      </w:r>
      <w:r w:rsidRPr="00B94369">
        <w:rPr>
          <w:rFonts w:ascii="Times New Roman" w:hAnsi="Times New Roman"/>
          <w:bCs/>
        </w:rPr>
        <w:t>vychádza z pôvodnej kvantifikáci</w:t>
      </w:r>
      <w:r w:rsidR="00C1633C">
        <w:rPr>
          <w:rFonts w:ascii="Times New Roman" w:hAnsi="Times New Roman"/>
          <w:bCs/>
        </w:rPr>
        <w:t>e</w:t>
      </w:r>
      <w:r w:rsidR="00E3225B" w:rsidRPr="00B94369">
        <w:rPr>
          <w:rStyle w:val="Odkaznapoznmkupodiarou"/>
          <w:rFonts w:ascii="Times New Roman" w:hAnsi="Times New Roman"/>
          <w:bCs/>
        </w:rPr>
        <w:footnoteReference w:id="1"/>
      </w:r>
      <w:r w:rsidRPr="00B94369">
        <w:rPr>
          <w:rFonts w:ascii="Times New Roman" w:hAnsi="Times New Roman"/>
          <w:bCs/>
        </w:rPr>
        <w:t xml:space="preserve"> finančných dopadov zavedenia ročného zúčtovania </w:t>
      </w:r>
      <w:r w:rsidR="008E4630" w:rsidRPr="00B94369">
        <w:rPr>
          <w:rFonts w:ascii="Times New Roman" w:hAnsi="Times New Roman"/>
          <w:bCs/>
        </w:rPr>
        <w:t>v sociálnom poistení</w:t>
      </w:r>
      <w:r w:rsidRPr="00B94369">
        <w:rPr>
          <w:rFonts w:ascii="Times New Roman" w:hAnsi="Times New Roman"/>
          <w:bCs/>
        </w:rPr>
        <w:t>, ktorá</w:t>
      </w:r>
      <w:r w:rsidR="008E4630" w:rsidRPr="00B94369">
        <w:rPr>
          <w:rFonts w:ascii="Times New Roman" w:hAnsi="Times New Roman"/>
          <w:bCs/>
        </w:rPr>
        <w:t xml:space="preserve"> bola uskutočnená na základe údajov o poistencoch, ktorí platili poistné na povinné nemocenské poistenie, povinné dôchodkové poistenie, povinné príspevky na starobné dôchodkové sporenie, poistné na povinné poistenie v nezamestnanosti, poistné na garančné poistenie a do rezervného fondu solidarity. </w:t>
      </w:r>
      <w:r w:rsidRPr="00B94369">
        <w:rPr>
          <w:rFonts w:ascii="Times New Roman" w:hAnsi="Times New Roman"/>
          <w:bCs/>
        </w:rPr>
        <w:t xml:space="preserve">V rámci aktualizácie finančných vplyvov bola </w:t>
      </w:r>
      <w:r w:rsidR="00E3225B" w:rsidRPr="00B94369">
        <w:rPr>
          <w:rFonts w:ascii="Times New Roman" w:hAnsi="Times New Roman"/>
          <w:bCs/>
        </w:rPr>
        <w:t xml:space="preserve">zohľadnená makroekonomická prognóza IFP z júna 2021. </w:t>
      </w:r>
    </w:p>
    <w:p w:rsidR="008E4630" w:rsidRPr="00B94369" w:rsidRDefault="008E4630" w:rsidP="001E6E4A">
      <w:pPr>
        <w:spacing w:after="0" w:line="264" w:lineRule="auto"/>
        <w:ind w:firstLine="709"/>
        <w:jc w:val="both"/>
        <w:rPr>
          <w:rFonts w:ascii="Times New Roman" w:hAnsi="Times New Roman"/>
          <w:bCs/>
        </w:rPr>
      </w:pPr>
      <w:r w:rsidRPr="00B94369">
        <w:rPr>
          <w:rFonts w:ascii="Times New Roman" w:hAnsi="Times New Roman"/>
          <w:bCs/>
        </w:rPr>
        <w:t>Celkový počet osôb, ktorých  vymeriavací základ aspoň v jednom mesiaci</w:t>
      </w:r>
      <w:r w:rsidR="001259A7">
        <w:rPr>
          <w:rFonts w:ascii="Times New Roman" w:hAnsi="Times New Roman"/>
          <w:bCs/>
        </w:rPr>
        <w:t>, ale nie vo všetkých mesiacoch roka</w:t>
      </w:r>
      <w:r w:rsidRPr="00B94369">
        <w:rPr>
          <w:rFonts w:ascii="Times New Roman" w:hAnsi="Times New Roman"/>
          <w:bCs/>
        </w:rPr>
        <w:t xml:space="preserve"> prekročí 7-násobok priemernej mzdy</w:t>
      </w:r>
      <w:r w:rsidR="00D8340B" w:rsidRPr="00B94369">
        <w:rPr>
          <w:rFonts w:ascii="Times New Roman" w:hAnsi="Times New Roman"/>
          <w:bCs/>
        </w:rPr>
        <w:t xml:space="preserve">  sa odhaduje</w:t>
      </w:r>
      <w:r w:rsidRPr="00B94369">
        <w:rPr>
          <w:rFonts w:ascii="Times New Roman" w:hAnsi="Times New Roman"/>
          <w:bCs/>
        </w:rPr>
        <w:t xml:space="preserve"> v rokoch 2023 a 2024 na úrovni približne 35,4 tisíc osôb (z toho počet sporiteľov odhadujeme na úrovni približne 25 tis. osôb).</w:t>
      </w:r>
      <w:r w:rsidR="000A09E0" w:rsidRPr="00B94369">
        <w:rPr>
          <w:rFonts w:ascii="Times New Roman" w:hAnsi="Times New Roman"/>
          <w:bCs/>
        </w:rPr>
        <w:t xml:space="preserve"> </w:t>
      </w:r>
    </w:p>
    <w:p w:rsidR="008E4630" w:rsidRPr="00B94369" w:rsidRDefault="008E4630" w:rsidP="008E4630">
      <w:pPr>
        <w:spacing w:after="0" w:line="240" w:lineRule="auto"/>
        <w:jc w:val="both"/>
        <w:rPr>
          <w:rFonts w:ascii="Times New Roman" w:hAnsi="Times New Roman"/>
          <w:bCs/>
        </w:rPr>
      </w:pPr>
    </w:p>
    <w:p w:rsidR="008E4630" w:rsidRPr="00B94369" w:rsidRDefault="00E3225B" w:rsidP="001E6E4A">
      <w:pPr>
        <w:spacing w:after="0" w:line="264" w:lineRule="auto"/>
        <w:ind w:firstLine="709"/>
        <w:jc w:val="both"/>
        <w:rPr>
          <w:rFonts w:ascii="Times New Roman" w:hAnsi="Times New Roman"/>
          <w:bCs/>
        </w:rPr>
      </w:pPr>
      <w:r w:rsidRPr="00B94369">
        <w:rPr>
          <w:rFonts w:ascii="Times New Roman" w:hAnsi="Times New Roman"/>
          <w:bCs/>
        </w:rPr>
        <w:t xml:space="preserve">Spolu s ročným zúčtovaním sa v prípade </w:t>
      </w:r>
      <w:r w:rsidR="008E4630" w:rsidRPr="00B94369">
        <w:rPr>
          <w:rFonts w:ascii="Times New Roman" w:hAnsi="Times New Roman"/>
          <w:bCs/>
        </w:rPr>
        <w:t>dôchodcov pracujúcich na dohodu a v prípade študentov, ktorí vykonávajú brigádnickú prácu študentov</w:t>
      </w:r>
      <w:r w:rsidRPr="00B94369">
        <w:rPr>
          <w:rFonts w:ascii="Times New Roman" w:hAnsi="Times New Roman"/>
          <w:bCs/>
        </w:rPr>
        <w:t xml:space="preserve"> ruší možnosť si douplatniť tzv. </w:t>
      </w:r>
      <w:r w:rsidR="008E4630" w:rsidRPr="00B94369">
        <w:rPr>
          <w:rFonts w:ascii="Times New Roman" w:hAnsi="Times New Roman"/>
          <w:bCs/>
        </w:rPr>
        <w:t xml:space="preserve">odvodovú odpočítateľnú položku na platenie poistného na starobné poistenie, invalidné poistenie a do rezervného fondu solidarity do výšky 2 </w:t>
      </w:r>
      <w:r w:rsidR="006075BB" w:rsidRPr="00B94369">
        <w:rPr>
          <w:rFonts w:ascii="Times New Roman" w:hAnsi="Times New Roman"/>
          <w:bCs/>
        </w:rPr>
        <w:t>400 eur ročne. P</w:t>
      </w:r>
      <w:r w:rsidR="008E4630" w:rsidRPr="00B94369">
        <w:rPr>
          <w:rFonts w:ascii="Times New Roman" w:hAnsi="Times New Roman"/>
          <w:bCs/>
        </w:rPr>
        <w:t xml:space="preserve">očet dotknutých osôb sa </w:t>
      </w:r>
      <w:r w:rsidR="00E016EA" w:rsidRPr="00B94369">
        <w:rPr>
          <w:rFonts w:ascii="Times New Roman" w:hAnsi="Times New Roman"/>
          <w:bCs/>
        </w:rPr>
        <w:t>odhaduje na úrovni približne 103</w:t>
      </w:r>
      <w:r w:rsidR="000A09E0" w:rsidRPr="00B94369">
        <w:rPr>
          <w:rFonts w:ascii="Times New Roman" w:hAnsi="Times New Roman"/>
          <w:bCs/>
        </w:rPr>
        <w:t xml:space="preserve"> tis. osôb</w:t>
      </w:r>
      <w:r w:rsidR="00E016EA" w:rsidRPr="00B94369">
        <w:rPr>
          <w:rFonts w:ascii="Times New Roman" w:hAnsi="Times New Roman"/>
          <w:bCs/>
        </w:rPr>
        <w:t xml:space="preserve"> ročne</w:t>
      </w:r>
      <w:r w:rsidR="008E4630" w:rsidRPr="00B94369">
        <w:rPr>
          <w:rFonts w:ascii="Times New Roman" w:hAnsi="Times New Roman"/>
          <w:bCs/>
        </w:rPr>
        <w:t>.</w:t>
      </w:r>
      <w:r w:rsidR="000A09E0" w:rsidRPr="00B94369">
        <w:rPr>
          <w:rFonts w:ascii="Times New Roman" w:hAnsi="Times New Roman"/>
          <w:bCs/>
        </w:rPr>
        <w:t xml:space="preserve"> </w:t>
      </w:r>
      <w:r w:rsidR="008E4630" w:rsidRPr="00B94369">
        <w:rPr>
          <w:rFonts w:ascii="Times New Roman" w:hAnsi="Times New Roman"/>
          <w:bCs/>
        </w:rPr>
        <w:t xml:space="preserve"> </w:t>
      </w:r>
    </w:p>
    <w:p w:rsidR="00720538" w:rsidRPr="00B94369" w:rsidRDefault="00720538" w:rsidP="001E6E4A">
      <w:pPr>
        <w:spacing w:after="0" w:line="264" w:lineRule="auto"/>
        <w:ind w:firstLine="709"/>
        <w:jc w:val="both"/>
        <w:rPr>
          <w:rFonts w:ascii="Times New Roman" w:hAnsi="Times New Roman"/>
          <w:bCs/>
        </w:rPr>
      </w:pPr>
    </w:p>
    <w:p w:rsidR="006075BB" w:rsidRPr="00B94369" w:rsidRDefault="006075BB" w:rsidP="001E6E4A">
      <w:pPr>
        <w:spacing w:after="0" w:line="264" w:lineRule="auto"/>
        <w:ind w:firstLine="709"/>
        <w:jc w:val="both"/>
        <w:rPr>
          <w:rFonts w:ascii="Times New Roman" w:hAnsi="Times New Roman"/>
          <w:bCs/>
        </w:rPr>
      </w:pPr>
      <w:r w:rsidRPr="00B94369">
        <w:rPr>
          <w:rFonts w:ascii="Times New Roman" w:hAnsi="Times New Roman"/>
          <w:bCs/>
        </w:rPr>
        <w:t>Celkový negatívny vplyv zrušenia ročného zúčtovania</w:t>
      </w:r>
      <w:r w:rsidR="00571808" w:rsidRPr="00B94369">
        <w:rPr>
          <w:rFonts w:ascii="Times New Roman" w:hAnsi="Times New Roman"/>
          <w:bCs/>
        </w:rPr>
        <w:t xml:space="preserve"> spolu so zrušením možnosti douplatnenia odpočítateľnej položky v prípade študentov a dôchodcov</w:t>
      </w:r>
      <w:r w:rsidRPr="00B94369">
        <w:rPr>
          <w:rFonts w:ascii="Times New Roman" w:hAnsi="Times New Roman"/>
          <w:bCs/>
        </w:rPr>
        <w:t xml:space="preserve"> na príjmy verejnej správy odhadujeme v roku </w:t>
      </w:r>
      <w:r w:rsidR="00571808" w:rsidRPr="00B94369">
        <w:rPr>
          <w:rFonts w:ascii="Times New Roman" w:hAnsi="Times New Roman"/>
          <w:bCs/>
        </w:rPr>
        <w:t>2022 na úrovni približne 29,3 tis. eur, v roku 2023 na úrovni približne 63,8 mil. eur a v roku 2024 na úrovni približne 41,4 mil. eur.</w:t>
      </w:r>
    </w:p>
    <w:p w:rsidR="008E4630" w:rsidRDefault="008E4630" w:rsidP="008E4630">
      <w:pPr>
        <w:spacing w:after="0" w:line="240" w:lineRule="auto"/>
        <w:jc w:val="both"/>
        <w:rPr>
          <w:rFonts w:ascii="Times New Roman" w:hAnsi="Times New Roman"/>
          <w:bCs/>
        </w:rPr>
      </w:pPr>
    </w:p>
    <w:p w:rsidR="001757E1" w:rsidRPr="006139BF" w:rsidRDefault="001757E1" w:rsidP="008E4630">
      <w:pPr>
        <w:spacing w:after="0" w:line="240" w:lineRule="auto"/>
        <w:jc w:val="both"/>
        <w:rPr>
          <w:rFonts w:ascii="Times New Roman" w:hAnsi="Times New Roman"/>
          <w:bCs/>
        </w:rPr>
      </w:pPr>
      <w:r w:rsidRPr="00BF46E9">
        <w:rPr>
          <w:rFonts w:ascii="Times New Roman" w:hAnsi="Times New Roman" w:cs="Times New Roman"/>
          <w:b/>
        </w:rPr>
        <w:t xml:space="preserve">Tabuľka </w:t>
      </w:r>
      <w:r w:rsidR="00EF7B49">
        <w:rPr>
          <w:rFonts w:ascii="Times New Roman" w:hAnsi="Times New Roman" w:cs="Times New Roman"/>
          <w:b/>
        </w:rPr>
        <w:t>3</w:t>
      </w:r>
      <w:r w:rsidR="00CB2A1D">
        <w:rPr>
          <w:rFonts w:ascii="Times New Roman" w:hAnsi="Times New Roman" w:cs="Times New Roman"/>
          <w:b/>
        </w:rPr>
        <w:t>B</w:t>
      </w:r>
      <w:r w:rsidRPr="00BF46E9">
        <w:rPr>
          <w:rFonts w:ascii="Times New Roman" w:hAnsi="Times New Roman" w:cs="Times New Roman"/>
          <w:b/>
        </w:rPr>
        <w:t>:</w:t>
      </w:r>
      <w:r>
        <w:rPr>
          <w:rFonts w:ascii="Times New Roman" w:hAnsi="Times New Roman" w:cs="Times New Roman"/>
          <w:b/>
        </w:rPr>
        <w:t xml:space="preserve"> Vplyv zrušenia ročného zúčtovania </w:t>
      </w:r>
      <w:r w:rsidR="006075BB">
        <w:rPr>
          <w:rFonts w:ascii="Times New Roman" w:hAnsi="Times New Roman" w:cs="Times New Roman"/>
          <w:b/>
        </w:rPr>
        <w:t xml:space="preserve">a možnosti douplatnenia tzv. odvodovej odpočítateľnej položky </w:t>
      </w:r>
      <w:r>
        <w:rPr>
          <w:rFonts w:ascii="Times New Roman" w:hAnsi="Times New Roman" w:cs="Times New Roman"/>
          <w:b/>
        </w:rPr>
        <w:t>na príjmy verejnej správy v eur</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3539"/>
        <w:gridCol w:w="992"/>
        <w:gridCol w:w="992"/>
        <w:gridCol w:w="1276"/>
        <w:gridCol w:w="1559"/>
      </w:tblGrid>
      <w:tr w:rsidR="006075BB" w:rsidRPr="00380166" w:rsidTr="006075BB">
        <w:trPr>
          <w:trHeight w:val="375"/>
        </w:trPr>
        <w:tc>
          <w:tcPr>
            <w:tcW w:w="4253" w:type="dxa"/>
            <w:gridSpan w:val="2"/>
            <w:shd w:val="clear" w:color="000000" w:fill="auto"/>
            <w:noWrap/>
            <w:vAlign w:val="bottom"/>
          </w:tcPr>
          <w:p w:rsidR="006075BB" w:rsidRPr="00B94369" w:rsidRDefault="006075BB" w:rsidP="007F69D9">
            <w:pPr>
              <w:spacing w:after="0" w:line="240" w:lineRule="auto"/>
              <w:rPr>
                <w:rFonts w:ascii="Arial Narrow" w:eastAsia="Times New Roman" w:hAnsi="Arial Narrow" w:cs="Arial"/>
                <w:sz w:val="20"/>
                <w:szCs w:val="20"/>
                <w:lang w:eastAsia="sk-SK"/>
              </w:rPr>
            </w:pPr>
          </w:p>
        </w:tc>
        <w:tc>
          <w:tcPr>
            <w:tcW w:w="992" w:type="dxa"/>
            <w:shd w:val="clear" w:color="auto" w:fill="auto"/>
            <w:noWrap/>
            <w:vAlign w:val="bottom"/>
          </w:tcPr>
          <w:p w:rsidR="006075BB" w:rsidRPr="00B94369" w:rsidRDefault="006075BB" w:rsidP="006075BB">
            <w:pPr>
              <w:spacing w:after="0" w:line="240" w:lineRule="auto"/>
              <w:jc w:val="right"/>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2021</w:t>
            </w:r>
          </w:p>
        </w:tc>
        <w:tc>
          <w:tcPr>
            <w:tcW w:w="992" w:type="dxa"/>
            <w:shd w:val="clear" w:color="auto" w:fill="auto"/>
            <w:noWrap/>
            <w:vAlign w:val="bottom"/>
          </w:tcPr>
          <w:p w:rsidR="006075BB" w:rsidRPr="00B94369" w:rsidRDefault="006075BB" w:rsidP="00380166">
            <w:pPr>
              <w:spacing w:after="0" w:line="240" w:lineRule="auto"/>
              <w:jc w:val="right"/>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2022</w:t>
            </w:r>
          </w:p>
        </w:tc>
        <w:tc>
          <w:tcPr>
            <w:tcW w:w="1276" w:type="dxa"/>
            <w:shd w:val="clear" w:color="auto" w:fill="auto"/>
            <w:noWrap/>
            <w:vAlign w:val="bottom"/>
          </w:tcPr>
          <w:p w:rsidR="006075BB" w:rsidRPr="00B94369" w:rsidRDefault="006075BB" w:rsidP="00380166">
            <w:pPr>
              <w:spacing w:after="0" w:line="240" w:lineRule="auto"/>
              <w:jc w:val="right"/>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2023</w:t>
            </w:r>
          </w:p>
        </w:tc>
        <w:tc>
          <w:tcPr>
            <w:tcW w:w="1559" w:type="dxa"/>
            <w:shd w:val="clear" w:color="auto" w:fill="auto"/>
            <w:noWrap/>
            <w:vAlign w:val="bottom"/>
          </w:tcPr>
          <w:p w:rsidR="006075BB" w:rsidRPr="00B94369" w:rsidRDefault="006075BB" w:rsidP="00380166">
            <w:pPr>
              <w:spacing w:after="0" w:line="240" w:lineRule="auto"/>
              <w:jc w:val="right"/>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2024</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G1</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na platenie preddavkov</w:t>
            </w:r>
            <w:r>
              <w:rPr>
                <w:rFonts w:ascii="Arial Narrow" w:eastAsia="Times New Roman" w:hAnsi="Arial Narrow" w:cs="Arial"/>
                <w:sz w:val="20"/>
                <w:szCs w:val="20"/>
                <w:lang w:eastAsia="sk-SK"/>
              </w:rPr>
              <w:t xml:space="preserve"> na SO</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-74 700 594</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-76 435 832</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G2</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zúčtovanie</w:t>
            </w:r>
            <w:r w:rsidRPr="00380166">
              <w:rPr>
                <w:rFonts w:ascii="Arial Narrow" w:eastAsia="Times New Roman" w:hAnsi="Arial Narrow" w:cs="Arial"/>
                <w:sz w:val="20"/>
                <w:szCs w:val="20"/>
                <w:lang w:eastAsia="sk-SK"/>
              </w:rPr>
              <w:t xml:space="preserve"> </w:t>
            </w:r>
            <w:r w:rsidRPr="00B94369">
              <w:rPr>
                <w:rFonts w:ascii="Arial Narrow" w:eastAsia="Times New Roman" w:hAnsi="Arial Narrow" w:cs="Arial"/>
                <w:sz w:val="20"/>
                <w:szCs w:val="20"/>
                <w:lang w:eastAsia="sk-SK"/>
              </w:rPr>
              <w:t>vplyv zúčtovania</w:t>
            </w:r>
            <w:r w:rsidRPr="00380166">
              <w:rPr>
                <w:rFonts w:ascii="Arial Narrow" w:eastAsia="Times New Roman" w:hAnsi="Arial Narrow" w:cs="Arial"/>
                <w:sz w:val="20"/>
                <w:szCs w:val="20"/>
                <w:lang w:eastAsia="sk-SK"/>
              </w:rPr>
              <w:t xml:space="preserve"> preddavkov</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13 775 733</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G3</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na</w:t>
            </w:r>
            <w:r w:rsidRPr="00380166">
              <w:rPr>
                <w:rFonts w:ascii="Arial Narrow" w:eastAsia="Times New Roman" w:hAnsi="Arial Narrow" w:cs="Arial"/>
                <w:sz w:val="20"/>
                <w:szCs w:val="20"/>
                <w:lang w:eastAsia="sk-SK"/>
              </w:rPr>
              <w:t xml:space="preserve"> daň fyzických osôb</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4 356 470</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5 349 201</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G4</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380166">
              <w:rPr>
                <w:rFonts w:ascii="Arial Narrow" w:eastAsia="Times New Roman" w:hAnsi="Arial Narrow" w:cs="Arial"/>
                <w:sz w:val="20"/>
                <w:szCs w:val="20"/>
                <w:lang w:eastAsia="sk-SK"/>
              </w:rPr>
              <w:t xml:space="preserve">Zrušenie ročného zúčtovania </w:t>
            </w:r>
            <w:r w:rsidRPr="00B94369">
              <w:rPr>
                <w:rFonts w:ascii="Arial Narrow" w:eastAsia="Times New Roman" w:hAnsi="Arial Narrow" w:cs="Arial"/>
                <w:sz w:val="20"/>
                <w:szCs w:val="20"/>
                <w:lang w:eastAsia="sk-SK"/>
              </w:rPr>
              <w:t xml:space="preserve">vplyv na </w:t>
            </w:r>
            <w:r w:rsidRPr="00380166">
              <w:rPr>
                <w:rFonts w:ascii="Arial Narrow" w:eastAsia="Times New Roman" w:hAnsi="Arial Narrow" w:cs="Arial"/>
                <w:sz w:val="20"/>
                <w:szCs w:val="20"/>
                <w:lang w:eastAsia="sk-SK"/>
              </w:rPr>
              <w:t>daň právnických osôb</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8 140 309</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8 329 402</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G5</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možnosti tzv. douplatnenia</w:t>
            </w:r>
            <w:r w:rsidRPr="00380166">
              <w:rPr>
                <w:rFonts w:ascii="Arial Narrow" w:eastAsia="Times New Roman" w:hAnsi="Arial Narrow" w:cs="Arial"/>
                <w:sz w:val="20"/>
                <w:szCs w:val="20"/>
                <w:lang w:eastAsia="sk-SK"/>
              </w:rPr>
              <w:t xml:space="preserve"> OOP študenti a dôchodcovia</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12 543 510</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G6</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vplyv nevytvorenia nových pracovných miest na SO</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-15 719</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-919 158</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-919 158</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G7</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a vplyv nevytvorenia nových pracovných miest na ZO</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0</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-6 300</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-368 400</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-368 400</w:t>
            </w:r>
          </w:p>
        </w:tc>
      </w:tr>
      <w:tr w:rsidR="00F11736" w:rsidRPr="00380166" w:rsidTr="00571808">
        <w:trPr>
          <w:trHeight w:val="375"/>
        </w:trPr>
        <w:tc>
          <w:tcPr>
            <w:tcW w:w="714" w:type="dxa"/>
            <w:shd w:val="clear" w:color="000000" w:fill="C0C0C0"/>
            <w:noWrap/>
            <w:vAlign w:val="bottom"/>
          </w:tcPr>
          <w:p w:rsidR="00F1173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G8</w:t>
            </w:r>
          </w:p>
        </w:tc>
        <w:tc>
          <w:tcPr>
            <w:tcW w:w="3539" w:type="dxa"/>
            <w:shd w:val="clear" w:color="auto" w:fill="auto"/>
            <w:noWrap/>
            <w:vAlign w:val="bottom"/>
          </w:tcPr>
          <w:p w:rsidR="00F11736" w:rsidRPr="00B94369"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Zrušenie ročného zúčtovania a vplyv nevytvorenia nových pracovných miest na daň z príjmu FO</w:t>
            </w:r>
          </w:p>
        </w:tc>
        <w:tc>
          <w:tcPr>
            <w:tcW w:w="992" w:type="dxa"/>
            <w:shd w:val="clear" w:color="auto" w:fill="auto"/>
            <w:noWrap/>
            <w:vAlign w:val="bottom"/>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0</w:t>
            </w:r>
          </w:p>
        </w:tc>
        <w:tc>
          <w:tcPr>
            <w:tcW w:w="992" w:type="dxa"/>
            <w:shd w:val="clear" w:color="auto" w:fill="auto"/>
            <w:noWrap/>
            <w:vAlign w:val="bottom"/>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-7 327</w:t>
            </w:r>
          </w:p>
        </w:tc>
        <w:tc>
          <w:tcPr>
            <w:tcW w:w="1276" w:type="dxa"/>
            <w:shd w:val="clear" w:color="auto" w:fill="auto"/>
            <w:noWrap/>
            <w:vAlign w:val="bottom"/>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-334 249</w:t>
            </w:r>
          </w:p>
        </w:tc>
        <w:tc>
          <w:tcPr>
            <w:tcW w:w="1559" w:type="dxa"/>
            <w:shd w:val="clear" w:color="auto" w:fill="auto"/>
            <w:noWrap/>
            <w:vAlign w:val="bottom"/>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hAnsi="Arial Narrow" w:cs="Arial"/>
                <w:sz w:val="20"/>
                <w:szCs w:val="20"/>
              </w:rPr>
              <w:t>-327 471</w:t>
            </w:r>
          </w:p>
        </w:tc>
      </w:tr>
      <w:tr w:rsidR="00F11736" w:rsidRPr="00380166" w:rsidTr="00571808">
        <w:trPr>
          <w:trHeight w:val="375"/>
        </w:trPr>
        <w:tc>
          <w:tcPr>
            <w:tcW w:w="714" w:type="dxa"/>
            <w:shd w:val="clear" w:color="000000" w:fill="C0C0C0"/>
            <w:noWrap/>
            <w:vAlign w:val="bottom"/>
            <w:hideMark/>
          </w:tcPr>
          <w:p w:rsidR="00F11736" w:rsidRPr="00380166" w:rsidRDefault="00F11736" w:rsidP="00F11736">
            <w:pPr>
              <w:spacing w:after="0" w:line="240" w:lineRule="auto"/>
              <w:jc w:val="center"/>
              <w:rPr>
                <w:rFonts w:ascii="Arial" w:eastAsia="Times New Roman" w:hAnsi="Arial" w:cs="Arial"/>
                <w:b/>
                <w:bCs/>
                <w:i/>
                <w:iCs/>
                <w:sz w:val="20"/>
                <w:szCs w:val="20"/>
                <w:lang w:eastAsia="sk-SK"/>
              </w:rPr>
            </w:pPr>
            <w:r>
              <w:rPr>
                <w:rFonts w:ascii="Arial" w:eastAsia="Times New Roman" w:hAnsi="Arial" w:cs="Arial"/>
                <w:b/>
                <w:bCs/>
                <w:i/>
                <w:iCs/>
                <w:sz w:val="20"/>
                <w:szCs w:val="20"/>
                <w:lang w:eastAsia="sk-SK"/>
              </w:rPr>
              <w:t>G9</w:t>
            </w:r>
          </w:p>
        </w:tc>
        <w:tc>
          <w:tcPr>
            <w:tcW w:w="3539" w:type="dxa"/>
            <w:shd w:val="clear" w:color="auto" w:fill="auto"/>
            <w:noWrap/>
            <w:vAlign w:val="bottom"/>
            <w:hideMark/>
          </w:tcPr>
          <w:p w:rsidR="00F11736" w:rsidRPr="00380166" w:rsidRDefault="00F11736" w:rsidP="00F11736">
            <w:pPr>
              <w:spacing w:after="0" w:line="240" w:lineRule="auto"/>
              <w:jc w:val="both"/>
              <w:rPr>
                <w:rFonts w:ascii="Arial Narrow" w:eastAsia="Times New Roman" w:hAnsi="Arial Narrow" w:cs="Arial"/>
                <w:sz w:val="20"/>
                <w:szCs w:val="20"/>
                <w:lang w:eastAsia="sk-SK"/>
              </w:rPr>
            </w:pPr>
            <w:r w:rsidRPr="00B94369">
              <w:rPr>
                <w:rFonts w:ascii="Arial Narrow" w:eastAsia="Times New Roman" w:hAnsi="Arial Narrow" w:cs="Arial"/>
                <w:sz w:val="20"/>
                <w:szCs w:val="20"/>
                <w:lang w:eastAsia="sk-SK"/>
              </w:rPr>
              <w:t>Vplyv zrušenia ročného zúčtovania</w:t>
            </w:r>
            <w:r w:rsidRPr="00380166">
              <w:rPr>
                <w:rFonts w:ascii="Arial Narrow" w:eastAsia="Times New Roman" w:hAnsi="Arial Narrow" w:cs="Arial"/>
                <w:sz w:val="20"/>
                <w:szCs w:val="20"/>
                <w:lang w:eastAsia="sk-SK"/>
              </w:rPr>
              <w:t xml:space="preserve"> na preddavky SZČO</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992"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276"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 </w:t>
            </w:r>
          </w:p>
        </w:tc>
        <w:tc>
          <w:tcPr>
            <w:tcW w:w="1559" w:type="dxa"/>
            <w:shd w:val="clear" w:color="auto" w:fill="auto"/>
            <w:noWrap/>
            <w:vAlign w:val="bottom"/>
            <w:hideMark/>
          </w:tcPr>
          <w:p w:rsidR="00F11736" w:rsidRPr="00F11736" w:rsidRDefault="00F11736" w:rsidP="00F11736">
            <w:pPr>
              <w:spacing w:after="0" w:line="240" w:lineRule="auto"/>
              <w:jc w:val="right"/>
              <w:rPr>
                <w:rFonts w:ascii="Arial Narrow" w:eastAsia="Times New Roman" w:hAnsi="Arial Narrow" w:cs="Arial"/>
                <w:sz w:val="20"/>
                <w:szCs w:val="20"/>
                <w:lang w:eastAsia="sk-SK"/>
              </w:rPr>
            </w:pPr>
            <w:r w:rsidRPr="00F11736">
              <w:rPr>
                <w:rFonts w:ascii="Arial Narrow" w:eastAsia="Times New Roman" w:hAnsi="Arial Narrow" w:cs="Arial"/>
                <w:sz w:val="20"/>
                <w:szCs w:val="20"/>
                <w:lang w:eastAsia="sk-SK"/>
              </w:rPr>
              <w:t>-3 360 606</w:t>
            </w:r>
          </w:p>
        </w:tc>
      </w:tr>
      <w:tr w:rsidR="0080025A" w:rsidRPr="00380166" w:rsidTr="00356273">
        <w:trPr>
          <w:trHeight w:val="375"/>
        </w:trPr>
        <w:tc>
          <w:tcPr>
            <w:tcW w:w="4253" w:type="dxa"/>
            <w:gridSpan w:val="2"/>
            <w:shd w:val="clear" w:color="000000" w:fill="C0C0C0"/>
            <w:noWrap/>
            <w:vAlign w:val="bottom"/>
          </w:tcPr>
          <w:p w:rsidR="0080025A" w:rsidRPr="00B94369" w:rsidRDefault="0080025A" w:rsidP="0080025A">
            <w:pPr>
              <w:spacing w:after="0" w:line="240" w:lineRule="auto"/>
              <w:rPr>
                <w:rFonts w:ascii="Arial Narrow" w:eastAsia="Times New Roman" w:hAnsi="Arial Narrow" w:cs="Arial"/>
                <w:b/>
                <w:sz w:val="20"/>
                <w:szCs w:val="20"/>
                <w:lang w:eastAsia="sk-SK"/>
              </w:rPr>
            </w:pPr>
            <w:r w:rsidRPr="00B94369">
              <w:rPr>
                <w:rFonts w:ascii="Arial Narrow" w:eastAsia="Times New Roman" w:hAnsi="Arial Narrow" w:cs="Arial"/>
                <w:b/>
                <w:sz w:val="20"/>
                <w:szCs w:val="20"/>
                <w:lang w:eastAsia="sk-SK"/>
              </w:rPr>
              <w:t>Vplyv zrušenia ročného zúčtovania a tzv. douplatenia OOP na príjmy verejnej správy celkom</w:t>
            </w:r>
          </w:p>
        </w:tc>
        <w:tc>
          <w:tcPr>
            <w:tcW w:w="992" w:type="dxa"/>
            <w:shd w:val="clear" w:color="auto" w:fill="auto"/>
            <w:noWrap/>
            <w:vAlign w:val="bottom"/>
          </w:tcPr>
          <w:p w:rsidR="0080025A" w:rsidRPr="00B94369" w:rsidRDefault="0080025A" w:rsidP="0080025A">
            <w:pPr>
              <w:spacing w:after="0" w:line="240" w:lineRule="auto"/>
              <w:jc w:val="right"/>
              <w:rPr>
                <w:rFonts w:ascii="Arial Narrow" w:eastAsia="Times New Roman" w:hAnsi="Arial Narrow" w:cs="Arial"/>
                <w:b/>
                <w:sz w:val="20"/>
                <w:szCs w:val="20"/>
                <w:lang w:eastAsia="sk-SK"/>
              </w:rPr>
            </w:pPr>
            <w:r w:rsidRPr="00B94369">
              <w:rPr>
                <w:rFonts w:ascii="Arial Narrow" w:hAnsi="Arial Narrow" w:cs="Arial"/>
                <w:b/>
                <w:sz w:val="20"/>
                <w:szCs w:val="20"/>
              </w:rPr>
              <w:t>0</w:t>
            </w:r>
          </w:p>
        </w:tc>
        <w:tc>
          <w:tcPr>
            <w:tcW w:w="992" w:type="dxa"/>
            <w:shd w:val="clear" w:color="auto" w:fill="auto"/>
            <w:noWrap/>
            <w:vAlign w:val="bottom"/>
          </w:tcPr>
          <w:p w:rsidR="0080025A" w:rsidRPr="00B94369" w:rsidRDefault="0080025A" w:rsidP="0080025A">
            <w:pPr>
              <w:spacing w:after="0" w:line="240" w:lineRule="auto"/>
              <w:jc w:val="right"/>
              <w:rPr>
                <w:rFonts w:ascii="Arial Narrow" w:eastAsia="Times New Roman" w:hAnsi="Arial Narrow" w:cs="Arial"/>
                <w:b/>
                <w:sz w:val="20"/>
                <w:szCs w:val="20"/>
                <w:lang w:eastAsia="sk-SK"/>
              </w:rPr>
            </w:pPr>
            <w:r w:rsidRPr="00B94369">
              <w:rPr>
                <w:rFonts w:ascii="Arial Narrow" w:hAnsi="Arial Narrow" w:cs="Arial"/>
                <w:b/>
                <w:sz w:val="20"/>
                <w:szCs w:val="20"/>
              </w:rPr>
              <w:t>-29 345</w:t>
            </w:r>
          </w:p>
        </w:tc>
        <w:tc>
          <w:tcPr>
            <w:tcW w:w="1276" w:type="dxa"/>
            <w:shd w:val="clear" w:color="auto" w:fill="auto"/>
            <w:noWrap/>
            <w:vAlign w:val="bottom"/>
          </w:tcPr>
          <w:p w:rsidR="0080025A" w:rsidRPr="0080025A" w:rsidRDefault="0080025A" w:rsidP="0080025A">
            <w:pPr>
              <w:spacing w:after="0" w:line="240" w:lineRule="auto"/>
              <w:jc w:val="right"/>
              <w:rPr>
                <w:rFonts w:ascii="Arial Narrow" w:eastAsia="Times New Roman" w:hAnsi="Arial Narrow" w:cs="Arial"/>
                <w:b/>
                <w:sz w:val="20"/>
                <w:szCs w:val="20"/>
                <w:lang w:eastAsia="sk-SK"/>
              </w:rPr>
            </w:pPr>
            <w:r w:rsidRPr="0080025A">
              <w:rPr>
                <w:rFonts w:ascii="Arial Narrow" w:hAnsi="Arial Narrow" w:cs="Arial"/>
                <w:b/>
                <w:sz w:val="20"/>
                <w:szCs w:val="20"/>
              </w:rPr>
              <w:t>-63 825 623</w:t>
            </w:r>
          </w:p>
        </w:tc>
        <w:tc>
          <w:tcPr>
            <w:tcW w:w="1559" w:type="dxa"/>
            <w:shd w:val="clear" w:color="auto" w:fill="auto"/>
            <w:noWrap/>
            <w:vAlign w:val="bottom"/>
          </w:tcPr>
          <w:p w:rsidR="0080025A" w:rsidRPr="0080025A" w:rsidRDefault="0080025A" w:rsidP="0080025A">
            <w:pPr>
              <w:spacing w:after="0" w:line="240" w:lineRule="auto"/>
              <w:jc w:val="right"/>
              <w:rPr>
                <w:rFonts w:ascii="Arial Narrow" w:eastAsia="Times New Roman" w:hAnsi="Arial Narrow" w:cs="Arial"/>
                <w:b/>
                <w:sz w:val="20"/>
                <w:szCs w:val="20"/>
                <w:lang w:eastAsia="sk-SK"/>
              </w:rPr>
            </w:pPr>
            <w:r w:rsidRPr="0080025A">
              <w:rPr>
                <w:rFonts w:ascii="Arial Narrow" w:hAnsi="Arial Narrow" w:cs="Arial"/>
                <w:b/>
                <w:sz w:val="20"/>
                <w:szCs w:val="20"/>
              </w:rPr>
              <w:t>-41 413 622</w:t>
            </w:r>
          </w:p>
        </w:tc>
      </w:tr>
    </w:tbl>
    <w:p w:rsidR="008E4630" w:rsidRDefault="006075BB" w:rsidP="008E4630">
      <w:pPr>
        <w:tabs>
          <w:tab w:val="num" w:pos="1080"/>
        </w:tabs>
        <w:spacing w:after="0" w:line="240" w:lineRule="auto"/>
        <w:rPr>
          <w:rFonts w:ascii="Times New Roman" w:eastAsia="Times New Roman" w:hAnsi="Times New Roman" w:cs="Times New Roman"/>
          <w:bCs/>
          <w:sz w:val="20"/>
          <w:szCs w:val="24"/>
          <w:lang w:eastAsia="sk-SK"/>
        </w:rPr>
      </w:pPr>
      <w:r w:rsidRPr="006075BB">
        <w:rPr>
          <w:rFonts w:ascii="Times New Roman" w:eastAsia="Times New Roman" w:hAnsi="Times New Roman" w:cs="Times New Roman"/>
          <w:bCs/>
          <w:sz w:val="20"/>
          <w:szCs w:val="24"/>
          <w:lang w:eastAsia="sk-SK"/>
        </w:rPr>
        <w:t>OOP – odvodová odpočítateľná položka; SO – sociálne odvody; ZO – zdravotné odvody; FO – fyzické osoby; SZČO – samostatne zárobkovo činné osoby</w:t>
      </w:r>
    </w:p>
    <w:p w:rsidR="002D2CE5" w:rsidRDefault="002D2CE5" w:rsidP="008E4630">
      <w:pPr>
        <w:tabs>
          <w:tab w:val="num" w:pos="1080"/>
        </w:tabs>
        <w:spacing w:after="0" w:line="240" w:lineRule="auto"/>
        <w:rPr>
          <w:rFonts w:ascii="Times New Roman" w:eastAsia="Times New Roman" w:hAnsi="Times New Roman" w:cs="Times New Roman"/>
          <w:bCs/>
          <w:sz w:val="20"/>
          <w:szCs w:val="24"/>
          <w:lang w:eastAsia="sk-SK"/>
        </w:rPr>
      </w:pPr>
    </w:p>
    <w:p w:rsidR="002D2CE5" w:rsidRPr="00B94369" w:rsidRDefault="002D2CE5" w:rsidP="008E4630">
      <w:pPr>
        <w:tabs>
          <w:tab w:val="num" w:pos="1080"/>
        </w:tabs>
        <w:spacing w:after="0" w:line="240" w:lineRule="auto"/>
        <w:rPr>
          <w:rFonts w:ascii="Times New Roman" w:eastAsia="Times New Roman" w:hAnsi="Times New Roman" w:cs="Times New Roman"/>
          <w:b/>
          <w:bCs/>
          <w:lang w:eastAsia="sk-SK"/>
        </w:rPr>
      </w:pPr>
      <w:r w:rsidRPr="00B94369">
        <w:rPr>
          <w:rFonts w:ascii="Times New Roman" w:eastAsia="Times New Roman" w:hAnsi="Times New Roman" w:cs="Times New Roman"/>
          <w:b/>
          <w:bCs/>
          <w:lang w:eastAsia="sk-SK"/>
        </w:rPr>
        <w:t>H</w:t>
      </w:r>
      <w:r w:rsidRPr="00481E3B">
        <w:rPr>
          <w:rFonts w:ascii="Times New Roman" w:eastAsia="Times New Roman" w:hAnsi="Times New Roman" w:cs="Times New Roman"/>
          <w:b/>
          <w:bCs/>
          <w:lang w:eastAsia="sk-SK"/>
        </w:rPr>
        <w:t xml:space="preserve">) </w:t>
      </w:r>
      <w:r w:rsidR="00EF7B49">
        <w:rPr>
          <w:rFonts w:ascii="Times New Roman" w:eastAsia="Times New Roman" w:hAnsi="Times New Roman" w:cs="Times New Roman"/>
          <w:b/>
          <w:bCs/>
          <w:lang w:eastAsia="sk-SK"/>
        </w:rPr>
        <w:t>Zvýšenie</w:t>
      </w:r>
      <w:r w:rsidRPr="00B94369">
        <w:rPr>
          <w:rFonts w:ascii="Times New Roman" w:eastAsia="Times New Roman" w:hAnsi="Times New Roman" w:cs="Times New Roman"/>
          <w:b/>
          <w:bCs/>
          <w:lang w:eastAsia="sk-SK"/>
        </w:rPr>
        <w:t xml:space="preserve"> tzv. odvodovej odpočítateľnej položky zo súčasných 200 na 300 eur</w:t>
      </w:r>
    </w:p>
    <w:p w:rsidR="002D2CE5" w:rsidRPr="00B94369" w:rsidRDefault="002D2CE5" w:rsidP="008E4630">
      <w:pPr>
        <w:tabs>
          <w:tab w:val="num" w:pos="1080"/>
        </w:tabs>
        <w:spacing w:after="0" w:line="240" w:lineRule="auto"/>
        <w:rPr>
          <w:rFonts w:ascii="Times New Roman" w:eastAsia="Times New Roman" w:hAnsi="Times New Roman" w:cs="Times New Roman"/>
          <w:b/>
          <w:bCs/>
          <w:lang w:eastAsia="sk-SK"/>
        </w:rPr>
      </w:pPr>
    </w:p>
    <w:p w:rsidR="002D2CE5" w:rsidRPr="00B94369" w:rsidRDefault="002D2CE5" w:rsidP="001E6E4A">
      <w:pPr>
        <w:spacing w:after="0" w:line="264" w:lineRule="auto"/>
        <w:jc w:val="both"/>
        <w:rPr>
          <w:rFonts w:ascii="Times New Roman" w:eastAsia="Times New Roman" w:hAnsi="Times New Roman" w:cs="Times New Roman"/>
          <w:bCs/>
          <w:lang w:eastAsia="sk-SK"/>
        </w:rPr>
      </w:pPr>
      <w:r w:rsidRPr="00B94369">
        <w:rPr>
          <w:rFonts w:ascii="Times New Roman" w:hAnsi="Times New Roman"/>
          <w:bCs/>
        </w:rPr>
        <w:tab/>
        <w:t>Dôchodcom pracujúcim na dohodu a študentom, ktorí vykonávajú brigádnickú prácu študentov</w:t>
      </w:r>
      <w:r w:rsidRPr="00B94369">
        <w:rPr>
          <w:rFonts w:ascii="Times New Roman" w:eastAsia="Times New Roman" w:hAnsi="Times New Roman" w:cs="Times New Roman"/>
          <w:bCs/>
          <w:lang w:eastAsia="sk-SK"/>
        </w:rPr>
        <w:t xml:space="preserve"> sa navrhujeme zvýšenie tzv. odvodovej odpočítateľnej položky zo súčasných 200 eur na 300 eur, čo zakladá negatívne vplyvy na príjmy Sociálnej poisťovne</w:t>
      </w:r>
      <w:r w:rsidR="00720538" w:rsidRPr="00B94369">
        <w:rPr>
          <w:rFonts w:ascii="Times New Roman" w:eastAsia="Times New Roman" w:hAnsi="Times New Roman" w:cs="Times New Roman"/>
          <w:bCs/>
          <w:lang w:eastAsia="sk-SK"/>
        </w:rPr>
        <w:t xml:space="preserve"> a naopak pozitívne vplyvy na výber dane z príjmu fyzických osôb a dane z príjmu právnických osôb</w:t>
      </w:r>
      <w:r w:rsidRPr="00B94369">
        <w:rPr>
          <w:rFonts w:ascii="Times New Roman" w:eastAsia="Times New Roman" w:hAnsi="Times New Roman" w:cs="Times New Roman"/>
          <w:bCs/>
          <w:lang w:eastAsia="sk-SK"/>
        </w:rPr>
        <w:t xml:space="preserve">. </w:t>
      </w:r>
      <w:r w:rsidR="00E016EA" w:rsidRPr="00B94369">
        <w:rPr>
          <w:rFonts w:ascii="Times New Roman" w:eastAsia="Times New Roman" w:hAnsi="Times New Roman" w:cs="Times New Roman"/>
          <w:bCs/>
          <w:lang w:eastAsia="sk-SK"/>
        </w:rPr>
        <w:t>Celkový počet dotknutých osôb odhadujeme na úrovni približne 102 tis. osôb v roku 2023 a 103 tis. osôb v roku 2024. Z tohto počtu približne 52 tis. osôb predstavujú študenti vykonávajúci brigádnickú prácu študentov, približne 42 tis. osôb predstavujú poberatelia starobných dôchodkov pracujúci na dohodu a približne 8 tis. osôb predstavujú poberatelia invalidných dôchodkov.</w:t>
      </w:r>
      <w:r w:rsidR="00720538" w:rsidRPr="00B94369">
        <w:rPr>
          <w:rFonts w:ascii="Times New Roman" w:eastAsia="Times New Roman" w:hAnsi="Times New Roman" w:cs="Times New Roman"/>
          <w:bCs/>
          <w:lang w:eastAsia="sk-SK"/>
        </w:rPr>
        <w:t xml:space="preserve"> Negatívny vplyv na príjmy Sociálnej poisťovne odhadujeme na úrovni približne 7,4 mil. eur v roku 2023 a 7,6 mil. eur v roku 2024. Pozitívny vplyv na výber dane z príjmu fyzických osôb sa odhaduje v rokoch 2023 a 2024 na úrovni 0,4 mil. eur a pozitívny vplyv na výber dane právnických osôb sa odhaduje na úrovni približne 0,5 mil. eur v roku 2023 a približne 0,6 mil. eur v roku 2024. </w:t>
      </w:r>
    </w:p>
    <w:p w:rsidR="00E016EA" w:rsidRPr="00B94369" w:rsidRDefault="00E016EA" w:rsidP="002D2CE5">
      <w:pPr>
        <w:tabs>
          <w:tab w:val="num" w:pos="1080"/>
        </w:tabs>
        <w:spacing w:after="0" w:line="240" w:lineRule="auto"/>
        <w:jc w:val="both"/>
        <w:rPr>
          <w:rFonts w:ascii="Times New Roman" w:eastAsia="Times New Roman" w:hAnsi="Times New Roman" w:cs="Times New Roman"/>
          <w:bCs/>
          <w:lang w:eastAsia="sk-SK"/>
        </w:rPr>
      </w:pPr>
    </w:p>
    <w:p w:rsidR="002D2CE5" w:rsidRPr="00B94369" w:rsidRDefault="007C36AA" w:rsidP="002D2CE5">
      <w:pPr>
        <w:tabs>
          <w:tab w:val="num" w:pos="1080"/>
        </w:tabs>
        <w:spacing w:after="0" w:line="240" w:lineRule="auto"/>
        <w:jc w:val="both"/>
        <w:rPr>
          <w:rFonts w:ascii="Times New Roman" w:eastAsia="Times New Roman" w:hAnsi="Times New Roman" w:cs="Times New Roman"/>
          <w:b/>
          <w:bCs/>
          <w:lang w:eastAsia="sk-SK"/>
        </w:rPr>
      </w:pPr>
      <w:r w:rsidRPr="009C11D6">
        <w:rPr>
          <w:rFonts w:ascii="Times New Roman" w:eastAsia="Times New Roman" w:hAnsi="Times New Roman" w:cs="Times New Roman"/>
          <w:b/>
          <w:bCs/>
          <w:lang w:eastAsia="sk-SK"/>
        </w:rPr>
        <w:t xml:space="preserve">K) </w:t>
      </w:r>
      <w:r w:rsidR="001259A7">
        <w:rPr>
          <w:rFonts w:ascii="Times New Roman" w:eastAsia="Times New Roman" w:hAnsi="Times New Roman" w:cs="Times New Roman"/>
          <w:b/>
          <w:bCs/>
          <w:lang w:eastAsia="sk-SK"/>
        </w:rPr>
        <w:t>Z</w:t>
      </w:r>
      <w:r w:rsidRPr="009C11D6">
        <w:rPr>
          <w:rFonts w:ascii="Times New Roman" w:hAnsi="Times New Roman" w:cs="Times New Roman"/>
          <w:b/>
          <w:szCs w:val="20"/>
        </w:rPr>
        <w:t xml:space="preserve">rušenie maximálnych </w:t>
      </w:r>
      <w:r w:rsidR="00867937">
        <w:rPr>
          <w:rFonts w:ascii="Times New Roman" w:hAnsi="Times New Roman" w:cs="Times New Roman"/>
          <w:b/>
          <w:szCs w:val="20"/>
        </w:rPr>
        <w:t xml:space="preserve">mesačných </w:t>
      </w:r>
      <w:r w:rsidRPr="009C11D6">
        <w:rPr>
          <w:rFonts w:ascii="Times New Roman" w:hAnsi="Times New Roman" w:cs="Times New Roman"/>
          <w:b/>
          <w:szCs w:val="20"/>
        </w:rPr>
        <w:t>vymeriavacích základov na platenie poistného</w:t>
      </w:r>
      <w:r w:rsidRPr="007C36AA" w:rsidDel="007C36AA">
        <w:rPr>
          <w:rFonts w:ascii="Times New Roman" w:eastAsia="Times New Roman" w:hAnsi="Times New Roman" w:cs="Times New Roman"/>
          <w:b/>
          <w:bCs/>
          <w:lang w:eastAsia="sk-SK"/>
        </w:rPr>
        <w:t xml:space="preserve"> </w:t>
      </w:r>
    </w:p>
    <w:p w:rsidR="007C36AA" w:rsidRDefault="00AB50E5" w:rsidP="001E6E4A">
      <w:pPr>
        <w:tabs>
          <w:tab w:val="num" w:pos="567"/>
        </w:tabs>
        <w:spacing w:after="0" w:line="264" w:lineRule="auto"/>
        <w:jc w:val="both"/>
        <w:rPr>
          <w:rFonts w:ascii="Times New Roman" w:hAnsi="Times New Roman" w:cs="Times New Roman"/>
        </w:rPr>
      </w:pPr>
      <w:r w:rsidRPr="00B94369">
        <w:rPr>
          <w:rFonts w:ascii="Times New Roman" w:hAnsi="Times New Roman" w:cs="Times New Roman"/>
        </w:rPr>
        <w:tab/>
      </w:r>
    </w:p>
    <w:p w:rsidR="00AB50E5" w:rsidRDefault="007C36AA" w:rsidP="001E6E4A">
      <w:pPr>
        <w:tabs>
          <w:tab w:val="num" w:pos="567"/>
        </w:tabs>
        <w:spacing w:after="0" w:line="264" w:lineRule="auto"/>
        <w:jc w:val="both"/>
        <w:rPr>
          <w:rFonts w:ascii="Times New Roman" w:hAnsi="Times New Roman" w:cs="Times New Roman"/>
        </w:rPr>
      </w:pPr>
      <w:r>
        <w:rPr>
          <w:rFonts w:ascii="Times New Roman" w:hAnsi="Times New Roman" w:cs="Times New Roman"/>
        </w:rPr>
        <w:tab/>
      </w:r>
      <w:r w:rsidR="000E3491" w:rsidRPr="00B94369">
        <w:rPr>
          <w:rFonts w:ascii="Times New Roman" w:hAnsi="Times New Roman" w:cs="Times New Roman"/>
        </w:rPr>
        <w:t xml:space="preserve">Navrhovaná právna úprava navrhuje zrušenie </w:t>
      </w:r>
      <w:r>
        <w:rPr>
          <w:rFonts w:ascii="Times New Roman" w:hAnsi="Times New Roman" w:cs="Times New Roman"/>
        </w:rPr>
        <w:t>maximálnych vymeriavacích základov na platenie poistného na nemocenské poistenie, starobné poistenie, invalidné  poistenie, poistenie v nezamestnanosti, garančné poistenie a poistenie do rezervného fondu solidarity. V súčasnosti je maximálny vymeriavací základ na platenie poistného naviazaný na 7</w:t>
      </w:r>
      <w:r w:rsidR="00F07188">
        <w:rPr>
          <w:rFonts w:ascii="Times New Roman" w:hAnsi="Times New Roman" w:cs="Times New Roman"/>
        </w:rPr>
        <w:t>-</w:t>
      </w:r>
      <w:r>
        <w:rPr>
          <w:rFonts w:ascii="Times New Roman" w:hAnsi="Times New Roman" w:cs="Times New Roman"/>
        </w:rPr>
        <w:t xml:space="preserve">násobok priemernej mzdy v národnom hospodárstve SR spred dvoch rokov, pričom od roku 2023 sa navrhuje zrušenie uvedeného stropu a poistné na sociálne poistenie sa bude platiť z celej sumy vymeriavacieho základu poistenca. </w:t>
      </w:r>
    </w:p>
    <w:p w:rsidR="007C36AA" w:rsidRDefault="007C36AA" w:rsidP="001E6E4A">
      <w:pPr>
        <w:tabs>
          <w:tab w:val="num" w:pos="567"/>
        </w:tabs>
        <w:spacing w:after="0" w:line="264" w:lineRule="auto"/>
        <w:jc w:val="both"/>
        <w:rPr>
          <w:rFonts w:ascii="Times New Roman" w:hAnsi="Times New Roman" w:cs="Times New Roman"/>
        </w:rPr>
      </w:pPr>
    </w:p>
    <w:p w:rsidR="002D2CE5" w:rsidRPr="00753D5F" w:rsidRDefault="007C36AA" w:rsidP="001E6E4A">
      <w:pPr>
        <w:tabs>
          <w:tab w:val="num" w:pos="567"/>
        </w:tabs>
        <w:spacing w:after="0" w:line="264" w:lineRule="auto"/>
        <w:jc w:val="both"/>
        <w:rPr>
          <w:rFonts w:ascii="Times New Roman" w:eastAsia="Times New Roman" w:hAnsi="Times New Roman" w:cs="Times New Roman"/>
          <w:b/>
          <w:bCs/>
          <w:lang w:eastAsia="sk-SK"/>
        </w:rPr>
      </w:pPr>
      <w:r>
        <w:rPr>
          <w:rFonts w:ascii="Times New Roman" w:hAnsi="Times New Roman" w:cs="Times New Roman"/>
        </w:rPr>
        <w:tab/>
        <w:t>Na základu údajov o poistných vzťahoch a poistencoch Sociálnej poisťovne</w:t>
      </w:r>
      <w:r w:rsidR="00867937">
        <w:rPr>
          <w:rFonts w:ascii="Times New Roman" w:hAnsi="Times New Roman" w:cs="Times New Roman"/>
        </w:rPr>
        <w:t xml:space="preserve"> za rok 2020</w:t>
      </w:r>
      <w:r>
        <w:rPr>
          <w:rFonts w:ascii="Times New Roman" w:hAnsi="Times New Roman" w:cs="Times New Roman"/>
        </w:rPr>
        <w:t xml:space="preserve">, MPSVR SR predpokladá celkový počet negatívne ovplyvnených poistencov na úrovni približne 44 400 osôb. Zvýšenie príjmov Sociálnej poisťovne sa v dôsledku zrušenia maximálnych </w:t>
      </w:r>
      <w:r w:rsidR="00867937">
        <w:rPr>
          <w:rFonts w:ascii="Times New Roman" w:hAnsi="Times New Roman" w:cs="Times New Roman"/>
        </w:rPr>
        <w:t xml:space="preserve">mesačných </w:t>
      </w:r>
      <w:r>
        <w:rPr>
          <w:rFonts w:ascii="Times New Roman" w:hAnsi="Times New Roman" w:cs="Times New Roman"/>
        </w:rPr>
        <w:t xml:space="preserve">vymeriavacích základov odhaduje v roku 2023 na úrovni </w:t>
      </w:r>
      <w:r w:rsidR="00154099">
        <w:rPr>
          <w:rFonts w:ascii="Times New Roman" w:hAnsi="Times New Roman" w:cs="Times New Roman"/>
        </w:rPr>
        <w:t xml:space="preserve">187,5 mil. eur a v roku 2024 na </w:t>
      </w:r>
      <w:r w:rsidR="004F0FD8">
        <w:rPr>
          <w:rFonts w:ascii="Times New Roman" w:hAnsi="Times New Roman" w:cs="Times New Roman"/>
        </w:rPr>
        <w:t xml:space="preserve">úrovni približne 191,9 mil. </w:t>
      </w:r>
      <w:r w:rsidR="001259A7">
        <w:rPr>
          <w:rFonts w:ascii="Times New Roman" w:hAnsi="Times New Roman" w:cs="Times New Roman"/>
        </w:rPr>
        <w:t>Z</w:t>
      </w:r>
      <w:r w:rsidR="00867937">
        <w:rPr>
          <w:rFonts w:ascii="Times New Roman" w:hAnsi="Times New Roman" w:cs="Times New Roman"/>
        </w:rPr>
        <w:t>rušenie maximálnych vymeriavacích zákl</w:t>
      </w:r>
      <w:r w:rsidR="008B1817">
        <w:rPr>
          <w:rFonts w:ascii="Times New Roman" w:hAnsi="Times New Roman" w:cs="Times New Roman"/>
        </w:rPr>
        <w:t>a</w:t>
      </w:r>
      <w:r w:rsidR="00867937">
        <w:rPr>
          <w:rFonts w:ascii="Times New Roman" w:hAnsi="Times New Roman" w:cs="Times New Roman"/>
        </w:rPr>
        <w:t>dov</w:t>
      </w:r>
      <w:r w:rsidR="001259A7">
        <w:rPr>
          <w:rFonts w:ascii="Times New Roman" w:hAnsi="Times New Roman" w:cs="Times New Roman"/>
        </w:rPr>
        <w:t xml:space="preserve"> bude mať negatívny vplyv na výber daní z príjmu fyzických a právnických osôb a teda aj negatívny vplyv na rozpočty obcí, VÚC a</w:t>
      </w:r>
      <w:r w:rsidR="00AD2EBE">
        <w:rPr>
          <w:rFonts w:ascii="Times New Roman" w:hAnsi="Times New Roman" w:cs="Times New Roman"/>
        </w:rPr>
        <w:t> štátny rozpočet</w:t>
      </w:r>
      <w:r w:rsidR="001259A7">
        <w:rPr>
          <w:rFonts w:ascii="Times New Roman" w:hAnsi="Times New Roman" w:cs="Times New Roman"/>
        </w:rPr>
        <w:t xml:space="preserve"> (</w:t>
      </w:r>
      <w:r w:rsidR="00F07188">
        <w:rPr>
          <w:rFonts w:ascii="Times New Roman" w:hAnsi="Times New Roman" w:cs="Times New Roman"/>
        </w:rPr>
        <w:t>V</w:t>
      </w:r>
      <w:r w:rsidR="001259A7">
        <w:rPr>
          <w:rFonts w:ascii="Times New Roman" w:hAnsi="Times New Roman" w:cs="Times New Roman"/>
        </w:rPr>
        <w:t xml:space="preserve">šeobecná pokladničná správa). </w:t>
      </w:r>
      <w:r w:rsidR="00AD2EBE">
        <w:rPr>
          <w:rFonts w:ascii="Times New Roman" w:hAnsi="Times New Roman" w:cs="Times New Roman"/>
        </w:rPr>
        <w:t xml:space="preserve">Negatívny vplyv na daň z príjmu fyzických osôb odhadujeme v roku </w:t>
      </w:r>
      <w:r w:rsidR="008B1817">
        <w:rPr>
          <w:rFonts w:ascii="Times New Roman" w:hAnsi="Times New Roman" w:cs="Times New Roman"/>
        </w:rPr>
        <w:t>2023 na úrovni približne 12,9 mil. eur a v roku 2024 na úrovni približne 13,2 mil. eur. Negatívny vplyv na daň z príjmu právnických osôb odhadujeme v roku 2023 na úrovni približne 28,7 mil. eur a v roku 2024 na úrovni približne 29,4 mil. eur.</w:t>
      </w:r>
    </w:p>
    <w:p w:rsidR="002D2CE5" w:rsidRDefault="00BA5C7E" w:rsidP="00E67266">
      <w:pPr>
        <w:tabs>
          <w:tab w:val="num" w:pos="1080"/>
        </w:tabs>
        <w:spacing w:after="0" w:line="240" w:lineRule="auto"/>
        <w:jc w:val="both"/>
        <w:rPr>
          <w:rFonts w:ascii="Times New Roman" w:eastAsia="Times New Roman" w:hAnsi="Times New Roman" w:cs="Times New Roman"/>
          <w:bCs/>
          <w:sz w:val="24"/>
          <w:szCs w:val="24"/>
          <w:lang w:eastAsia="sk-SK"/>
        </w:rPr>
      </w:pPr>
      <w:r w:rsidRPr="00E67266">
        <w:rPr>
          <w:rFonts w:ascii="Times New Roman" w:eastAsia="Times New Roman" w:hAnsi="Times New Roman" w:cs="Times New Roman"/>
          <w:bCs/>
          <w:sz w:val="24"/>
          <w:szCs w:val="24"/>
          <w:lang w:eastAsia="sk-SK"/>
        </w:rPr>
        <w:t xml:space="preserve">Zrušenie maximálnych vymeriavacích základov má negatívny vplyv aj na štátny rozpočet, kde odhadujeme zvýšenie výdavkov na poistné v prípade zamestnancov, ktorých príjem aspoň v jednom mesiaci presahuje úroveň maximálneho </w:t>
      </w:r>
      <w:r w:rsidR="00CB2A1D">
        <w:rPr>
          <w:rFonts w:ascii="Times New Roman" w:eastAsia="Times New Roman" w:hAnsi="Times New Roman" w:cs="Times New Roman"/>
          <w:bCs/>
          <w:sz w:val="24"/>
          <w:szCs w:val="24"/>
          <w:lang w:eastAsia="sk-SK"/>
        </w:rPr>
        <w:t xml:space="preserve">mesačného </w:t>
      </w:r>
      <w:r w:rsidRPr="00E67266">
        <w:rPr>
          <w:rFonts w:ascii="Times New Roman" w:eastAsia="Times New Roman" w:hAnsi="Times New Roman" w:cs="Times New Roman"/>
          <w:bCs/>
          <w:sz w:val="24"/>
          <w:szCs w:val="24"/>
          <w:lang w:eastAsia="sk-SK"/>
        </w:rPr>
        <w:t>vymeriavacieho základu.</w:t>
      </w:r>
      <w:r w:rsidR="00CB2A1D">
        <w:rPr>
          <w:rFonts w:ascii="Times New Roman" w:eastAsia="Times New Roman" w:hAnsi="Times New Roman" w:cs="Times New Roman"/>
          <w:bCs/>
          <w:sz w:val="24"/>
          <w:szCs w:val="24"/>
          <w:lang w:eastAsia="sk-SK"/>
        </w:rPr>
        <w:t xml:space="preserve"> C</w:t>
      </w:r>
      <w:r>
        <w:rPr>
          <w:rFonts w:ascii="Times New Roman" w:eastAsia="Times New Roman" w:hAnsi="Times New Roman" w:cs="Times New Roman"/>
          <w:bCs/>
          <w:sz w:val="24"/>
          <w:szCs w:val="24"/>
          <w:lang w:eastAsia="sk-SK"/>
        </w:rPr>
        <w:t xml:space="preserve">elkové zvýšené výdavky štátneho rozpočtu odhadujeme na úrovni približne 1,4 mil. eur v roku 2023 a približne 1,4 mil. eur v roku 2024. Podrobnejší prehľad odhadovaných zvýšených výdavkov v členení podľa jednotlivých </w:t>
      </w:r>
      <w:r w:rsidR="00CB2A1D">
        <w:rPr>
          <w:rFonts w:ascii="Times New Roman" w:eastAsia="Times New Roman" w:hAnsi="Times New Roman" w:cs="Times New Roman"/>
          <w:bCs/>
          <w:sz w:val="24"/>
          <w:szCs w:val="24"/>
          <w:lang w:eastAsia="sk-SK"/>
        </w:rPr>
        <w:t xml:space="preserve">kapitol </w:t>
      </w:r>
      <w:r>
        <w:rPr>
          <w:rFonts w:ascii="Times New Roman" w:eastAsia="Times New Roman" w:hAnsi="Times New Roman" w:cs="Times New Roman"/>
          <w:bCs/>
          <w:sz w:val="24"/>
          <w:szCs w:val="24"/>
          <w:lang w:eastAsia="sk-SK"/>
        </w:rPr>
        <w:t>je uvedený v</w:t>
      </w:r>
      <w:r w:rsidR="00CB2A1D">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tabuľke</w:t>
      </w:r>
      <w:r w:rsidR="00CB2A1D">
        <w:rPr>
          <w:rFonts w:ascii="Times New Roman" w:eastAsia="Times New Roman" w:hAnsi="Times New Roman" w:cs="Times New Roman"/>
          <w:bCs/>
          <w:sz w:val="24"/>
          <w:szCs w:val="24"/>
          <w:lang w:eastAsia="sk-SK"/>
        </w:rPr>
        <w:t xml:space="preserve"> č. 3C</w:t>
      </w:r>
      <w:r>
        <w:rPr>
          <w:rFonts w:ascii="Times New Roman" w:eastAsia="Times New Roman" w:hAnsi="Times New Roman" w:cs="Times New Roman"/>
          <w:bCs/>
          <w:sz w:val="24"/>
          <w:szCs w:val="24"/>
          <w:lang w:eastAsia="sk-SK"/>
        </w:rPr>
        <w:t xml:space="preserve"> nižšie.</w:t>
      </w:r>
    </w:p>
    <w:p w:rsidR="00BA5C7E" w:rsidRDefault="00BA5C7E" w:rsidP="00E67266">
      <w:pPr>
        <w:tabs>
          <w:tab w:val="num" w:pos="1080"/>
        </w:tabs>
        <w:spacing w:after="0" w:line="240" w:lineRule="auto"/>
        <w:jc w:val="both"/>
        <w:rPr>
          <w:rFonts w:ascii="Times New Roman" w:eastAsia="Times New Roman" w:hAnsi="Times New Roman" w:cs="Times New Roman"/>
          <w:bCs/>
          <w:sz w:val="24"/>
          <w:szCs w:val="24"/>
          <w:lang w:eastAsia="sk-SK"/>
        </w:rPr>
      </w:pPr>
    </w:p>
    <w:p w:rsidR="00CB2A1D" w:rsidRDefault="00CB2A1D" w:rsidP="00E67266">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3C – vplyv zrušenia maximálnych mesačných vymeriavacích základov na rozpočtové kapitoly štátneho rozpočtu</w:t>
      </w:r>
    </w:p>
    <w:tbl>
      <w:tblPr>
        <w:tblW w:w="9073" w:type="dxa"/>
        <w:tblInd w:w="-5" w:type="dxa"/>
        <w:tblCellMar>
          <w:left w:w="70" w:type="dxa"/>
          <w:right w:w="70" w:type="dxa"/>
        </w:tblCellMar>
        <w:tblLook w:val="04A0" w:firstRow="1" w:lastRow="0" w:firstColumn="1" w:lastColumn="0" w:noHBand="0" w:noVBand="1"/>
      </w:tblPr>
      <w:tblGrid>
        <w:gridCol w:w="5529"/>
        <w:gridCol w:w="1134"/>
        <w:gridCol w:w="1134"/>
        <w:gridCol w:w="1276"/>
      </w:tblGrid>
      <w:tr w:rsidR="00BA5C7E" w:rsidRPr="00BA5C7E" w:rsidTr="00E67266">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b/>
                <w:bCs/>
                <w:sz w:val="20"/>
                <w:szCs w:val="20"/>
                <w:lang w:eastAsia="sk-SK"/>
              </w:rPr>
            </w:pPr>
            <w:r w:rsidRPr="00BA5C7E">
              <w:rPr>
                <w:rFonts w:ascii="Arial" w:eastAsia="Times New Roman" w:hAnsi="Arial" w:cs="Arial"/>
                <w:b/>
                <w:bCs/>
                <w:sz w:val="20"/>
                <w:szCs w:val="2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b/>
                <w:bCs/>
                <w:sz w:val="20"/>
                <w:szCs w:val="20"/>
                <w:lang w:eastAsia="sk-SK"/>
              </w:rPr>
            </w:pPr>
            <w:r w:rsidRPr="00BA5C7E">
              <w:rPr>
                <w:rFonts w:ascii="Arial" w:eastAsia="Times New Roman" w:hAnsi="Arial" w:cs="Arial"/>
                <w:b/>
                <w:bCs/>
                <w:sz w:val="20"/>
                <w:szCs w:val="20"/>
                <w:lang w:eastAsia="sk-SK"/>
              </w:rPr>
              <w:t>2024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b/>
                <w:bCs/>
                <w:sz w:val="20"/>
                <w:szCs w:val="20"/>
                <w:lang w:eastAsia="sk-SK"/>
              </w:rPr>
            </w:pPr>
            <w:r w:rsidRPr="00BA5C7E">
              <w:rPr>
                <w:rFonts w:ascii="Arial" w:eastAsia="Times New Roman" w:hAnsi="Arial" w:cs="Arial"/>
                <w:b/>
                <w:bCs/>
                <w:sz w:val="20"/>
                <w:szCs w:val="20"/>
                <w:lang w:eastAsia="sk-SK"/>
              </w:rPr>
              <w:t>2025</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dopravy a výstavby</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39 127</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39 909</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40 707</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13E64" w:rsidP="00BA5C7E">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Ministerstvo financií</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99 267</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101 252</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103 277</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hospodárstva</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34 647</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35 340</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36 046</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7673B2" w:rsidP="00BA5C7E">
            <w:pPr>
              <w:spacing w:after="0" w:line="240" w:lineRule="auto"/>
              <w:rPr>
                <w:rFonts w:ascii="Arial" w:eastAsia="Times New Roman" w:hAnsi="Arial" w:cs="Arial"/>
                <w:sz w:val="20"/>
                <w:szCs w:val="20"/>
                <w:lang w:eastAsia="sk-SK"/>
              </w:rPr>
            </w:pPr>
            <w:hyperlink r:id="rId9" w:tgtFrame="_blank" w:history="1">
              <w:r w:rsidR="00BA5C7E" w:rsidRPr="00BA5C7E">
                <w:rPr>
                  <w:rFonts w:ascii="Arial" w:eastAsia="Times New Roman" w:hAnsi="Arial" w:cs="Arial"/>
                  <w:sz w:val="20"/>
                  <w:szCs w:val="20"/>
                  <w:lang w:eastAsia="sk-SK"/>
                </w:rPr>
                <w:t>Ministerstvo investícií, regionálneho rozvoja a informatizácie </w:t>
              </w:r>
            </w:hyperlink>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25 445</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25 954</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26 473</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kultúry</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26 303</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26 829</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27 366</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lastRenderedPageBreak/>
              <w:t>Ministerstvo obrany</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41 134</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41 957</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42 796</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pôdohospodárstva a rozvoja vidieka</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24 968</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25 467</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25 976</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práce, sociálnych vecí a rodiny</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66 224</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67 548</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68 899</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spravodlivosti</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51 809</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52 845</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53 902</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vnútra</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247 447</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252 396</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257 444</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 xml:space="preserve">Ministerstvo </w:t>
            </w:r>
            <w:r w:rsidR="00B13E64" w:rsidRPr="00BA5C7E">
              <w:rPr>
                <w:rFonts w:ascii="Arial" w:eastAsia="Times New Roman" w:hAnsi="Arial" w:cs="Arial"/>
                <w:sz w:val="20"/>
                <w:szCs w:val="20"/>
                <w:lang w:eastAsia="sk-SK"/>
              </w:rPr>
              <w:t>zdravotníctva</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48 737</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49 712</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50 706</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životného prostredia</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10 871</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11 088</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11 310</w:t>
            </w:r>
          </w:p>
        </w:tc>
      </w:tr>
      <w:tr w:rsidR="00BA5C7E" w:rsidRPr="00BA5C7E" w:rsidTr="00E67266">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rPr>
                <w:rFonts w:ascii="Arial" w:eastAsia="Times New Roman" w:hAnsi="Arial" w:cs="Arial"/>
                <w:sz w:val="20"/>
                <w:szCs w:val="20"/>
                <w:lang w:eastAsia="sk-SK"/>
              </w:rPr>
            </w:pPr>
            <w:r w:rsidRPr="00BA5C7E">
              <w:rPr>
                <w:rFonts w:ascii="Arial" w:eastAsia="Times New Roman" w:hAnsi="Arial" w:cs="Arial"/>
                <w:sz w:val="20"/>
                <w:szCs w:val="20"/>
                <w:lang w:eastAsia="sk-SK"/>
              </w:rPr>
              <w:t>Ministerstvo zahraničných vecí</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686 109</w:t>
            </w:r>
          </w:p>
        </w:tc>
        <w:tc>
          <w:tcPr>
            <w:tcW w:w="1134"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699 831</w:t>
            </w:r>
          </w:p>
        </w:tc>
        <w:tc>
          <w:tcPr>
            <w:tcW w:w="1276" w:type="dxa"/>
            <w:tcBorders>
              <w:top w:val="nil"/>
              <w:left w:val="nil"/>
              <w:bottom w:val="single" w:sz="4" w:space="0" w:color="auto"/>
              <w:right w:val="single" w:sz="4" w:space="0" w:color="auto"/>
            </w:tcBorders>
            <w:shd w:val="clear" w:color="auto" w:fill="auto"/>
            <w:noWrap/>
            <w:vAlign w:val="bottom"/>
            <w:hideMark/>
          </w:tcPr>
          <w:p w:rsidR="00BA5C7E" w:rsidRPr="00BA5C7E" w:rsidRDefault="00BA5C7E" w:rsidP="00BA5C7E">
            <w:pPr>
              <w:spacing w:after="0" w:line="240" w:lineRule="auto"/>
              <w:jc w:val="right"/>
              <w:rPr>
                <w:rFonts w:ascii="Arial" w:eastAsia="Times New Roman" w:hAnsi="Arial" w:cs="Arial"/>
                <w:sz w:val="20"/>
                <w:szCs w:val="20"/>
                <w:lang w:eastAsia="sk-SK"/>
              </w:rPr>
            </w:pPr>
            <w:r w:rsidRPr="00BA5C7E">
              <w:rPr>
                <w:rFonts w:ascii="Arial" w:eastAsia="Times New Roman" w:hAnsi="Arial" w:cs="Arial"/>
                <w:sz w:val="20"/>
                <w:szCs w:val="20"/>
                <w:lang w:eastAsia="sk-SK"/>
              </w:rPr>
              <w:t>713 828</w:t>
            </w:r>
          </w:p>
        </w:tc>
      </w:tr>
      <w:tr w:rsidR="00CB2A1D" w:rsidRPr="00BA5C7E" w:rsidTr="00E67266">
        <w:trPr>
          <w:trHeight w:val="25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2A1D" w:rsidRPr="00E67266" w:rsidRDefault="00CB2A1D" w:rsidP="00CB2A1D">
            <w:pPr>
              <w:spacing w:after="0" w:line="240" w:lineRule="auto"/>
              <w:rPr>
                <w:rFonts w:ascii="Arial" w:eastAsia="Times New Roman" w:hAnsi="Arial" w:cs="Arial"/>
                <w:b/>
                <w:sz w:val="20"/>
                <w:szCs w:val="20"/>
                <w:lang w:eastAsia="sk-SK"/>
              </w:rPr>
            </w:pPr>
            <w:r w:rsidRPr="00E67266">
              <w:rPr>
                <w:rFonts w:ascii="Arial" w:eastAsia="Times New Roman" w:hAnsi="Arial" w:cs="Arial"/>
                <w:b/>
                <w:sz w:val="20"/>
                <w:szCs w:val="20"/>
                <w:lang w:eastAsia="sk-SK"/>
              </w:rPr>
              <w:t>Celkom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2A1D" w:rsidRPr="00BA5C7E" w:rsidRDefault="00CB2A1D" w:rsidP="00CB2A1D">
            <w:pPr>
              <w:spacing w:after="0" w:line="240" w:lineRule="auto"/>
              <w:jc w:val="right"/>
              <w:rPr>
                <w:rFonts w:ascii="Arial" w:eastAsia="Times New Roman" w:hAnsi="Arial" w:cs="Arial"/>
                <w:sz w:val="20"/>
                <w:szCs w:val="20"/>
                <w:lang w:eastAsia="sk-SK"/>
              </w:rPr>
            </w:pPr>
            <w:r>
              <w:rPr>
                <w:rFonts w:ascii="Arial" w:hAnsi="Arial" w:cs="Arial"/>
                <w:b/>
                <w:bCs/>
                <w:sz w:val="20"/>
                <w:szCs w:val="20"/>
              </w:rPr>
              <w:t>1 402 087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2A1D" w:rsidRPr="00BA5C7E" w:rsidRDefault="00CB2A1D" w:rsidP="00CB2A1D">
            <w:pPr>
              <w:spacing w:after="0" w:line="240" w:lineRule="auto"/>
              <w:jc w:val="right"/>
              <w:rPr>
                <w:rFonts w:ascii="Arial" w:eastAsia="Times New Roman" w:hAnsi="Arial" w:cs="Arial"/>
                <w:sz w:val="20"/>
                <w:szCs w:val="20"/>
                <w:lang w:eastAsia="sk-SK"/>
              </w:rPr>
            </w:pPr>
            <w:r>
              <w:rPr>
                <w:rFonts w:ascii="Arial" w:hAnsi="Arial" w:cs="Arial"/>
                <w:b/>
                <w:bCs/>
                <w:sz w:val="20"/>
                <w:szCs w:val="20"/>
              </w:rPr>
              <w:t>1 430 129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B2A1D" w:rsidRPr="00BA5C7E" w:rsidRDefault="00CB2A1D" w:rsidP="00CB2A1D">
            <w:pPr>
              <w:spacing w:after="0" w:line="240" w:lineRule="auto"/>
              <w:jc w:val="right"/>
              <w:rPr>
                <w:rFonts w:ascii="Arial" w:eastAsia="Times New Roman" w:hAnsi="Arial" w:cs="Arial"/>
                <w:sz w:val="20"/>
                <w:szCs w:val="20"/>
                <w:lang w:eastAsia="sk-SK"/>
              </w:rPr>
            </w:pPr>
            <w:r>
              <w:rPr>
                <w:rFonts w:ascii="Arial" w:hAnsi="Arial" w:cs="Arial"/>
                <w:b/>
                <w:bCs/>
                <w:sz w:val="20"/>
                <w:szCs w:val="20"/>
              </w:rPr>
              <w:t>1 458 731</w:t>
            </w:r>
          </w:p>
        </w:tc>
      </w:tr>
    </w:tbl>
    <w:p w:rsidR="00BA5C7E" w:rsidRDefault="00B13E64" w:rsidP="00E67266">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Zdroj: MPSVR SR</w:t>
      </w:r>
    </w:p>
    <w:p w:rsidR="00BA5C7E" w:rsidRDefault="00BA5C7E" w:rsidP="00E67266">
      <w:pPr>
        <w:tabs>
          <w:tab w:val="num" w:pos="1080"/>
        </w:tabs>
        <w:spacing w:after="0" w:line="240" w:lineRule="auto"/>
        <w:jc w:val="both"/>
        <w:rPr>
          <w:rFonts w:ascii="Times New Roman" w:eastAsia="Times New Roman" w:hAnsi="Times New Roman" w:cs="Times New Roman"/>
          <w:bCs/>
          <w:sz w:val="24"/>
          <w:szCs w:val="24"/>
          <w:lang w:eastAsia="sk-SK"/>
        </w:rPr>
      </w:pPr>
    </w:p>
    <w:p w:rsidR="0039079E" w:rsidRPr="00E67266" w:rsidRDefault="0039079E" w:rsidP="00E67266">
      <w:pPr>
        <w:spacing w:after="0" w:line="264" w:lineRule="auto"/>
        <w:jc w:val="both"/>
        <w:rPr>
          <w:rFonts w:ascii="Times New Roman" w:eastAsia="Times New Roman" w:hAnsi="Times New Roman" w:cs="Times New Roman"/>
          <w:bCs/>
          <w:lang w:eastAsia="sk-SK"/>
        </w:rPr>
      </w:pPr>
      <w:r w:rsidRPr="00E67266">
        <w:rPr>
          <w:rFonts w:ascii="Times New Roman" w:eastAsia="Times New Roman" w:hAnsi="Times New Roman" w:cs="Times New Roman"/>
          <w:bCs/>
          <w:lang w:eastAsia="sk-SK"/>
        </w:rPr>
        <w:t>N) vyplácanie odmien a mzdy počas poberania dávky materské – nepriamy vplyv zrušenia ročného zúčtovania</w:t>
      </w:r>
      <w:r>
        <w:rPr>
          <w:rFonts w:ascii="Times New Roman" w:eastAsia="Times New Roman" w:hAnsi="Times New Roman" w:cs="Times New Roman"/>
          <w:bCs/>
          <w:lang w:eastAsia="sk-SK"/>
        </w:rPr>
        <w:t xml:space="preserve"> má negatívny vplyv na rozpočet Sociálnej poisťovne. </w:t>
      </w:r>
      <w:r w:rsidR="00A956C2">
        <w:rPr>
          <w:rFonts w:ascii="Times New Roman" w:eastAsia="Times New Roman" w:hAnsi="Times New Roman" w:cs="Times New Roman"/>
          <w:bCs/>
          <w:lang w:eastAsia="sk-SK"/>
        </w:rPr>
        <w:t>Na z</w:t>
      </w:r>
      <w:r w:rsidR="00363644">
        <w:rPr>
          <w:rFonts w:ascii="Times New Roman" w:eastAsia="Times New Roman" w:hAnsi="Times New Roman" w:cs="Times New Roman"/>
          <w:bCs/>
          <w:lang w:eastAsia="sk-SK"/>
        </w:rPr>
        <w:t xml:space="preserve">áklade </w:t>
      </w:r>
      <w:r w:rsidR="00A956C2">
        <w:rPr>
          <w:rFonts w:ascii="Times New Roman" w:eastAsia="Times New Roman" w:hAnsi="Times New Roman" w:cs="Times New Roman"/>
          <w:bCs/>
          <w:lang w:eastAsia="sk-SK"/>
        </w:rPr>
        <w:t>údajov Sociálnej pois</w:t>
      </w:r>
      <w:r w:rsidR="00363644">
        <w:rPr>
          <w:rFonts w:ascii="Times New Roman" w:eastAsia="Times New Roman" w:hAnsi="Times New Roman" w:cs="Times New Roman"/>
          <w:bCs/>
          <w:lang w:eastAsia="sk-SK"/>
        </w:rPr>
        <w:t>ťovne odhadujeme ročný počet vyplatených odmien a miezd počas poberania dávky materské na úrovni približne 9 500 prípadov s priemernou výškou odmeny na úrovni 660 eur. Celkový výpadok poistného odhadujeme na úrovni približne 2,1 mil. eur v roku 2023 a 2,2 mil. eur v roku 2024.</w:t>
      </w:r>
    </w:p>
    <w:p w:rsidR="00BA5C7E" w:rsidRPr="00E67266" w:rsidRDefault="00BA5C7E" w:rsidP="00E67266">
      <w:pPr>
        <w:tabs>
          <w:tab w:val="num" w:pos="1080"/>
        </w:tabs>
        <w:spacing w:after="0" w:line="240" w:lineRule="auto"/>
        <w:jc w:val="both"/>
        <w:rPr>
          <w:rFonts w:ascii="Times New Roman" w:eastAsia="Times New Roman" w:hAnsi="Times New Roman" w:cs="Times New Roman"/>
          <w:bCs/>
          <w:sz w:val="24"/>
          <w:szCs w:val="24"/>
          <w:lang w:eastAsia="sk-SK"/>
        </w:rPr>
      </w:pPr>
    </w:p>
    <w:p w:rsidR="00E47C9F" w:rsidRPr="00753D5F" w:rsidRDefault="00B94369" w:rsidP="00753D5F">
      <w:pPr>
        <w:tabs>
          <w:tab w:val="num" w:pos="1080"/>
        </w:tabs>
        <w:spacing w:after="0" w:line="240" w:lineRule="auto"/>
        <w:jc w:val="right"/>
        <w:rPr>
          <w:rFonts w:ascii="Times New Roman" w:eastAsia="Times New Roman" w:hAnsi="Times New Roman" w:cs="Times New Roman"/>
          <w:bCs/>
          <w:szCs w:val="24"/>
          <w:lang w:eastAsia="sk-SK"/>
        </w:rPr>
      </w:pPr>
      <w:r w:rsidRPr="00BD1EB1">
        <w:rPr>
          <w:rFonts w:ascii="Times New Roman" w:eastAsia="Times New Roman" w:hAnsi="Times New Roman" w:cs="Times New Roman"/>
          <w:bCs/>
          <w:sz w:val="20"/>
          <w:szCs w:val="24"/>
          <w:lang w:eastAsia="sk-SK"/>
        </w:rPr>
        <w:t>Tabuľka č. 3 v eur</w:t>
      </w:r>
    </w:p>
    <w:tbl>
      <w:tblPr>
        <w:tblW w:w="9032" w:type="dxa"/>
        <w:jc w:val="center"/>
        <w:tblCellMar>
          <w:left w:w="70" w:type="dxa"/>
          <w:right w:w="70" w:type="dxa"/>
        </w:tblCellMar>
        <w:tblLook w:val="04A0" w:firstRow="1" w:lastRow="0" w:firstColumn="1" w:lastColumn="0" w:noHBand="0" w:noVBand="1"/>
      </w:tblPr>
      <w:tblGrid>
        <w:gridCol w:w="3818"/>
        <w:gridCol w:w="850"/>
        <w:gridCol w:w="876"/>
        <w:gridCol w:w="1254"/>
        <w:gridCol w:w="1257"/>
        <w:gridCol w:w="9"/>
        <w:gridCol w:w="959"/>
        <w:gridCol w:w="9"/>
      </w:tblGrid>
      <w:tr w:rsidR="0080025A" w:rsidRPr="0080025A" w:rsidTr="00E67266">
        <w:trPr>
          <w:trHeight w:val="270"/>
          <w:jc w:val="center"/>
        </w:trPr>
        <w:tc>
          <w:tcPr>
            <w:tcW w:w="38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Príjmy (v eurách)</w:t>
            </w:r>
          </w:p>
        </w:tc>
        <w:tc>
          <w:tcPr>
            <w:tcW w:w="4246" w:type="dxa"/>
            <w:gridSpan w:val="5"/>
            <w:tcBorders>
              <w:top w:val="single" w:sz="8" w:space="0" w:color="auto"/>
              <w:left w:val="nil"/>
              <w:bottom w:val="single" w:sz="8" w:space="0" w:color="auto"/>
              <w:right w:val="single" w:sz="8" w:space="0" w:color="000000"/>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Vplyv na rozpočet verejnej správy</w:t>
            </w:r>
          </w:p>
        </w:tc>
        <w:tc>
          <w:tcPr>
            <w:tcW w:w="968" w:type="dxa"/>
            <w:gridSpan w:val="2"/>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poznámka</w:t>
            </w:r>
          </w:p>
        </w:tc>
      </w:tr>
      <w:tr w:rsidR="0080025A" w:rsidRPr="0080025A" w:rsidTr="00E67266">
        <w:trPr>
          <w:gridAfter w:val="1"/>
          <w:wAfter w:w="9" w:type="dxa"/>
          <w:trHeight w:val="270"/>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rsidR="0080025A" w:rsidRPr="0080025A" w:rsidRDefault="0080025A" w:rsidP="0080025A">
            <w:pPr>
              <w:spacing w:after="0" w:line="240" w:lineRule="auto"/>
              <w:rPr>
                <w:rFonts w:ascii="Arial Narrow" w:eastAsia="Times New Roman" w:hAnsi="Arial Narrow" w:cs="Arial"/>
                <w:b/>
                <w:bCs/>
                <w:sz w:val="20"/>
                <w:szCs w:val="20"/>
                <w:lang w:eastAsia="sk-SK"/>
              </w:rPr>
            </w:pPr>
          </w:p>
        </w:tc>
        <w:tc>
          <w:tcPr>
            <w:tcW w:w="850" w:type="dxa"/>
            <w:tcBorders>
              <w:top w:val="nil"/>
              <w:left w:val="nil"/>
              <w:bottom w:val="single" w:sz="8" w:space="0" w:color="auto"/>
              <w:right w:val="single" w:sz="8" w:space="0" w:color="auto"/>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2021</w:t>
            </w:r>
          </w:p>
        </w:tc>
        <w:tc>
          <w:tcPr>
            <w:tcW w:w="876" w:type="dxa"/>
            <w:tcBorders>
              <w:top w:val="nil"/>
              <w:left w:val="nil"/>
              <w:bottom w:val="single" w:sz="8" w:space="0" w:color="auto"/>
              <w:right w:val="single" w:sz="8" w:space="0" w:color="auto"/>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2022</w:t>
            </w:r>
          </w:p>
        </w:tc>
        <w:tc>
          <w:tcPr>
            <w:tcW w:w="1254" w:type="dxa"/>
            <w:tcBorders>
              <w:top w:val="nil"/>
              <w:left w:val="nil"/>
              <w:bottom w:val="single" w:sz="8" w:space="0" w:color="auto"/>
              <w:right w:val="single" w:sz="8" w:space="0" w:color="auto"/>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2023</w:t>
            </w:r>
          </w:p>
        </w:tc>
        <w:tc>
          <w:tcPr>
            <w:tcW w:w="1257" w:type="dxa"/>
            <w:tcBorders>
              <w:top w:val="nil"/>
              <w:left w:val="nil"/>
              <w:bottom w:val="single" w:sz="8" w:space="0" w:color="auto"/>
              <w:right w:val="single" w:sz="8" w:space="0" w:color="auto"/>
            </w:tcBorders>
            <w:shd w:val="clear" w:color="000000" w:fill="BFBFBF"/>
            <w:vAlign w:val="center"/>
            <w:hideMark/>
          </w:tcPr>
          <w:p w:rsidR="0080025A" w:rsidRPr="0080025A" w:rsidRDefault="0080025A" w:rsidP="0080025A">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2024</w:t>
            </w:r>
          </w:p>
        </w:tc>
        <w:tc>
          <w:tcPr>
            <w:tcW w:w="968" w:type="dxa"/>
            <w:gridSpan w:val="2"/>
            <w:tcBorders>
              <w:top w:val="single" w:sz="8" w:space="0" w:color="auto"/>
              <w:left w:val="single" w:sz="8" w:space="0" w:color="auto"/>
              <w:bottom w:val="single" w:sz="8" w:space="0" w:color="000000"/>
              <w:right w:val="single" w:sz="8" w:space="0" w:color="auto"/>
            </w:tcBorders>
            <w:vAlign w:val="center"/>
            <w:hideMark/>
          </w:tcPr>
          <w:p w:rsidR="0080025A" w:rsidRPr="0080025A" w:rsidRDefault="0080025A" w:rsidP="0080025A">
            <w:pPr>
              <w:spacing w:after="0" w:line="240" w:lineRule="auto"/>
              <w:rPr>
                <w:rFonts w:ascii="Arial Narrow" w:eastAsia="Times New Roman" w:hAnsi="Arial Narrow" w:cs="Arial"/>
                <w:b/>
                <w:bCs/>
                <w:sz w:val="20"/>
                <w:szCs w:val="20"/>
                <w:lang w:eastAsia="sk-SK"/>
              </w:rPr>
            </w:pPr>
          </w:p>
        </w:tc>
      </w:tr>
      <w:tr w:rsidR="00E67266" w:rsidRPr="0080025A" w:rsidTr="00E67266">
        <w:trPr>
          <w:gridAfter w:val="1"/>
          <w:wAfter w:w="9" w:type="dxa"/>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Daňové príjmy (100)</w:t>
            </w:r>
            <w:r w:rsidRPr="0080025A">
              <w:rPr>
                <w:rFonts w:ascii="Arial Narrow" w:eastAsia="Times New Roman" w:hAnsi="Arial Narrow" w:cs="Arial"/>
                <w:b/>
                <w:bCs/>
                <w:sz w:val="20"/>
                <w:szCs w:val="20"/>
                <w:vertAlign w:val="superscript"/>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9 973</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-13 217</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65 508 471</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89 792 674</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Daň z príjmov fyzickej osoby (111)</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9 973</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8 801</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-9 946 849</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-9 516 073</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Daň z príjmov právnickej osoby (112)</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-19 733 439</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-20 191 847</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nemocenské poistenie (151)</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-882</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10 012 126</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11 062 912</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starobné poistenie (152)</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-8 820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45 618 892</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59 854 326</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úrazové poistenie (153)</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-504</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-140 965</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-158 704</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zdravotné poistenie (154)</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-6 300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-2 319 526</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-2 629 968</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poistenie v nezamestnanosti (155)</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-630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6 223 577</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7 238 834</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garančné poistenie (156)</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835 431</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963 567</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do rezervného fondu solidarity (157)</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-2 993</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14 623 878</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18 822 885</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bottom"/>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Poistné na invalidné poistenie (158)</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-1 890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20 335 345</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24 346 742</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315"/>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Nedaňové príjmy (200)</w:t>
            </w:r>
            <w:r w:rsidRPr="0080025A">
              <w:rPr>
                <w:rFonts w:ascii="Arial Narrow" w:eastAsia="Times New Roman" w:hAnsi="Arial Narrow" w:cs="Arial"/>
                <w:b/>
                <w:bCs/>
                <w:sz w:val="20"/>
                <w:szCs w:val="20"/>
                <w:vertAlign w:val="superscript"/>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0</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0</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315"/>
          <w:jc w:val="center"/>
        </w:trPr>
        <w:tc>
          <w:tcPr>
            <w:tcW w:w="3818" w:type="dxa"/>
            <w:tcBorders>
              <w:top w:val="nil"/>
              <w:left w:val="single" w:sz="8" w:space="0" w:color="auto"/>
              <w:bottom w:val="single" w:sz="4"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Granty a transfery (300)</w:t>
            </w:r>
            <w:r w:rsidRPr="0080025A">
              <w:rPr>
                <w:rFonts w:ascii="Arial Narrow" w:eastAsia="Times New Roman" w:hAnsi="Arial Narrow" w:cs="Arial"/>
                <w:b/>
                <w:bCs/>
                <w:sz w:val="20"/>
                <w:szCs w:val="20"/>
                <w:vertAlign w:val="superscript"/>
                <w:lang w:eastAsia="sk-SK"/>
              </w:rPr>
              <w:t>1</w:t>
            </w:r>
          </w:p>
        </w:tc>
        <w:tc>
          <w:tcPr>
            <w:tcW w:w="850"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231 000 000</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269 500 000</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266" w:rsidRPr="0080025A" w:rsidRDefault="00E67266" w:rsidP="00E67266">
            <w:pPr>
              <w:spacing w:after="0" w:line="240" w:lineRule="auto"/>
              <w:rPr>
                <w:rFonts w:ascii="Arial Narrow" w:eastAsia="Times New Roman" w:hAnsi="Arial Narrow" w:cs="Arial"/>
                <w:color w:val="000000"/>
                <w:sz w:val="20"/>
                <w:szCs w:val="20"/>
                <w:lang w:eastAsia="sk-SK"/>
              </w:rPr>
            </w:pPr>
            <w:r w:rsidRPr="0080025A">
              <w:rPr>
                <w:rFonts w:ascii="Arial Narrow" w:eastAsia="Times New Roman" w:hAnsi="Arial Narrow" w:cs="Arial"/>
                <w:color w:val="000000"/>
                <w:sz w:val="20"/>
                <w:szCs w:val="20"/>
                <w:lang w:eastAsia="sk-SK"/>
              </w:rPr>
              <w:t>Transfery v rámci verejnej správy</w:t>
            </w:r>
            <w:r w:rsidRPr="0080025A">
              <w:rPr>
                <w:rFonts w:ascii="Arial Narrow" w:eastAsia="Times New Roman" w:hAnsi="Arial Narrow" w:cs="Arial"/>
                <w:b/>
                <w:bCs/>
                <w:color w:val="000000"/>
                <w:sz w:val="20"/>
                <w:szCs w:val="20"/>
                <w:lang w:eastAsia="sk-SK"/>
              </w:rPr>
              <w:t xml:space="preserve"> (322) (Všeobecná pokladničná správa)</w:t>
            </w:r>
          </w:p>
        </w:tc>
        <w:tc>
          <w:tcPr>
            <w:tcW w:w="850" w:type="dxa"/>
            <w:tcBorders>
              <w:top w:val="nil"/>
              <w:left w:val="single" w:sz="4"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876" w:type="dxa"/>
            <w:tcBorders>
              <w:top w:val="nil"/>
              <w:left w:val="nil"/>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0</w:t>
            </w:r>
          </w:p>
        </w:tc>
        <w:tc>
          <w:tcPr>
            <w:tcW w:w="125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231 000 000</w:t>
            </w:r>
          </w:p>
        </w:tc>
        <w:tc>
          <w:tcPr>
            <w:tcW w:w="12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r w:rsidRPr="00E67266">
              <w:rPr>
                <w:rFonts w:ascii="Arial Narrow" w:eastAsia="Times New Roman" w:hAnsi="Arial Narrow" w:cs="Arial"/>
                <w:bCs/>
                <w:sz w:val="20"/>
                <w:szCs w:val="20"/>
                <w:lang w:eastAsia="sk-SK"/>
              </w:rPr>
              <w:t>269 500 000</w:t>
            </w: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525"/>
          <w:jc w:val="center"/>
        </w:trPr>
        <w:tc>
          <w:tcPr>
            <w:tcW w:w="381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Príjmy z transakcií s finančnými aktívami a finančnými pasívami (400)</w:t>
            </w:r>
          </w:p>
        </w:tc>
        <w:tc>
          <w:tcPr>
            <w:tcW w:w="850" w:type="dxa"/>
            <w:tcBorders>
              <w:top w:val="nil"/>
              <w:left w:val="nil"/>
              <w:bottom w:val="single" w:sz="8" w:space="0" w:color="auto"/>
              <w:right w:val="single" w:sz="8" w:space="0" w:color="auto"/>
            </w:tcBorders>
            <w:shd w:val="clear" w:color="000000" w:fill="FFFF99"/>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 </w:t>
            </w:r>
          </w:p>
        </w:tc>
        <w:tc>
          <w:tcPr>
            <w:tcW w:w="876" w:type="dxa"/>
            <w:tcBorders>
              <w:top w:val="nil"/>
              <w:left w:val="nil"/>
              <w:bottom w:val="single" w:sz="8" w:space="0" w:color="auto"/>
              <w:right w:val="single" w:sz="8" w:space="0" w:color="auto"/>
            </w:tcBorders>
            <w:shd w:val="clear" w:color="000000" w:fill="FFFF99"/>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 </w:t>
            </w:r>
          </w:p>
        </w:tc>
        <w:tc>
          <w:tcPr>
            <w:tcW w:w="125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p>
        </w:tc>
        <w:tc>
          <w:tcPr>
            <w:tcW w:w="1257"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auto" w:fill="auto"/>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Prijaté úvery, pôžičky a návratné finančné výpomoci (500)</w:t>
            </w:r>
          </w:p>
        </w:tc>
        <w:tc>
          <w:tcPr>
            <w:tcW w:w="850" w:type="dxa"/>
            <w:tcBorders>
              <w:top w:val="nil"/>
              <w:left w:val="nil"/>
              <w:bottom w:val="single" w:sz="8" w:space="0" w:color="auto"/>
              <w:right w:val="single" w:sz="8" w:space="0" w:color="auto"/>
            </w:tcBorders>
            <w:shd w:val="clear" w:color="000000" w:fill="FFFF99"/>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 </w:t>
            </w:r>
          </w:p>
        </w:tc>
        <w:tc>
          <w:tcPr>
            <w:tcW w:w="876" w:type="dxa"/>
            <w:tcBorders>
              <w:top w:val="nil"/>
              <w:left w:val="nil"/>
              <w:bottom w:val="single" w:sz="8" w:space="0" w:color="auto"/>
              <w:right w:val="single" w:sz="8" w:space="0" w:color="auto"/>
            </w:tcBorders>
            <w:shd w:val="clear" w:color="000000" w:fill="FFFF99"/>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 </w:t>
            </w:r>
          </w:p>
        </w:tc>
        <w:tc>
          <w:tcPr>
            <w:tcW w:w="125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p>
        </w:tc>
        <w:tc>
          <w:tcPr>
            <w:tcW w:w="1257"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center"/>
              <w:rPr>
                <w:rFonts w:ascii="Arial Narrow" w:eastAsia="Times New Roman" w:hAnsi="Arial Narrow" w:cs="Arial"/>
                <w:bCs/>
                <w:sz w:val="20"/>
                <w:szCs w:val="20"/>
                <w:lang w:eastAsia="sk-SK"/>
              </w:rPr>
            </w:pPr>
          </w:p>
        </w:tc>
        <w:tc>
          <w:tcPr>
            <w:tcW w:w="968" w:type="dxa"/>
            <w:gridSpan w:val="2"/>
            <w:tcBorders>
              <w:top w:val="nil"/>
              <w:left w:val="nil"/>
              <w:bottom w:val="single" w:sz="8" w:space="0" w:color="auto"/>
              <w:right w:val="single" w:sz="8" w:space="0" w:color="auto"/>
            </w:tcBorders>
            <w:shd w:val="clear" w:color="auto" w:fill="auto"/>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r w:rsidR="00E67266" w:rsidRPr="0080025A" w:rsidTr="00E67266">
        <w:trPr>
          <w:gridAfter w:val="1"/>
          <w:wAfter w:w="9" w:type="dxa"/>
          <w:trHeight w:val="270"/>
          <w:jc w:val="center"/>
        </w:trPr>
        <w:tc>
          <w:tcPr>
            <w:tcW w:w="3818" w:type="dxa"/>
            <w:tcBorders>
              <w:top w:val="nil"/>
              <w:left w:val="single" w:sz="8" w:space="0" w:color="auto"/>
              <w:bottom w:val="single" w:sz="8" w:space="0" w:color="auto"/>
              <w:right w:val="single" w:sz="8" w:space="0" w:color="auto"/>
            </w:tcBorders>
            <w:shd w:val="clear" w:color="000000" w:fill="BFBFBF"/>
            <w:vAlign w:val="center"/>
            <w:hideMark/>
          </w:tcPr>
          <w:p w:rsidR="00E67266" w:rsidRPr="0080025A" w:rsidRDefault="00E67266" w:rsidP="00E67266">
            <w:pPr>
              <w:spacing w:after="0" w:line="240" w:lineRule="auto"/>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Dopad na príjmy verejnej správy celkom</w:t>
            </w:r>
          </w:p>
        </w:tc>
        <w:tc>
          <w:tcPr>
            <w:tcW w:w="850" w:type="dxa"/>
            <w:tcBorders>
              <w:top w:val="nil"/>
              <w:left w:val="nil"/>
              <w:bottom w:val="single" w:sz="8" w:space="0" w:color="auto"/>
              <w:right w:val="single" w:sz="8" w:space="0" w:color="auto"/>
            </w:tcBorders>
            <w:shd w:val="clear" w:color="000000" w:fill="BFBFBF"/>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9 973</w:t>
            </w:r>
          </w:p>
        </w:tc>
        <w:tc>
          <w:tcPr>
            <w:tcW w:w="876" w:type="dxa"/>
            <w:tcBorders>
              <w:top w:val="nil"/>
              <w:left w:val="nil"/>
              <w:bottom w:val="single" w:sz="8" w:space="0" w:color="auto"/>
              <w:right w:val="single" w:sz="8" w:space="0" w:color="auto"/>
            </w:tcBorders>
            <w:shd w:val="clear" w:color="000000" w:fill="BFBFBF"/>
            <w:vAlign w:val="center"/>
            <w:hideMark/>
          </w:tcPr>
          <w:p w:rsidR="00E67266" w:rsidRPr="0080025A" w:rsidRDefault="00E67266" w:rsidP="00E67266">
            <w:pPr>
              <w:spacing w:after="0" w:line="240" w:lineRule="auto"/>
              <w:jc w:val="center"/>
              <w:rPr>
                <w:rFonts w:ascii="Arial Narrow" w:eastAsia="Times New Roman" w:hAnsi="Arial Narrow" w:cs="Arial"/>
                <w:b/>
                <w:bCs/>
                <w:sz w:val="20"/>
                <w:szCs w:val="20"/>
                <w:lang w:eastAsia="sk-SK"/>
              </w:rPr>
            </w:pPr>
            <w:r w:rsidRPr="0080025A">
              <w:rPr>
                <w:rFonts w:ascii="Arial Narrow" w:eastAsia="Times New Roman" w:hAnsi="Arial Narrow" w:cs="Arial"/>
                <w:b/>
                <w:bCs/>
                <w:sz w:val="20"/>
                <w:szCs w:val="20"/>
                <w:lang w:eastAsia="sk-SK"/>
              </w:rPr>
              <w:t>-13 217</w:t>
            </w:r>
          </w:p>
        </w:tc>
        <w:tc>
          <w:tcPr>
            <w:tcW w:w="125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296 508 471</w:t>
            </w:r>
          </w:p>
        </w:tc>
        <w:tc>
          <w:tcPr>
            <w:tcW w:w="125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359 292 674</w:t>
            </w:r>
          </w:p>
        </w:tc>
        <w:tc>
          <w:tcPr>
            <w:tcW w:w="968" w:type="dxa"/>
            <w:gridSpan w:val="2"/>
            <w:tcBorders>
              <w:top w:val="nil"/>
              <w:left w:val="nil"/>
              <w:bottom w:val="single" w:sz="8" w:space="0" w:color="auto"/>
              <w:right w:val="single" w:sz="8" w:space="0" w:color="auto"/>
            </w:tcBorders>
            <w:shd w:val="clear" w:color="000000" w:fill="BFBFBF"/>
            <w:noWrap/>
            <w:vAlign w:val="center"/>
            <w:hideMark/>
          </w:tcPr>
          <w:p w:rsidR="00E67266" w:rsidRPr="0080025A" w:rsidRDefault="00E67266" w:rsidP="00E67266">
            <w:pPr>
              <w:spacing w:after="0" w:line="240" w:lineRule="auto"/>
              <w:rPr>
                <w:rFonts w:ascii="Arial Narrow" w:eastAsia="Times New Roman" w:hAnsi="Arial Narrow" w:cs="Arial"/>
                <w:sz w:val="20"/>
                <w:szCs w:val="20"/>
                <w:lang w:eastAsia="sk-SK"/>
              </w:rPr>
            </w:pPr>
            <w:r w:rsidRPr="0080025A">
              <w:rPr>
                <w:rFonts w:ascii="Arial Narrow" w:eastAsia="Times New Roman" w:hAnsi="Arial Narrow" w:cs="Arial"/>
                <w:sz w:val="20"/>
                <w:szCs w:val="20"/>
                <w:lang w:eastAsia="sk-SK"/>
              </w:rPr>
              <w:t> </w:t>
            </w:r>
          </w:p>
        </w:tc>
      </w:tr>
    </w:tbl>
    <w:p w:rsidR="00E0143E" w:rsidRDefault="00E0143E" w:rsidP="00E47C9F"/>
    <w:p w:rsidR="00E47C9F" w:rsidRDefault="00E47C9F" w:rsidP="00E47C9F">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rsidR="00E47C9F" w:rsidRDefault="00E47C9F" w:rsidP="00E47C9F">
      <w:pPr>
        <w:spacing w:after="0" w:line="240" w:lineRule="auto"/>
        <w:rPr>
          <w:rFonts w:ascii="Times New Roman" w:hAnsi="Times New Roman" w:cs="Verdana"/>
          <w:b/>
          <w:bCs/>
          <w:iCs/>
          <w:sz w:val="24"/>
          <w:szCs w:val="24"/>
        </w:rPr>
      </w:pPr>
    </w:p>
    <w:p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výdavky verejnej správy</w:t>
      </w:r>
      <w:r w:rsidRPr="00B94369">
        <w:rPr>
          <w:rFonts w:ascii="Times New Roman" w:eastAsia="Times New Roman" w:hAnsi="Times New Roman" w:cs="Times New Roman"/>
          <w:bCs/>
          <w:lang w:eastAsia="sk-SK"/>
        </w:rPr>
        <w:t>:</w:t>
      </w:r>
    </w:p>
    <w:p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p>
    <w:p w:rsidR="00356273" w:rsidRPr="00E02476" w:rsidRDefault="00356273"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356273">
        <w:rPr>
          <w:rFonts w:ascii="Times New Roman" w:eastAsia="Times New Roman" w:hAnsi="Times New Roman" w:cs="Times New Roman"/>
          <w:bCs/>
          <w:lang w:eastAsia="sk-SK"/>
        </w:rPr>
        <w:t>A</w:t>
      </w:r>
      <w:r w:rsidRPr="00E02476">
        <w:rPr>
          <w:rFonts w:ascii="Times New Roman" w:eastAsia="Times New Roman" w:hAnsi="Times New Roman" w:cs="Times New Roman"/>
          <w:bCs/>
          <w:lang w:eastAsia="sk-SK"/>
        </w:rPr>
        <w:t>) naviazanie dôchodkového veku na strednú dĺžku života</w:t>
      </w:r>
      <w:r w:rsidR="00EF7B49">
        <w:rPr>
          <w:rFonts w:ascii="Times New Roman" w:eastAsia="Times New Roman" w:hAnsi="Times New Roman" w:cs="Times New Roman"/>
          <w:bCs/>
          <w:lang w:eastAsia="sk-SK"/>
        </w:rPr>
        <w:t>;</w:t>
      </w:r>
    </w:p>
    <w:p w:rsidR="00356273" w:rsidRDefault="00356273"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B94369">
        <w:rPr>
          <w:rFonts w:ascii="Times New Roman" w:eastAsia="Times New Roman" w:hAnsi="Times New Roman" w:cs="Times New Roman"/>
          <w:bCs/>
          <w:lang w:eastAsia="sk-SK"/>
        </w:rPr>
        <w:t>B</w:t>
      </w:r>
      <w:r w:rsidRPr="00481E3B">
        <w:rPr>
          <w:rFonts w:ascii="Times New Roman" w:eastAsia="Times New Roman" w:hAnsi="Times New Roman" w:cs="Times New Roman"/>
          <w:bCs/>
          <w:lang w:eastAsia="sk-SK"/>
        </w:rPr>
        <w:t xml:space="preserve">) </w:t>
      </w:r>
      <w:r w:rsidR="00403BBB">
        <w:rPr>
          <w:rFonts w:ascii="Times New Roman" w:eastAsia="Times New Roman" w:hAnsi="Times New Roman" w:cs="Times New Roman"/>
          <w:bCs/>
          <w:lang w:eastAsia="sk-SK"/>
        </w:rPr>
        <w:t>vznik nároku na predčasný starobný</w:t>
      </w:r>
      <w:r w:rsidRPr="00C909F3">
        <w:rPr>
          <w:rFonts w:ascii="Times New Roman" w:eastAsia="Times New Roman" w:hAnsi="Times New Roman" w:cs="Times New Roman"/>
          <w:bCs/>
          <w:lang w:eastAsia="sk-SK"/>
        </w:rPr>
        <w:t xml:space="preserve"> dôchod</w:t>
      </w:r>
      <w:r w:rsidR="00403BBB">
        <w:rPr>
          <w:rFonts w:ascii="Times New Roman" w:eastAsia="Times New Roman" w:hAnsi="Times New Roman" w:cs="Times New Roman"/>
          <w:bCs/>
          <w:lang w:eastAsia="sk-SK"/>
        </w:rPr>
        <w:t>o</w:t>
      </w:r>
      <w:r w:rsidRPr="00C909F3">
        <w:rPr>
          <w:rFonts w:ascii="Times New Roman" w:eastAsia="Times New Roman" w:hAnsi="Times New Roman" w:cs="Times New Roman"/>
          <w:bCs/>
          <w:lang w:eastAsia="sk-SK"/>
        </w:rPr>
        <w:t>k za 40 odpracovaných rokov</w:t>
      </w:r>
      <w:r w:rsidR="00EF7B49">
        <w:rPr>
          <w:rFonts w:ascii="Times New Roman" w:eastAsia="Times New Roman" w:hAnsi="Times New Roman" w:cs="Times New Roman"/>
          <w:bCs/>
          <w:lang w:eastAsia="sk-SK"/>
        </w:rPr>
        <w:t>;</w:t>
      </w:r>
    </w:p>
    <w:p w:rsidR="00B4169F" w:rsidRPr="00C909F3" w:rsidRDefault="00B4169F"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C) asignácia odvodov tzv. rodičovský dôchodok;</w:t>
      </w:r>
    </w:p>
    <w:p w:rsidR="00356273" w:rsidRPr="00C909F3" w:rsidRDefault="00FE6546"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D) elektronická DPN</w:t>
      </w:r>
      <w:r w:rsidR="00EF7B49">
        <w:rPr>
          <w:rFonts w:ascii="Times New Roman" w:eastAsia="Times New Roman" w:hAnsi="Times New Roman" w:cs="Times New Roman"/>
          <w:bCs/>
          <w:lang w:eastAsia="sk-SK"/>
        </w:rPr>
        <w:t>;</w:t>
      </w:r>
    </w:p>
    <w:p w:rsidR="00E02476" w:rsidRPr="00C909F3" w:rsidRDefault="00E02476"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C909F3">
        <w:rPr>
          <w:rFonts w:ascii="Times New Roman" w:eastAsia="Times New Roman" w:hAnsi="Times New Roman" w:cs="Times New Roman"/>
          <w:bCs/>
          <w:lang w:eastAsia="sk-SK"/>
        </w:rPr>
        <w:t>E) čiastkový starobný dôchodok výsluhových dôchodcov</w:t>
      </w:r>
      <w:r w:rsidR="00EF7B49">
        <w:rPr>
          <w:rFonts w:ascii="Times New Roman" w:eastAsia="Times New Roman" w:hAnsi="Times New Roman" w:cs="Times New Roman"/>
          <w:bCs/>
          <w:lang w:eastAsia="sk-SK"/>
        </w:rPr>
        <w:t>;</w:t>
      </w:r>
    </w:p>
    <w:p w:rsidR="00E02476" w:rsidRPr="00C909F3" w:rsidRDefault="00E02476"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C909F3">
        <w:rPr>
          <w:rFonts w:ascii="Times New Roman" w:eastAsia="Times New Roman" w:hAnsi="Times New Roman" w:cs="Times New Roman"/>
          <w:bCs/>
          <w:lang w:eastAsia="sk-SK"/>
        </w:rPr>
        <w:t>F) problematika tzv. československých dôchodkov</w:t>
      </w:r>
      <w:r w:rsidR="00EF7B49">
        <w:rPr>
          <w:rFonts w:ascii="Times New Roman" w:eastAsia="Times New Roman" w:hAnsi="Times New Roman" w:cs="Times New Roman"/>
          <w:bCs/>
          <w:lang w:eastAsia="sk-SK"/>
        </w:rPr>
        <w:t>;</w:t>
      </w:r>
      <w:r w:rsidRPr="00C909F3">
        <w:rPr>
          <w:rFonts w:ascii="Times New Roman" w:eastAsia="Times New Roman" w:hAnsi="Times New Roman" w:cs="Times New Roman"/>
          <w:bCs/>
          <w:lang w:eastAsia="sk-SK"/>
        </w:rPr>
        <w:t xml:space="preserve"> </w:t>
      </w:r>
    </w:p>
    <w:p w:rsidR="00356273" w:rsidRPr="00C909F3" w:rsidRDefault="00356273"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C909F3">
        <w:rPr>
          <w:rFonts w:ascii="Times New Roman" w:eastAsia="Times New Roman" w:hAnsi="Times New Roman" w:cs="Times New Roman"/>
          <w:bCs/>
          <w:lang w:eastAsia="sk-SK"/>
        </w:rPr>
        <w:t>G) zrušenie ročného zúčtovania</w:t>
      </w:r>
      <w:r w:rsidR="00EF7B49">
        <w:rPr>
          <w:rFonts w:ascii="Times New Roman" w:eastAsia="Times New Roman" w:hAnsi="Times New Roman" w:cs="Times New Roman"/>
          <w:bCs/>
          <w:lang w:eastAsia="sk-SK"/>
        </w:rPr>
        <w:t>;</w:t>
      </w:r>
    </w:p>
    <w:p w:rsidR="007D282E" w:rsidRPr="009C11D6" w:rsidRDefault="00745B05">
      <w:pPr>
        <w:pStyle w:val="Odsekzoznamu"/>
        <w:numPr>
          <w:ilvl w:val="0"/>
          <w:numId w:val="17"/>
        </w:numPr>
        <w:tabs>
          <w:tab w:val="num" w:pos="1080"/>
        </w:tabs>
        <w:spacing w:after="0" w:line="264" w:lineRule="auto"/>
        <w:jc w:val="both"/>
        <w:rPr>
          <w:rFonts w:ascii="Times New Roman" w:hAnsi="Times New Roman" w:cs="Verdana"/>
          <w:b/>
          <w:bCs/>
          <w:iCs/>
          <w:sz w:val="24"/>
          <w:szCs w:val="24"/>
        </w:rPr>
      </w:pPr>
      <w:r w:rsidRPr="00C909F3">
        <w:rPr>
          <w:rFonts w:ascii="Times New Roman" w:eastAsia="Times New Roman" w:hAnsi="Times New Roman" w:cs="Times New Roman"/>
          <w:bCs/>
          <w:lang w:eastAsia="sk-SK"/>
        </w:rPr>
        <w:t>I</w:t>
      </w:r>
      <w:r w:rsidR="00356273" w:rsidRPr="00C909F3">
        <w:rPr>
          <w:rFonts w:ascii="Times New Roman" w:eastAsia="Times New Roman" w:hAnsi="Times New Roman" w:cs="Times New Roman"/>
          <w:bCs/>
          <w:lang w:eastAsia="sk-SK"/>
        </w:rPr>
        <w:t xml:space="preserve">) </w:t>
      </w:r>
      <w:r w:rsidRPr="00C909F3">
        <w:rPr>
          <w:rFonts w:ascii="Times New Roman" w:eastAsia="Times New Roman" w:hAnsi="Times New Roman" w:cs="Times New Roman"/>
          <w:bCs/>
          <w:lang w:eastAsia="sk-SK"/>
        </w:rPr>
        <w:t xml:space="preserve">predĺženie ochrannej lehoty </w:t>
      </w:r>
      <w:r w:rsidR="00C909F3" w:rsidRPr="00C909F3">
        <w:rPr>
          <w:rFonts w:ascii="Times New Roman" w:eastAsia="Times New Roman" w:hAnsi="Times New Roman" w:cs="Times New Roman"/>
          <w:bCs/>
          <w:lang w:eastAsia="sk-SK"/>
        </w:rPr>
        <w:t>pri otehotnení</w:t>
      </w:r>
      <w:r w:rsidR="00026260">
        <w:rPr>
          <w:rFonts w:ascii="Times New Roman" w:eastAsia="Times New Roman" w:hAnsi="Times New Roman" w:cs="Times New Roman"/>
          <w:bCs/>
          <w:lang w:eastAsia="sk-SK"/>
        </w:rPr>
        <w:t>;</w:t>
      </w:r>
    </w:p>
    <w:p w:rsidR="008B1817" w:rsidRPr="009C11D6" w:rsidRDefault="007D282E" w:rsidP="00026260">
      <w:pPr>
        <w:pStyle w:val="Odsekzoznamu"/>
        <w:numPr>
          <w:ilvl w:val="0"/>
          <w:numId w:val="17"/>
        </w:numPr>
        <w:tabs>
          <w:tab w:val="num" w:pos="1080"/>
        </w:tabs>
        <w:spacing w:after="0" w:line="264" w:lineRule="auto"/>
        <w:jc w:val="both"/>
        <w:rPr>
          <w:rFonts w:ascii="Times New Roman" w:hAnsi="Times New Roman" w:cs="Times New Roman"/>
          <w:b/>
          <w:bCs/>
          <w:iCs/>
        </w:rPr>
      </w:pPr>
      <w:r>
        <w:rPr>
          <w:rFonts w:ascii="Times New Roman" w:eastAsia="Times New Roman" w:hAnsi="Times New Roman" w:cs="Times New Roman"/>
          <w:bCs/>
          <w:lang w:eastAsia="sk-SK"/>
        </w:rPr>
        <w:t>J</w:t>
      </w:r>
      <w:r w:rsidR="00026260" w:rsidRPr="00026260">
        <w:rPr>
          <w:rFonts w:ascii="Times New Roman" w:eastAsia="Times New Roman" w:hAnsi="Times New Roman" w:cs="Times New Roman"/>
          <w:bCs/>
          <w:lang w:eastAsia="sk-SK"/>
        </w:rPr>
        <w:t xml:space="preserve">) </w:t>
      </w:r>
      <w:r w:rsidR="00026260" w:rsidRPr="00026260">
        <w:rPr>
          <w:rFonts w:ascii="Times New Roman" w:hAnsi="Times New Roman" w:cs="Times New Roman"/>
        </w:rPr>
        <w:t>zrušenie možnosti úhrady poistného na sociálne poistenie v</w:t>
      </w:r>
      <w:r w:rsidR="008B1817">
        <w:rPr>
          <w:rFonts w:ascii="Times New Roman" w:hAnsi="Times New Roman" w:cs="Times New Roman"/>
        </w:rPr>
        <w:t> </w:t>
      </w:r>
      <w:r w:rsidR="00026260" w:rsidRPr="00026260">
        <w:rPr>
          <w:rFonts w:ascii="Times New Roman" w:hAnsi="Times New Roman" w:cs="Times New Roman"/>
        </w:rPr>
        <w:t>hotovosti</w:t>
      </w:r>
      <w:r w:rsidR="008B1817">
        <w:rPr>
          <w:rFonts w:ascii="Times New Roman" w:hAnsi="Times New Roman" w:cs="Times New Roman"/>
        </w:rPr>
        <w:t>;</w:t>
      </w:r>
    </w:p>
    <w:p w:rsidR="008B1817" w:rsidRPr="009C11D6" w:rsidRDefault="008B1817" w:rsidP="009C11D6">
      <w:pPr>
        <w:pStyle w:val="Odsekzoznamu"/>
        <w:numPr>
          <w:ilvl w:val="0"/>
          <w:numId w:val="17"/>
        </w:numPr>
        <w:tabs>
          <w:tab w:val="num" w:pos="993"/>
        </w:tabs>
        <w:spacing w:after="0" w:line="264" w:lineRule="auto"/>
        <w:jc w:val="both"/>
        <w:rPr>
          <w:rFonts w:ascii="Times New Roman" w:hAnsi="Times New Roman" w:cs="Times New Roman"/>
          <w:b/>
          <w:bCs/>
          <w:iCs/>
        </w:rPr>
      </w:pPr>
      <w:r>
        <w:rPr>
          <w:rFonts w:ascii="Times New Roman" w:hAnsi="Times New Roman" w:cs="Times New Roman"/>
        </w:rPr>
        <w:t>L)zvýšenie maximálneho denného vymeriavacieho základu na určenie nemocenských dávok a dávky v nezamestnanosti;</w:t>
      </w:r>
    </w:p>
    <w:p w:rsidR="00026260" w:rsidRPr="00026260" w:rsidRDefault="008B1817" w:rsidP="009C11D6">
      <w:pPr>
        <w:pStyle w:val="Odsekzoznamu"/>
        <w:numPr>
          <w:ilvl w:val="0"/>
          <w:numId w:val="17"/>
        </w:numPr>
        <w:tabs>
          <w:tab w:val="num" w:pos="993"/>
        </w:tabs>
        <w:spacing w:after="0" w:line="264" w:lineRule="auto"/>
        <w:jc w:val="both"/>
        <w:rPr>
          <w:rFonts w:ascii="Times New Roman" w:hAnsi="Times New Roman" w:cs="Times New Roman"/>
          <w:b/>
          <w:bCs/>
          <w:iCs/>
        </w:rPr>
      </w:pPr>
      <w:r>
        <w:rPr>
          <w:rFonts w:ascii="Times New Roman" w:hAnsi="Times New Roman" w:cs="Times New Roman"/>
        </w:rPr>
        <w:lastRenderedPageBreak/>
        <w:t>M)</w:t>
      </w:r>
      <w:r w:rsidRPr="008B1817">
        <w:rPr>
          <w:rFonts w:ascii="Times New Roman" w:hAnsi="Times New Roman" w:cs="Times New Roman"/>
        </w:rPr>
        <w:t xml:space="preserve"> </w:t>
      </w:r>
      <w:r>
        <w:rPr>
          <w:rFonts w:ascii="Times New Roman" w:hAnsi="Times New Roman" w:cs="Times New Roman"/>
        </w:rPr>
        <w:t>korekcia mechanizmu medziročnej úpravy aktuálnej dôchodkovej hodnoty.</w:t>
      </w:r>
    </w:p>
    <w:p w:rsidR="00BE32C8" w:rsidRDefault="00BE32C8" w:rsidP="001E6E4A">
      <w:pPr>
        <w:pStyle w:val="NormlB"/>
        <w:spacing w:before="0" w:after="0" w:line="264" w:lineRule="auto"/>
        <w:rPr>
          <w:rFonts w:ascii="Times New Roman" w:hAnsi="Times New Roman" w:cs="Times New Roman"/>
          <w:b w:val="0"/>
          <w:color w:val="auto"/>
          <w:sz w:val="22"/>
        </w:rPr>
      </w:pPr>
    </w:p>
    <w:p w:rsidR="00BE32C8" w:rsidRDefault="00BE32C8" w:rsidP="001E6E4A">
      <w:pPr>
        <w:pStyle w:val="NormlB"/>
        <w:spacing w:before="0" w:after="0" w:line="264" w:lineRule="auto"/>
        <w:rPr>
          <w:rFonts w:ascii="Times New Roman" w:hAnsi="Times New Roman" w:cs="Times New Roman"/>
          <w:b w:val="0"/>
          <w:color w:val="auto"/>
          <w:sz w:val="22"/>
        </w:rPr>
      </w:pPr>
    </w:p>
    <w:p w:rsidR="00C909F3" w:rsidRDefault="00C909F3" w:rsidP="001E6E4A">
      <w:pPr>
        <w:pStyle w:val="NormlB"/>
        <w:spacing w:before="0" w:after="0" w:line="264" w:lineRule="auto"/>
        <w:rPr>
          <w:rFonts w:ascii="Times New Roman" w:hAnsi="Times New Roman" w:cs="Times New Roman"/>
          <w:color w:val="auto"/>
          <w:sz w:val="22"/>
        </w:rPr>
      </w:pPr>
      <w:r w:rsidRPr="00C909F3">
        <w:rPr>
          <w:rFonts w:ascii="Times New Roman" w:hAnsi="Times New Roman" w:cs="Times New Roman"/>
          <w:color w:val="auto"/>
          <w:sz w:val="22"/>
        </w:rPr>
        <w:t>A)</w:t>
      </w:r>
      <w:r>
        <w:rPr>
          <w:rFonts w:ascii="Times New Roman" w:hAnsi="Times New Roman" w:cs="Times New Roman"/>
          <w:color w:val="auto"/>
          <w:sz w:val="22"/>
        </w:rPr>
        <w:t xml:space="preserve"> N</w:t>
      </w:r>
      <w:r w:rsidRPr="00C909F3">
        <w:rPr>
          <w:rFonts w:ascii="Times New Roman" w:hAnsi="Times New Roman" w:cs="Times New Roman"/>
          <w:color w:val="auto"/>
          <w:sz w:val="22"/>
        </w:rPr>
        <w:t xml:space="preserve">aviazanie dôchodkového veku na </w:t>
      </w:r>
      <w:r w:rsidR="0060539B">
        <w:rPr>
          <w:rFonts w:ascii="Times New Roman" w:hAnsi="Times New Roman" w:cs="Times New Roman"/>
          <w:color w:val="auto"/>
          <w:sz w:val="22"/>
        </w:rPr>
        <w:t>zmenu strednej dĺžky</w:t>
      </w:r>
      <w:r w:rsidRPr="00C909F3">
        <w:rPr>
          <w:rFonts w:ascii="Times New Roman" w:hAnsi="Times New Roman" w:cs="Times New Roman"/>
          <w:color w:val="auto"/>
          <w:sz w:val="22"/>
        </w:rPr>
        <w:t xml:space="preserve"> života</w:t>
      </w:r>
    </w:p>
    <w:p w:rsidR="00C909F3" w:rsidRPr="00C909F3" w:rsidRDefault="00C909F3" w:rsidP="001E6E4A">
      <w:pPr>
        <w:pStyle w:val="NormlB"/>
        <w:spacing w:before="0" w:after="0" w:line="264" w:lineRule="auto"/>
        <w:rPr>
          <w:rFonts w:ascii="Times New Roman" w:hAnsi="Times New Roman" w:cs="Times New Roman"/>
          <w:color w:val="auto"/>
          <w:sz w:val="22"/>
        </w:rPr>
      </w:pPr>
    </w:p>
    <w:p w:rsidR="0060539B" w:rsidRDefault="00C909F3" w:rsidP="001E6E4A">
      <w:pPr>
        <w:spacing w:after="0" w:line="264" w:lineRule="auto"/>
        <w:ind w:firstLine="708"/>
        <w:jc w:val="both"/>
        <w:rPr>
          <w:rFonts w:ascii="Times New Roman" w:hAnsi="Times New Roman"/>
        </w:rPr>
      </w:pPr>
      <w:r w:rsidRPr="006C6991">
        <w:rPr>
          <w:rFonts w:ascii="Times New Roman" w:hAnsi="Times New Roman"/>
        </w:rPr>
        <w:t>Hlavným opatrením</w:t>
      </w:r>
      <w:r w:rsidR="003179A9">
        <w:rPr>
          <w:rFonts w:ascii="Times New Roman" w:hAnsi="Times New Roman"/>
        </w:rPr>
        <w:t xml:space="preserve"> predloženej novely zákona</w:t>
      </w:r>
      <w:r w:rsidRPr="006C6991">
        <w:rPr>
          <w:rFonts w:ascii="Times New Roman" w:hAnsi="Times New Roman"/>
        </w:rPr>
        <w:t xml:space="preserve">, ktoré prispeje k zlepšeniu dlhodobej udržateľnosti dôchodkového systému je opätovné naviazanie dôchodkového veku na </w:t>
      </w:r>
      <w:r w:rsidR="0060539B">
        <w:rPr>
          <w:rFonts w:ascii="Times New Roman" w:hAnsi="Times New Roman"/>
        </w:rPr>
        <w:t>vývoj strednej dĺžky</w:t>
      </w:r>
      <w:r w:rsidRPr="006C6991">
        <w:rPr>
          <w:rFonts w:ascii="Times New Roman" w:hAnsi="Times New Roman"/>
        </w:rPr>
        <w:t xml:space="preserve"> života. V súčasnosti je dôchodkový vek </w:t>
      </w:r>
      <w:r w:rsidRPr="00A86166">
        <w:rPr>
          <w:rFonts w:ascii="Times New Roman" w:hAnsi="Times New Roman"/>
        </w:rPr>
        <w:t>definovaný v prílohe č. 3a a v prílohe č. 3b zákona č.</w:t>
      </w:r>
      <w:r w:rsidR="0060539B">
        <w:rPr>
          <w:rFonts w:ascii="Times New Roman" w:hAnsi="Times New Roman"/>
        </w:rPr>
        <w:t xml:space="preserve"> </w:t>
      </w:r>
      <w:r w:rsidRPr="00A86166">
        <w:rPr>
          <w:rFonts w:ascii="Times New Roman" w:hAnsi="Times New Roman"/>
        </w:rPr>
        <w:t xml:space="preserve">461/2003 Z. z. o sociálnom poistení v znení neskorších predpisov (ďalej len „zákon o sociálnom poistení“), pričom rast dôchodkového veku sa </w:t>
      </w:r>
      <w:r w:rsidR="0060539B">
        <w:rPr>
          <w:rFonts w:ascii="Times New Roman" w:hAnsi="Times New Roman"/>
        </w:rPr>
        <w:t xml:space="preserve">na základe súčasného právneho stavu </w:t>
      </w:r>
      <w:r w:rsidRPr="00A86166">
        <w:rPr>
          <w:rFonts w:ascii="Times New Roman" w:hAnsi="Times New Roman"/>
        </w:rPr>
        <w:t>zastaví v roku 2030 na úrovni 64 rokov</w:t>
      </w:r>
      <w:r>
        <w:rPr>
          <w:rFonts w:ascii="Times New Roman" w:hAnsi="Times New Roman"/>
        </w:rPr>
        <w:t>, ktorý prislúcha osobám narodeným v roku 1966 (bez zohľadnenia výchovy dieťaťa)</w:t>
      </w:r>
      <w:r w:rsidRPr="00A86166">
        <w:rPr>
          <w:rFonts w:ascii="Times New Roman" w:hAnsi="Times New Roman"/>
        </w:rPr>
        <w:t xml:space="preserve">. </w:t>
      </w:r>
    </w:p>
    <w:p w:rsidR="00403BBB" w:rsidRDefault="00403BBB" w:rsidP="001E6E4A">
      <w:pPr>
        <w:spacing w:after="0" w:line="264" w:lineRule="auto"/>
        <w:jc w:val="both"/>
        <w:rPr>
          <w:rFonts w:ascii="Times New Roman" w:hAnsi="Times New Roman"/>
        </w:rPr>
      </w:pPr>
    </w:p>
    <w:p w:rsidR="00C909F3" w:rsidRDefault="00C909F3" w:rsidP="00C135B2">
      <w:pPr>
        <w:spacing w:after="0" w:line="240" w:lineRule="auto"/>
        <w:jc w:val="both"/>
        <w:rPr>
          <w:rFonts w:ascii="Times New Roman" w:hAnsi="Times New Roman"/>
        </w:rPr>
      </w:pPr>
      <w:r>
        <w:rPr>
          <w:rFonts w:ascii="Times New Roman" w:hAnsi="Times New Roman"/>
        </w:rPr>
        <w:t>Navrhovaná právna úprava zavádza nový automatický mechanizmus predlžovania dôchodkového veku</w:t>
      </w:r>
      <w:r w:rsidR="00821D5F">
        <w:rPr>
          <w:rFonts w:ascii="Times New Roman" w:hAnsi="Times New Roman"/>
        </w:rPr>
        <w:t xml:space="preserve"> vzhľadom na zmenu strednej dĺžky života</w:t>
      </w:r>
      <w:r>
        <w:rPr>
          <w:rFonts w:ascii="Times New Roman" w:hAnsi="Times New Roman"/>
        </w:rPr>
        <w:t>, ktorý je naviazaný na kalendárne ročníky</w:t>
      </w:r>
      <w:r w:rsidRPr="002120F0">
        <w:rPr>
          <w:rFonts w:ascii="Times New Roman" w:hAnsi="Times New Roman"/>
        </w:rPr>
        <w:t>,</w:t>
      </w:r>
      <w:r w:rsidR="0060539B">
        <w:rPr>
          <w:rFonts w:ascii="Times New Roman" w:hAnsi="Times New Roman"/>
        </w:rPr>
        <w:t xml:space="preserve"> t. j.</w:t>
      </w:r>
      <w:r w:rsidRPr="00A86166">
        <w:rPr>
          <w:rFonts w:ascii="Times New Roman" w:hAnsi="Times New Roman"/>
        </w:rPr>
        <w:t xml:space="preserve"> aby osoby narodené v rovnakom roku mali rovnaký dôc</w:t>
      </w:r>
      <w:r w:rsidR="0060539B">
        <w:rPr>
          <w:rFonts w:ascii="Times New Roman" w:hAnsi="Times New Roman"/>
        </w:rPr>
        <w:t>hodkový vek</w:t>
      </w:r>
      <w:r w:rsidRPr="00A86166">
        <w:rPr>
          <w:rFonts w:ascii="Times New Roman" w:hAnsi="Times New Roman"/>
        </w:rPr>
        <w:t>.</w:t>
      </w:r>
      <w:r w:rsidRPr="002120F0">
        <w:rPr>
          <w:rFonts w:ascii="Times New Roman" w:hAnsi="Times New Roman"/>
        </w:rPr>
        <w:t xml:space="preserve"> </w:t>
      </w:r>
      <w:r w:rsidR="003179A9">
        <w:rPr>
          <w:rFonts w:ascii="Times New Roman" w:hAnsi="Times New Roman"/>
        </w:rPr>
        <w:t>Zároveň sa ustanovuje</w:t>
      </w:r>
      <w:r w:rsidRPr="00A86166">
        <w:rPr>
          <w:rFonts w:ascii="Times New Roman" w:hAnsi="Times New Roman"/>
        </w:rPr>
        <w:t>, že dôchodkový vek bude automaticky zvyšovaný</w:t>
      </w:r>
      <w:r w:rsidRPr="002120F0">
        <w:rPr>
          <w:rFonts w:ascii="Times New Roman" w:hAnsi="Times New Roman"/>
        </w:rPr>
        <w:t xml:space="preserve"> na mesačnej báze, t. j. </w:t>
      </w:r>
      <w:r w:rsidR="0060539B">
        <w:rPr>
          <w:rFonts w:ascii="Times New Roman" w:hAnsi="Times New Roman"/>
        </w:rPr>
        <w:t>zmena dôchodkového veku bude vyjadrená v mesiacoch</w:t>
      </w:r>
      <w:r w:rsidRPr="002120F0">
        <w:rPr>
          <w:rFonts w:ascii="Times New Roman" w:hAnsi="Times New Roman"/>
        </w:rPr>
        <w:t xml:space="preserve">. </w:t>
      </w:r>
      <w:r w:rsidRPr="00A86166">
        <w:rPr>
          <w:rFonts w:ascii="Times New Roman" w:hAnsi="Times New Roman"/>
        </w:rPr>
        <w:t>Na základe uvedeného a s prihliadnutím na vývoj strednej dĺžky života v dôchodkovom veku vypočítanej z poslednej demografickej prognózy Eurostatu EUROPOP2019</w:t>
      </w:r>
      <w:r w:rsidR="000B48B1">
        <w:rPr>
          <w:rFonts w:ascii="Times New Roman" w:hAnsi="Times New Roman"/>
        </w:rPr>
        <w:t xml:space="preserve"> a údajov Štatistického úradu SR,</w:t>
      </w:r>
      <w:r w:rsidRPr="00A86166">
        <w:rPr>
          <w:rFonts w:ascii="Times New Roman" w:hAnsi="Times New Roman"/>
        </w:rPr>
        <w:t xml:space="preserve"> odhadujeme v najbližších rokoch tempo rastu dôchodkového veku </w:t>
      </w:r>
      <w:r w:rsidRPr="002120F0">
        <w:rPr>
          <w:rFonts w:ascii="Times New Roman" w:hAnsi="Times New Roman"/>
        </w:rPr>
        <w:t xml:space="preserve">na úrovni </w:t>
      </w:r>
      <w:r>
        <w:rPr>
          <w:rFonts w:ascii="Times New Roman" w:hAnsi="Times New Roman"/>
        </w:rPr>
        <w:t xml:space="preserve">jedného alebo </w:t>
      </w:r>
      <w:r w:rsidRPr="002120F0">
        <w:rPr>
          <w:rFonts w:ascii="Times New Roman" w:hAnsi="Times New Roman"/>
        </w:rPr>
        <w:t>dvoch mesiacov ročne.</w:t>
      </w:r>
    </w:p>
    <w:p w:rsidR="001259A7" w:rsidRDefault="001259A7" w:rsidP="00C135B2">
      <w:pPr>
        <w:spacing w:after="0" w:line="240" w:lineRule="auto"/>
        <w:jc w:val="both"/>
        <w:rPr>
          <w:rFonts w:ascii="Times New Roman" w:eastAsia="Times New Roman" w:hAnsi="Times New Roman" w:cs="Times New Roman"/>
          <w:sz w:val="24"/>
          <w:szCs w:val="24"/>
          <w:lang w:eastAsia="sk-SK"/>
        </w:rPr>
      </w:pPr>
    </w:p>
    <w:p w:rsidR="008B1817" w:rsidRPr="00A86166" w:rsidRDefault="008B1817" w:rsidP="008B1817">
      <w:pPr>
        <w:spacing w:after="0"/>
        <w:jc w:val="both"/>
        <w:rPr>
          <w:rFonts w:ascii="Times New Roman" w:hAnsi="Times New Roman"/>
        </w:rPr>
      </w:pPr>
      <w:r>
        <w:rPr>
          <w:rFonts w:ascii="Times New Roman" w:hAnsi="Times New Roman"/>
        </w:rPr>
        <w:t>V dlhodobom horizonte očakávame zníženie výdavkov na dôchodky o približne 2,0 p. b. HDP (rok</w:t>
      </w:r>
      <w:r w:rsidRPr="002120F0">
        <w:rPr>
          <w:rFonts w:ascii="Times New Roman" w:hAnsi="Times New Roman"/>
        </w:rPr>
        <w:t xml:space="preserve"> 2070</w:t>
      </w:r>
      <w:r>
        <w:rPr>
          <w:rFonts w:ascii="Times New Roman" w:hAnsi="Times New Roman"/>
        </w:rPr>
        <w:t>)</w:t>
      </w:r>
      <w:r w:rsidRPr="00A86166">
        <w:rPr>
          <w:rFonts w:ascii="Times New Roman" w:hAnsi="Times New Roman"/>
        </w:rPr>
        <w:t xml:space="preserve">, čo môžeme označiť ako signifikantný vplyv na posilnenie dlhodobej udržateľnosti dôchodkového systému. </w:t>
      </w:r>
    </w:p>
    <w:p w:rsidR="008B1817" w:rsidRDefault="008B1817" w:rsidP="008B1817">
      <w:pPr>
        <w:ind w:firstLine="993"/>
        <w:jc w:val="both"/>
        <w:rPr>
          <w:rFonts w:ascii="Times New Roman" w:hAnsi="Times New Roman" w:cs="Times New Roman"/>
          <w:b/>
          <w:sz w:val="24"/>
          <w:szCs w:val="24"/>
        </w:rPr>
      </w:pPr>
    </w:p>
    <w:p w:rsidR="000B5A21" w:rsidRPr="004D4593" w:rsidRDefault="000B5A21" w:rsidP="000B5A21">
      <w:pPr>
        <w:spacing w:after="0" w:line="240" w:lineRule="auto"/>
        <w:ind w:left="426"/>
        <w:jc w:val="center"/>
        <w:rPr>
          <w:rFonts w:ascii="Times New Roman" w:hAnsi="Times New Roman" w:cs="Times New Roman"/>
          <w:b/>
          <w:sz w:val="24"/>
          <w:szCs w:val="24"/>
        </w:rPr>
      </w:pPr>
      <w:r w:rsidRPr="004D4593">
        <w:rPr>
          <w:rFonts w:ascii="Times New Roman" w:hAnsi="Times New Roman" w:cs="Times New Roman"/>
          <w:b/>
          <w:sz w:val="24"/>
          <w:szCs w:val="24"/>
        </w:rPr>
        <w:t xml:space="preserve">Vzorec pre určenie </w:t>
      </w:r>
      <w:r>
        <w:rPr>
          <w:rFonts w:ascii="Times New Roman" w:hAnsi="Times New Roman" w:cs="Times New Roman"/>
          <w:b/>
          <w:sz w:val="24"/>
          <w:szCs w:val="24"/>
        </w:rPr>
        <w:t xml:space="preserve">neupraveného </w:t>
      </w:r>
      <w:r w:rsidRPr="004D4593">
        <w:rPr>
          <w:rFonts w:ascii="Times New Roman" w:hAnsi="Times New Roman" w:cs="Times New Roman"/>
          <w:b/>
          <w:sz w:val="24"/>
          <w:szCs w:val="24"/>
        </w:rPr>
        <w:t>všeobecného dôchodkového veku pre príslušný ročník</w:t>
      </w:r>
    </w:p>
    <w:p w:rsidR="000B5A21" w:rsidRPr="004D4593" w:rsidRDefault="000B5A21" w:rsidP="000B5A21">
      <w:pPr>
        <w:spacing w:after="0" w:line="240" w:lineRule="auto"/>
        <w:ind w:left="426"/>
        <w:jc w:val="both"/>
        <w:rPr>
          <w:rFonts w:ascii="Times New Roman" w:hAnsi="Times New Roman" w:cs="Times New Roman"/>
          <w:b/>
          <w:sz w:val="24"/>
          <w:szCs w:val="24"/>
          <w:shd w:val="clear" w:color="auto" w:fill="FFFFFF"/>
        </w:rPr>
      </w:pPr>
    </w:p>
    <w:p w:rsidR="000B5A21" w:rsidRPr="004D4593" w:rsidRDefault="000B5A21" w:rsidP="000B5A21">
      <w:pPr>
        <w:spacing w:after="0" w:line="240" w:lineRule="auto"/>
        <w:ind w:left="142" w:right="-142" w:hanging="142"/>
        <w:jc w:val="both"/>
        <w:rPr>
          <w:rFonts w:ascii="Times New Roman" w:hAnsi="Times New Roman" w:cs="Times New Roman"/>
          <w:sz w:val="24"/>
          <w:szCs w:val="24"/>
          <w:shd w:val="clear" w:color="auto" w:fill="FFFFFF"/>
        </w:rPr>
      </w:pPr>
      <m:oMath>
        <m:r>
          <m:rPr>
            <m:sty m:val="b"/>
          </m:rPr>
          <w:rPr>
            <w:rStyle w:val="PremennHTML"/>
            <w:rFonts w:ascii="Cambria Math" w:hAnsi="Cambria Math" w:cs="Times New Roman"/>
            <w:sz w:val="24"/>
            <w:szCs w:val="24"/>
          </w:rPr>
          <m:t xml:space="preserve"> </m:t>
        </m:r>
      </m:oMath>
      <w:r w:rsidRPr="004D4593">
        <w:rPr>
          <w:rFonts w:ascii="Times New Roman" w:hAnsi="Times New Roman" w:cs="Times New Roman"/>
          <w:sz w:val="24"/>
          <w:szCs w:val="24"/>
          <w:shd w:val="clear" w:color="auto" w:fill="FFFFFF"/>
        </w:rPr>
        <w:t xml:space="preserve"> </w:t>
      </w:r>
    </w:p>
    <w:p w:rsidR="000B5A21" w:rsidRPr="004D4593" w:rsidRDefault="000B5A21" w:rsidP="000B5A21">
      <w:pPr>
        <w:spacing w:after="0" w:line="240" w:lineRule="auto"/>
        <w:ind w:firstLine="993"/>
        <w:jc w:val="both"/>
        <w:rPr>
          <w:rFonts w:ascii="Times New Roman" w:hAnsi="Times New Roman" w:cs="Times New Roman"/>
          <w:sz w:val="24"/>
          <w:szCs w:val="24"/>
        </w:rPr>
      </w:pPr>
    </w:p>
    <w:p w:rsidR="000B5A21" w:rsidRPr="004D4593" w:rsidRDefault="000B5A21" w:rsidP="000B5A21">
      <w:pPr>
        <w:spacing w:after="0" w:line="240" w:lineRule="auto"/>
        <w:ind w:firstLine="993"/>
        <w:jc w:val="both"/>
        <w:rPr>
          <w:rFonts w:ascii="Times New Roman" w:hAnsi="Times New Roman" w:cs="Times New Roman"/>
          <w:sz w:val="24"/>
          <w:szCs w:val="24"/>
        </w:rPr>
      </w:pPr>
      <w:r w:rsidRPr="004D4593">
        <w:rPr>
          <w:rFonts w:ascii="Times New Roman" w:hAnsi="Times New Roman" w:cs="Times New Roman"/>
          <w:sz w:val="24"/>
          <w:szCs w:val="24"/>
        </w:rPr>
        <w:t>kde</w:t>
      </w:r>
    </w:p>
    <w:p w:rsidR="000B5A21" w:rsidRPr="004D4593" w:rsidRDefault="000B5A21" w:rsidP="000B5A21">
      <w:pPr>
        <w:spacing w:after="0" w:line="240" w:lineRule="auto"/>
        <w:ind w:left="426" w:firstLine="993"/>
        <w:jc w:val="both"/>
        <w:rPr>
          <w:rFonts w:ascii="Times New Roman" w:hAnsi="Times New Roman" w:cs="Times New Roman"/>
          <w:sz w:val="24"/>
          <w:szCs w:val="24"/>
          <w:shd w:val="clear" w:color="auto" w:fill="FFFFFF"/>
        </w:rPr>
      </w:pPr>
      <w:r w:rsidRPr="004D4593">
        <w:rPr>
          <w:rFonts w:ascii="Times New Roman" w:hAnsi="Times New Roman" w:cs="Times New Roman"/>
          <w:sz w:val="24"/>
          <w:szCs w:val="24"/>
        </w:rPr>
        <w:t>NVDV je neupravený všeobecný dôchodkový vek určený v rokoch zaokrúhlený</w:t>
      </w:r>
      <w:r>
        <w:rPr>
          <w:rFonts w:ascii="Times New Roman" w:hAnsi="Times New Roman" w:cs="Times New Roman"/>
          <w:sz w:val="24"/>
          <w:szCs w:val="24"/>
        </w:rPr>
        <w:t xml:space="preserve"> </w:t>
      </w:r>
      <w:r w:rsidRPr="004D4593">
        <w:rPr>
          <w:rFonts w:ascii="Times New Roman" w:hAnsi="Times New Roman" w:cs="Times New Roman"/>
          <w:sz w:val="24"/>
          <w:szCs w:val="24"/>
          <w:shd w:val="clear" w:color="auto" w:fill="FFFFFF"/>
        </w:rPr>
        <w:t xml:space="preserve">na štyri desatinné miesta; </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t xml:space="preserve">ročník </w:t>
      </w:r>
      <w:r w:rsidRPr="004D4593">
        <w:rPr>
          <w:rFonts w:ascii="Times New Roman" w:hAnsi="Times New Roman" w:cs="Times New Roman"/>
          <w:sz w:val="24"/>
          <w:szCs w:val="24"/>
        </w:rPr>
        <w:tab/>
        <w:t>je príslušný ročník, pre ktorý sa určuje neupravený všeobecný dôchodkový vek,</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t xml:space="preserve">SDŽ </w:t>
      </w:r>
      <w:r w:rsidRPr="004D4593">
        <w:rPr>
          <w:rFonts w:ascii="Times New Roman" w:hAnsi="Times New Roman" w:cs="Times New Roman"/>
          <w:sz w:val="24"/>
          <w:szCs w:val="24"/>
        </w:rPr>
        <w:tab/>
        <w:t>je stredná dĺžka života v kalendárnom roku a</w:t>
      </w:r>
      <w:r w:rsidRPr="004D4593">
        <w:rPr>
          <w:rFonts w:ascii="Times New Roman" w:hAnsi="Times New Roman" w:cs="Times New Roman"/>
          <w:sz w:val="24"/>
          <w:szCs w:val="24"/>
          <w:shd w:val="clear" w:color="auto" w:fill="FFFFFF"/>
        </w:rPr>
        <w:t xml:space="preserve"> v referenčnom veku, vykázaná štatistickým úradom, spoločná pre mužov a ženy</w:t>
      </w:r>
      <w:r w:rsidRPr="004D4593">
        <w:rPr>
          <w:rFonts w:ascii="Times New Roman" w:hAnsi="Times New Roman" w:cs="Times New Roman"/>
          <w:sz w:val="24"/>
          <w:szCs w:val="24"/>
        </w:rPr>
        <w:t>,</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t xml:space="preserve">r  </w:t>
      </w:r>
      <w:r w:rsidRPr="004D4593">
        <w:rPr>
          <w:rFonts w:ascii="Times New Roman" w:hAnsi="Times New Roman" w:cs="Times New Roman"/>
          <w:sz w:val="24"/>
          <w:szCs w:val="24"/>
        </w:rPr>
        <w:tab/>
        <w:t xml:space="preserve">je kalendárny </w:t>
      </w:r>
      <w:r w:rsidRPr="004D4593">
        <w:rPr>
          <w:rFonts w:ascii="Times New Roman" w:hAnsi="Times New Roman" w:cs="Times New Roman"/>
          <w:sz w:val="24"/>
          <w:szCs w:val="24"/>
          <w:shd w:val="clear" w:color="auto" w:fill="FFFFFF"/>
        </w:rPr>
        <w:t>rok, v ktorom sa ustanovuje neupravený všeobecný dôchodkový vek pre príslušný ročník opatrením podľa § 65 ods. 8</w:t>
      </w:r>
      <w:r w:rsidRPr="004D4593">
        <w:rPr>
          <w:rFonts w:ascii="Times New Roman" w:hAnsi="Times New Roman" w:cs="Times New Roman"/>
          <w:sz w:val="24"/>
          <w:szCs w:val="24"/>
        </w:rPr>
        <w:t xml:space="preserve">, </w:t>
      </w:r>
      <w:r>
        <w:rPr>
          <w:rFonts w:ascii="Times New Roman" w:hAnsi="Times New Roman" w:cs="Times New Roman"/>
          <w:sz w:val="24"/>
          <w:szCs w:val="24"/>
        </w:rPr>
        <w:t xml:space="preserve">v kalendárnom roku sa ustanovuje neupravený dôchodkový vek len pre jeden ročník, </w:t>
      </w:r>
    </w:p>
    <w:p w:rsidR="000B5A21" w:rsidRDefault="000B5A21" w:rsidP="000B5A21">
      <w:pPr>
        <w:spacing w:after="0" w:line="240" w:lineRule="auto"/>
        <w:ind w:left="426" w:firstLine="993"/>
        <w:jc w:val="both"/>
        <w:rPr>
          <w:rFonts w:ascii="Times New Roman" w:hAnsi="Times New Roman" w:cs="Times New Roman"/>
          <w:sz w:val="24"/>
          <w:szCs w:val="24"/>
          <w:shd w:val="clear" w:color="auto" w:fill="FFFFFF"/>
        </w:rPr>
      </w:pPr>
      <w:r w:rsidRPr="004D4593">
        <w:rPr>
          <w:rFonts w:ascii="Times New Roman" w:hAnsi="Times New Roman" w:cs="Times New Roman"/>
          <w:sz w:val="24"/>
          <w:szCs w:val="24"/>
        </w:rPr>
        <w:t xml:space="preserve">rv  </w:t>
      </w:r>
      <w:r w:rsidRPr="004D4593">
        <w:rPr>
          <w:rFonts w:ascii="Times New Roman" w:hAnsi="Times New Roman" w:cs="Times New Roman"/>
          <w:sz w:val="24"/>
          <w:szCs w:val="24"/>
        </w:rPr>
        <w:tab/>
        <w:t>je referenčný vek, ktorý</w:t>
      </w:r>
      <w:r>
        <w:rPr>
          <w:rFonts w:ascii="Times New Roman" w:hAnsi="Times New Roman" w:cs="Times New Roman"/>
          <w:sz w:val="24"/>
          <w:szCs w:val="24"/>
        </w:rPr>
        <w:t xml:space="preserve"> </w:t>
      </w:r>
      <w:r w:rsidRPr="004D4593">
        <w:rPr>
          <w:rFonts w:ascii="Times New Roman" w:hAnsi="Times New Roman" w:cs="Times New Roman"/>
          <w:sz w:val="24"/>
          <w:szCs w:val="24"/>
        </w:rPr>
        <w:t xml:space="preserve">je neupravený všeobecný </w:t>
      </w:r>
      <w:r w:rsidRPr="004D4593">
        <w:rPr>
          <w:rFonts w:ascii="Times New Roman" w:hAnsi="Times New Roman" w:cs="Times New Roman"/>
          <w:sz w:val="24"/>
          <w:szCs w:val="24"/>
          <w:shd w:val="clear" w:color="auto" w:fill="FFFFFF"/>
        </w:rPr>
        <w:t>dôchodkový vek osôb narodených v</w:t>
      </w:r>
      <w:r>
        <w:rPr>
          <w:rFonts w:ascii="Times New Roman" w:hAnsi="Times New Roman" w:cs="Times New Roman"/>
          <w:sz w:val="24"/>
          <w:szCs w:val="24"/>
          <w:shd w:val="clear" w:color="auto" w:fill="FFFFFF"/>
        </w:rPr>
        <w:t xml:space="preserve"> kalendárnom </w:t>
      </w:r>
      <w:r w:rsidRPr="004D4593">
        <w:rPr>
          <w:rFonts w:ascii="Times New Roman" w:hAnsi="Times New Roman" w:cs="Times New Roman"/>
          <w:sz w:val="24"/>
          <w:szCs w:val="24"/>
          <w:shd w:val="clear" w:color="auto" w:fill="FFFFFF"/>
        </w:rPr>
        <w:t>roku, ktorý bezprostredne predchádza príslušnému ročníku, zaokrúhlený na celé roky nadol.</w:t>
      </w:r>
    </w:p>
    <w:p w:rsidR="008B1817" w:rsidRPr="000B48B1" w:rsidRDefault="008B1817" w:rsidP="008B1817">
      <w:pPr>
        <w:pStyle w:val="Odsekzoznamu"/>
        <w:spacing w:after="0"/>
        <w:ind w:left="1713"/>
        <w:jc w:val="both"/>
        <w:rPr>
          <w:rFonts w:ascii="Times New Roman" w:hAnsi="Times New Roman"/>
        </w:rPr>
      </w:pPr>
    </w:p>
    <w:p w:rsidR="006C5856" w:rsidRDefault="006C5856" w:rsidP="008B1817">
      <w:pPr>
        <w:spacing w:after="0"/>
        <w:rPr>
          <w:rFonts w:ascii="Times New Roman" w:hAnsi="Times New Roman"/>
        </w:rPr>
      </w:pPr>
    </w:p>
    <w:p w:rsidR="008B1817" w:rsidRPr="006C6991" w:rsidRDefault="008B1817" w:rsidP="008B1817">
      <w:pPr>
        <w:spacing w:after="0"/>
        <w:rPr>
          <w:rFonts w:ascii="Times New Roman" w:hAnsi="Times New Roman"/>
        </w:rPr>
      </w:pPr>
      <w:r w:rsidRPr="006C6991">
        <w:rPr>
          <w:rFonts w:ascii="Times New Roman" w:hAnsi="Times New Roman"/>
        </w:rPr>
        <w:t>Ďalšie predpoklady použité v</w:t>
      </w:r>
      <w:r>
        <w:rPr>
          <w:rFonts w:ascii="Times New Roman" w:hAnsi="Times New Roman"/>
        </w:rPr>
        <w:t> </w:t>
      </w:r>
      <w:r w:rsidRPr="006C6991">
        <w:rPr>
          <w:rFonts w:ascii="Times New Roman" w:hAnsi="Times New Roman"/>
        </w:rPr>
        <w:t>prognóze</w:t>
      </w:r>
      <w:r>
        <w:rPr>
          <w:rFonts w:ascii="Times New Roman" w:hAnsi="Times New Roman"/>
        </w:rPr>
        <w:t xml:space="preserve"> výdavkov</w:t>
      </w:r>
      <w:r w:rsidRPr="006C6991">
        <w:rPr>
          <w:rFonts w:ascii="Times New Roman" w:hAnsi="Times New Roman"/>
        </w:rPr>
        <w:t xml:space="preserve">: </w:t>
      </w:r>
    </w:p>
    <w:p w:rsidR="008B1817" w:rsidRPr="006C6991"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lastRenderedPageBreak/>
        <w:t xml:space="preserve">Prvý ročník, ktorému sa začne upravovať dôchodkový vek podľa vzorca vyššie, je ročník osôb narodených v roku 1967, t. j jedná sa o osoby, ktoré v zásade začnú dochádzať do dôchodku až po roku 2030, kedy sa začne prejavovať aj pozitívny </w:t>
      </w:r>
      <w:r w:rsidR="000B5A21">
        <w:rPr>
          <w:rFonts w:ascii="Times New Roman" w:hAnsi="Times New Roman" w:cs="Times New Roman"/>
        </w:rPr>
        <w:t xml:space="preserve">finančný </w:t>
      </w:r>
      <w:r>
        <w:rPr>
          <w:rFonts w:ascii="Times New Roman" w:hAnsi="Times New Roman" w:cs="Times New Roman"/>
        </w:rPr>
        <w:t>vplyv na rozpočet verejnej správy.</w:t>
      </w:r>
      <w:r w:rsidRPr="006C6991">
        <w:rPr>
          <w:rFonts w:ascii="Times New Roman" w:hAnsi="Times New Roman" w:cs="Times New Roman"/>
        </w:rPr>
        <w:t xml:space="preserve"> </w:t>
      </w:r>
    </w:p>
    <w:p w:rsidR="008B1817"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t>Tzv. všeobecný d</w:t>
      </w:r>
      <w:r w:rsidRPr="006C6991">
        <w:rPr>
          <w:rFonts w:ascii="Times New Roman" w:hAnsi="Times New Roman" w:cs="Times New Roman"/>
        </w:rPr>
        <w:t xml:space="preserve">ôchodkový vek sa </w:t>
      </w:r>
      <w:r>
        <w:rPr>
          <w:rFonts w:ascii="Times New Roman" w:hAnsi="Times New Roman" w:cs="Times New Roman"/>
        </w:rPr>
        <w:t>bude znižovať v závislosti od počtu vychovaných detí, rovnako ako je tomu dnes, t. j. o 6, 12 alebo 18 mesiacov.</w:t>
      </w:r>
    </w:p>
    <w:p w:rsidR="008B1817"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t>MPSVR SR vydá opatrenie, ktorým určí dôchodkový vek pre osoby narodené v roku 1967 v roku 2026.</w:t>
      </w:r>
    </w:p>
    <w:p w:rsidR="008B1817" w:rsidRPr="00403BBB" w:rsidRDefault="008B1817" w:rsidP="008B1817">
      <w:pPr>
        <w:spacing w:after="0"/>
        <w:rPr>
          <w:rFonts w:ascii="Times New Roman" w:hAnsi="Times New Roman" w:cs="Times New Roman"/>
        </w:rPr>
      </w:pPr>
    </w:p>
    <w:p w:rsidR="008B1817" w:rsidRPr="006C6991" w:rsidRDefault="008B1817" w:rsidP="008B1817">
      <w:pPr>
        <w:pStyle w:val="Nadpis3"/>
        <w:spacing w:before="0"/>
        <w:jc w:val="both"/>
        <w:rPr>
          <w:rFonts w:ascii="Times New Roman" w:hAnsi="Times New Roman" w:cs="Times New Roman"/>
          <w:color w:val="auto"/>
          <w:sz w:val="22"/>
          <w:szCs w:val="22"/>
        </w:rPr>
      </w:pPr>
      <w:r w:rsidRPr="003179A9">
        <w:rPr>
          <w:rFonts w:ascii="Times New Roman" w:hAnsi="Times New Roman" w:cs="Times New Roman"/>
          <w:b/>
          <w:color w:val="auto"/>
          <w:sz w:val="22"/>
          <w:szCs w:val="22"/>
        </w:rPr>
        <w:t>Tabuľka 4A</w:t>
      </w:r>
      <w:r w:rsidRPr="006C6991">
        <w:rPr>
          <w:rFonts w:ascii="Times New Roman" w:hAnsi="Times New Roman" w:cs="Times New Roman"/>
          <w:color w:val="auto"/>
          <w:sz w:val="22"/>
          <w:szCs w:val="22"/>
        </w:rPr>
        <w:t xml:space="preserve">: Vplyv naviazania dôchodkového veku na strednú dĺžku života na výdavky dôchodkového systému </w:t>
      </w: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8B1817" w:rsidRPr="006C6991" w:rsidTr="008B1817">
        <w:trPr>
          <w:trHeight w:val="300"/>
          <w:jc w:val="center"/>
        </w:trPr>
        <w:tc>
          <w:tcPr>
            <w:tcW w:w="1560" w:type="dxa"/>
            <w:noWrap/>
            <w:hideMark/>
          </w:tcPr>
          <w:p w:rsidR="008B1817" w:rsidRPr="00CA3860" w:rsidRDefault="008B1817" w:rsidP="008B1817">
            <w:pPr>
              <w:spacing w:after="0" w:line="240" w:lineRule="auto"/>
              <w:rPr>
                <w:rFonts w:ascii="Times New Roman" w:hAnsi="Times New Roman"/>
                <w:color w:val="000000"/>
                <w:sz w:val="20"/>
                <w:szCs w:val="20"/>
                <w:lang w:eastAsia="sk-SK"/>
              </w:rPr>
            </w:pPr>
            <w:r w:rsidRPr="00CA3860">
              <w:rPr>
                <w:rFonts w:ascii="Times New Roman" w:hAnsi="Times New Roman"/>
                <w:color w:val="000000"/>
                <w:sz w:val="20"/>
                <w:szCs w:val="20"/>
                <w:lang w:eastAsia="sk-SK"/>
              </w:rPr>
              <w:t> </w:t>
            </w:r>
          </w:p>
        </w:tc>
        <w:tc>
          <w:tcPr>
            <w:tcW w:w="616"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2023</w:t>
            </w:r>
          </w:p>
        </w:tc>
        <w:tc>
          <w:tcPr>
            <w:tcW w:w="616"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2024</w:t>
            </w:r>
          </w:p>
        </w:tc>
        <w:tc>
          <w:tcPr>
            <w:tcW w:w="616"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2025</w:t>
            </w:r>
          </w:p>
        </w:tc>
        <w:tc>
          <w:tcPr>
            <w:tcW w:w="670"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2030</w:t>
            </w:r>
          </w:p>
        </w:tc>
        <w:tc>
          <w:tcPr>
            <w:tcW w:w="670"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2035</w:t>
            </w:r>
          </w:p>
        </w:tc>
        <w:tc>
          <w:tcPr>
            <w:tcW w:w="670"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2040</w:t>
            </w:r>
          </w:p>
        </w:tc>
        <w:tc>
          <w:tcPr>
            <w:tcW w:w="670"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2045</w:t>
            </w:r>
          </w:p>
        </w:tc>
        <w:tc>
          <w:tcPr>
            <w:tcW w:w="670" w:type="dxa"/>
            <w:noWrap/>
            <w:hideMark/>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2050</w:t>
            </w:r>
          </w:p>
        </w:tc>
        <w:tc>
          <w:tcPr>
            <w:tcW w:w="616" w:type="dxa"/>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2055</w:t>
            </w:r>
          </w:p>
        </w:tc>
        <w:tc>
          <w:tcPr>
            <w:tcW w:w="616" w:type="dxa"/>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2060</w:t>
            </w:r>
          </w:p>
        </w:tc>
        <w:tc>
          <w:tcPr>
            <w:tcW w:w="616" w:type="dxa"/>
          </w:tcPr>
          <w:p w:rsidR="008B1817" w:rsidRPr="00FF2F56" w:rsidRDefault="008B1817" w:rsidP="008B1817">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2065</w:t>
            </w:r>
          </w:p>
        </w:tc>
        <w:tc>
          <w:tcPr>
            <w:tcW w:w="616" w:type="dxa"/>
          </w:tcPr>
          <w:p w:rsidR="008B1817" w:rsidRPr="00FF2F56" w:rsidRDefault="008B1817" w:rsidP="008B1817">
            <w:pPr>
              <w:spacing w:after="0" w:line="240" w:lineRule="auto"/>
              <w:rPr>
                <w:rFonts w:ascii="Times New Roman" w:hAnsi="Times New Roman"/>
                <w:color w:val="000000"/>
                <w:sz w:val="20"/>
                <w:szCs w:val="20"/>
                <w:lang w:eastAsia="sk-SK"/>
              </w:rPr>
            </w:pPr>
            <w:r w:rsidRPr="00FF2F56">
              <w:rPr>
                <w:rFonts w:ascii="Times New Roman" w:hAnsi="Times New Roman"/>
                <w:color w:val="000000"/>
                <w:sz w:val="20"/>
                <w:szCs w:val="20"/>
                <w:lang w:eastAsia="sk-SK"/>
              </w:rPr>
              <w:t>2070</w:t>
            </w:r>
          </w:p>
        </w:tc>
      </w:tr>
      <w:tr w:rsidR="008B1817" w:rsidRPr="006C6991" w:rsidTr="008B1817">
        <w:trPr>
          <w:trHeight w:val="300"/>
          <w:jc w:val="center"/>
        </w:trPr>
        <w:tc>
          <w:tcPr>
            <w:tcW w:w="1560" w:type="dxa"/>
            <w:noWrap/>
            <w:vAlign w:val="bottom"/>
            <w:hideMark/>
          </w:tcPr>
          <w:p w:rsidR="008B1817" w:rsidRPr="00403BBB" w:rsidRDefault="008B1817" w:rsidP="008B1817">
            <w:pPr>
              <w:spacing w:after="0" w:line="240" w:lineRule="auto"/>
              <w:jc w:val="center"/>
              <w:rPr>
                <w:rFonts w:ascii="Times New Roman" w:hAnsi="Times New Roman" w:cs="Times New Roman"/>
                <w:bCs/>
                <w:color w:val="000000"/>
                <w:sz w:val="20"/>
                <w:szCs w:val="20"/>
                <w:lang w:eastAsia="sk-SK"/>
              </w:rPr>
            </w:pPr>
            <w:r w:rsidRPr="00403BBB">
              <w:rPr>
                <w:rFonts w:ascii="Times New Roman" w:hAnsi="Times New Roman" w:cs="Times New Roman"/>
                <w:bCs/>
                <w:color w:val="000000"/>
                <w:sz w:val="20"/>
                <w:szCs w:val="20"/>
                <w:lang w:eastAsia="sk-SK"/>
              </w:rPr>
              <w:t>Vplyv na bilanciu v p. b. HDP</w:t>
            </w:r>
          </w:p>
        </w:tc>
        <w:tc>
          <w:tcPr>
            <w:tcW w:w="616"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0,0</w:t>
            </w:r>
          </w:p>
        </w:tc>
        <w:tc>
          <w:tcPr>
            <w:tcW w:w="616"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0,0</w:t>
            </w:r>
          </w:p>
        </w:tc>
        <w:tc>
          <w:tcPr>
            <w:tcW w:w="616"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0,0</w:t>
            </w:r>
          </w:p>
        </w:tc>
        <w:tc>
          <w:tcPr>
            <w:tcW w:w="670"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0,0</w:t>
            </w:r>
          </w:p>
        </w:tc>
        <w:tc>
          <w:tcPr>
            <w:tcW w:w="670"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-0,3</w:t>
            </w:r>
          </w:p>
        </w:tc>
        <w:tc>
          <w:tcPr>
            <w:tcW w:w="670"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-0,8</w:t>
            </w:r>
          </w:p>
        </w:tc>
        <w:tc>
          <w:tcPr>
            <w:tcW w:w="670"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-1,1</w:t>
            </w:r>
          </w:p>
        </w:tc>
        <w:tc>
          <w:tcPr>
            <w:tcW w:w="670" w:type="dxa"/>
            <w:noWrap/>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-1,5</w:t>
            </w:r>
          </w:p>
        </w:tc>
        <w:tc>
          <w:tcPr>
            <w:tcW w:w="616" w:type="dxa"/>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-1,8</w:t>
            </w:r>
          </w:p>
        </w:tc>
        <w:tc>
          <w:tcPr>
            <w:tcW w:w="616" w:type="dxa"/>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-1,9</w:t>
            </w:r>
          </w:p>
        </w:tc>
        <w:tc>
          <w:tcPr>
            <w:tcW w:w="616" w:type="dxa"/>
            <w:vAlign w:val="center"/>
          </w:tcPr>
          <w:p w:rsidR="008B1817" w:rsidRPr="00403BBB" w:rsidRDefault="008B1817" w:rsidP="008B1817">
            <w:pPr>
              <w:spacing w:after="0" w:line="240" w:lineRule="auto"/>
              <w:jc w:val="right"/>
              <w:rPr>
                <w:rFonts w:ascii="Times New Roman" w:hAnsi="Times New Roman" w:cs="Times New Roman"/>
                <w:bCs/>
                <w:color w:val="000000" w:themeColor="text1"/>
                <w:sz w:val="20"/>
                <w:szCs w:val="20"/>
                <w:lang w:eastAsia="sk-SK"/>
              </w:rPr>
            </w:pPr>
            <w:r w:rsidRPr="00403BBB">
              <w:rPr>
                <w:rFonts w:ascii="Times New Roman" w:hAnsi="Times New Roman" w:cs="Times New Roman"/>
                <w:sz w:val="20"/>
                <w:szCs w:val="20"/>
              </w:rPr>
              <w:t>-1,8</w:t>
            </w:r>
          </w:p>
        </w:tc>
        <w:tc>
          <w:tcPr>
            <w:tcW w:w="616" w:type="dxa"/>
            <w:vAlign w:val="center"/>
          </w:tcPr>
          <w:p w:rsidR="008B1817" w:rsidRPr="00403BBB" w:rsidRDefault="008B1817" w:rsidP="008B1817">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-2,0</w:t>
            </w:r>
          </w:p>
        </w:tc>
      </w:tr>
    </w:tbl>
    <w:p w:rsidR="008B1817" w:rsidRPr="00CA3860" w:rsidRDefault="008B1817" w:rsidP="008B1817">
      <w:pPr>
        <w:spacing w:after="0"/>
        <w:rPr>
          <w:rFonts w:ascii="Times New Roman" w:hAnsi="Times New Roman"/>
          <w:sz w:val="20"/>
          <w:szCs w:val="20"/>
        </w:rPr>
      </w:pPr>
      <w:r>
        <w:rPr>
          <w:rFonts w:ascii="Times New Roman" w:hAnsi="Times New Roman"/>
          <w:sz w:val="20"/>
          <w:szCs w:val="20"/>
        </w:rPr>
        <w:t>Zdroj: MPSVR SR</w:t>
      </w:r>
      <w:r w:rsidRPr="00CA3860">
        <w:rPr>
          <w:rFonts w:ascii="Times New Roman" w:hAnsi="Times New Roman"/>
          <w:sz w:val="20"/>
          <w:szCs w:val="20"/>
        </w:rPr>
        <w:t>; (-) záporná hodnota predstavuje úsporu</w:t>
      </w:r>
    </w:p>
    <w:p w:rsidR="008B1817" w:rsidRDefault="008B1817" w:rsidP="00C135B2">
      <w:pPr>
        <w:spacing w:after="0" w:line="240" w:lineRule="auto"/>
        <w:jc w:val="both"/>
        <w:rPr>
          <w:rFonts w:ascii="Times New Roman" w:eastAsia="Times New Roman" w:hAnsi="Times New Roman" w:cs="Times New Roman"/>
          <w:sz w:val="24"/>
          <w:szCs w:val="24"/>
          <w:lang w:eastAsia="sk-SK"/>
        </w:rPr>
      </w:pPr>
    </w:p>
    <w:p w:rsidR="00C135B2" w:rsidRDefault="00C135B2" w:rsidP="00C135B2">
      <w:pPr>
        <w:spacing w:after="0" w:line="240" w:lineRule="auto"/>
        <w:jc w:val="both"/>
        <w:rPr>
          <w:rFonts w:ascii="Times New Roman" w:eastAsia="Times New Roman" w:hAnsi="Times New Roman" w:cs="Times New Roman"/>
          <w:b/>
          <w:bCs/>
          <w:lang w:eastAsia="sk-SK"/>
        </w:rPr>
      </w:pPr>
      <w:r w:rsidRPr="00C135B2">
        <w:rPr>
          <w:rFonts w:ascii="Times New Roman" w:eastAsia="Times New Roman" w:hAnsi="Times New Roman" w:cs="Times New Roman"/>
          <w:b/>
          <w:bCs/>
          <w:lang w:eastAsia="sk-SK"/>
        </w:rPr>
        <w:t>B</w:t>
      </w:r>
      <w:r w:rsidRPr="00481E3B">
        <w:rPr>
          <w:rFonts w:ascii="Times New Roman" w:eastAsia="Times New Roman" w:hAnsi="Times New Roman" w:cs="Times New Roman"/>
          <w:b/>
          <w:bCs/>
          <w:lang w:eastAsia="sk-SK"/>
        </w:rPr>
        <w:t xml:space="preserve">) </w:t>
      </w:r>
      <w:r>
        <w:rPr>
          <w:rFonts w:ascii="Times New Roman" w:eastAsia="Times New Roman" w:hAnsi="Times New Roman" w:cs="Times New Roman"/>
          <w:b/>
          <w:bCs/>
          <w:lang w:eastAsia="sk-SK"/>
        </w:rPr>
        <w:t>O</w:t>
      </w:r>
      <w:r w:rsidRPr="00C135B2">
        <w:rPr>
          <w:rFonts w:ascii="Times New Roman" w:eastAsia="Times New Roman" w:hAnsi="Times New Roman" w:cs="Times New Roman"/>
          <w:b/>
          <w:bCs/>
          <w:lang w:eastAsia="sk-SK"/>
        </w:rPr>
        <w:t>dchod do dôchodku za 40 odpracovaných rokov</w:t>
      </w:r>
    </w:p>
    <w:p w:rsidR="00C135B2" w:rsidRDefault="00C135B2" w:rsidP="00C135B2">
      <w:pPr>
        <w:spacing w:after="0" w:line="240" w:lineRule="auto"/>
        <w:jc w:val="both"/>
        <w:rPr>
          <w:rFonts w:ascii="Times New Roman" w:eastAsia="Times New Roman" w:hAnsi="Times New Roman" w:cs="Times New Roman"/>
          <w:b/>
          <w:sz w:val="24"/>
          <w:szCs w:val="24"/>
          <w:lang w:eastAsia="sk-SK"/>
        </w:rPr>
      </w:pPr>
    </w:p>
    <w:p w:rsidR="00C135B2" w:rsidRDefault="00C135B2" w:rsidP="005C5C14">
      <w:pPr>
        <w:spacing w:after="0" w:line="264" w:lineRule="auto"/>
        <w:ind w:firstLine="709"/>
        <w:jc w:val="both"/>
        <w:rPr>
          <w:rFonts w:ascii="Times New Roman" w:hAnsi="Times New Roman"/>
        </w:rPr>
      </w:pPr>
      <w:r w:rsidRPr="00A86166">
        <w:rPr>
          <w:rFonts w:ascii="Times New Roman" w:hAnsi="Times New Roman"/>
        </w:rPr>
        <w:t>V tomto prípade možno predpokladať časový posun v realizovaných výdavkoch, pričom ale v dôsledku princípu aktuárnej neut</w:t>
      </w:r>
      <w:r>
        <w:rPr>
          <w:rFonts w:ascii="Times New Roman" w:hAnsi="Times New Roman"/>
        </w:rPr>
        <w:t xml:space="preserve">rality nebude mať uvedené opatrenie </w:t>
      </w:r>
      <w:r w:rsidRPr="00A86166">
        <w:rPr>
          <w:rFonts w:ascii="Times New Roman" w:hAnsi="Times New Roman"/>
        </w:rPr>
        <w:t>vplyv na celkový objem výdavkov na dôchodky a dlhodobú udržateľnosť dôchodkového systému.</w:t>
      </w:r>
      <w:r>
        <w:rPr>
          <w:rFonts w:ascii="Times New Roman" w:hAnsi="Times New Roman"/>
        </w:rPr>
        <w:t xml:space="preserve"> V rámci časového posunu realizovaných výdavkov predpokladáme v roku 2023 skorší </w:t>
      </w:r>
      <w:r w:rsidR="00DF2A1E">
        <w:rPr>
          <w:rFonts w:ascii="Times New Roman" w:hAnsi="Times New Roman"/>
        </w:rPr>
        <w:t>odchod do dôchodku približne 3 3</w:t>
      </w:r>
      <w:r>
        <w:rPr>
          <w:rFonts w:ascii="Times New Roman" w:hAnsi="Times New Roman"/>
        </w:rPr>
        <w:t xml:space="preserve">00 poistencov  a v roku </w:t>
      </w:r>
      <w:r w:rsidR="00DF2A1E">
        <w:rPr>
          <w:rFonts w:ascii="Times New Roman" w:hAnsi="Times New Roman"/>
        </w:rPr>
        <w:t>2024 skorší odchod približne 3 7</w:t>
      </w:r>
      <w:r>
        <w:rPr>
          <w:rFonts w:ascii="Times New Roman" w:hAnsi="Times New Roman"/>
        </w:rPr>
        <w:t>00 poistencov, čo bude znamenať zvýšenie výdavkov Sociálnej poisťovne v roku 2023 o približne 1</w:t>
      </w:r>
      <w:r w:rsidR="00AD0445">
        <w:rPr>
          <w:rFonts w:ascii="Times New Roman" w:hAnsi="Times New Roman"/>
        </w:rPr>
        <w:t>3,1</w:t>
      </w:r>
      <w:r>
        <w:rPr>
          <w:rFonts w:ascii="Times New Roman" w:hAnsi="Times New Roman"/>
        </w:rPr>
        <w:t xml:space="preserve"> mil.</w:t>
      </w:r>
      <w:r w:rsidR="00DF2A1E">
        <w:rPr>
          <w:rFonts w:ascii="Times New Roman" w:hAnsi="Times New Roman"/>
        </w:rPr>
        <w:t xml:space="preserve"> eur a v roku 2024 o približne </w:t>
      </w:r>
      <w:r w:rsidR="00AD0445">
        <w:rPr>
          <w:rFonts w:ascii="Times New Roman" w:hAnsi="Times New Roman"/>
        </w:rPr>
        <w:t>41,6</w:t>
      </w:r>
      <w:r>
        <w:rPr>
          <w:rFonts w:ascii="Times New Roman" w:hAnsi="Times New Roman"/>
        </w:rPr>
        <w:t xml:space="preserve"> mil. eur. </w:t>
      </w:r>
      <w:r w:rsidR="00C95FEE">
        <w:rPr>
          <w:rFonts w:ascii="Times New Roman" w:hAnsi="Times New Roman"/>
        </w:rPr>
        <w:t>S</w:t>
      </w:r>
      <w:r w:rsidR="00821D5F">
        <w:rPr>
          <w:rFonts w:ascii="Times New Roman" w:hAnsi="Times New Roman"/>
        </w:rPr>
        <w:t>um</w:t>
      </w:r>
      <w:r w:rsidR="00AD0445">
        <w:rPr>
          <w:rFonts w:ascii="Times New Roman" w:hAnsi="Times New Roman"/>
        </w:rPr>
        <w:t>u</w:t>
      </w:r>
      <w:r w:rsidR="00821D5F">
        <w:rPr>
          <w:rFonts w:ascii="Times New Roman" w:hAnsi="Times New Roman"/>
        </w:rPr>
        <w:t xml:space="preserve"> starobného dôchodku, za skorší odchod </w:t>
      </w:r>
      <w:r w:rsidR="00AD0445">
        <w:rPr>
          <w:rFonts w:ascii="Times New Roman" w:hAnsi="Times New Roman"/>
        </w:rPr>
        <w:t>sa navrhuje krátiť</w:t>
      </w:r>
      <w:r w:rsidR="00821D5F">
        <w:rPr>
          <w:rFonts w:ascii="Times New Roman" w:hAnsi="Times New Roman"/>
        </w:rPr>
        <w:t xml:space="preserve"> o 0,</w:t>
      </w:r>
      <w:r w:rsidR="00AD0445">
        <w:rPr>
          <w:rFonts w:ascii="Times New Roman" w:hAnsi="Times New Roman"/>
        </w:rPr>
        <w:t>3</w:t>
      </w:r>
      <w:r w:rsidR="00821D5F">
        <w:rPr>
          <w:rFonts w:ascii="Times New Roman" w:hAnsi="Times New Roman"/>
        </w:rPr>
        <w:t xml:space="preserve"> % za každých začatých 30 dní skoršieho poberania dôchodku pred dovŕšením dôchodkového veku</w:t>
      </w:r>
      <w:r w:rsidR="00762E6A">
        <w:rPr>
          <w:rFonts w:ascii="Times New Roman" w:hAnsi="Times New Roman"/>
        </w:rPr>
        <w:t xml:space="preserve">, t. j. </w:t>
      </w:r>
      <w:r w:rsidR="00762E6A" w:rsidRPr="00762E6A">
        <w:rPr>
          <w:rFonts w:ascii="Times New Roman" w:hAnsi="Times New Roman"/>
        </w:rPr>
        <w:t>aby dve osoby s rovnakým POMB, rovnako dlhým obdobím dôchodkového poistenia, ktoré odchádzajú do dôchodku v rovnakom roku, pričom jedna osoba odchádza dňom dovŕšenia dôchodkového veku a druhá osoba odchádza napríklad dva roky pred dovŕšením dôchodkového veku mali vyplatenú približne rovnakú sumu dôchodkov na základe strednej dĺžky života v príslušných vekoch</w:t>
      </w:r>
      <w:r w:rsidR="00762E6A">
        <w:rPr>
          <w:rFonts w:ascii="Times New Roman" w:hAnsi="Times New Roman"/>
        </w:rPr>
        <w:t>.</w:t>
      </w:r>
    </w:p>
    <w:p w:rsidR="009C11D6" w:rsidRDefault="009C11D6" w:rsidP="00C135B2">
      <w:pPr>
        <w:spacing w:after="0" w:line="240" w:lineRule="auto"/>
        <w:jc w:val="both"/>
        <w:rPr>
          <w:rFonts w:ascii="Times New Roman" w:eastAsia="Times New Roman" w:hAnsi="Times New Roman" w:cs="Times New Roman"/>
          <w:b/>
          <w:sz w:val="24"/>
          <w:szCs w:val="24"/>
          <w:lang w:eastAsia="sk-SK"/>
        </w:rPr>
      </w:pPr>
    </w:p>
    <w:p w:rsidR="00B4169F" w:rsidRPr="00B94369" w:rsidRDefault="00B4169F" w:rsidP="00B4169F">
      <w:pPr>
        <w:tabs>
          <w:tab w:val="num" w:pos="1080"/>
        </w:tabs>
        <w:spacing w:after="0" w:line="240" w:lineRule="auto"/>
        <w:jc w:val="both"/>
        <w:rPr>
          <w:rFonts w:ascii="Times New Roman" w:eastAsia="Times New Roman" w:hAnsi="Times New Roman" w:cs="Times New Roman"/>
          <w:b/>
          <w:bCs/>
          <w:szCs w:val="20"/>
          <w:lang w:eastAsia="sk-SK"/>
        </w:rPr>
      </w:pPr>
      <w:r w:rsidRPr="00C77987">
        <w:rPr>
          <w:rFonts w:ascii="Times New Roman" w:eastAsia="Times New Roman" w:hAnsi="Times New Roman" w:cs="Times New Roman"/>
          <w:b/>
          <w:bCs/>
          <w:sz w:val="24"/>
          <w:szCs w:val="20"/>
          <w:lang w:eastAsia="sk-SK"/>
        </w:rPr>
        <w:t xml:space="preserve">C) </w:t>
      </w:r>
      <w:r w:rsidRPr="00B94369">
        <w:rPr>
          <w:rFonts w:ascii="Times New Roman" w:eastAsia="Times New Roman" w:hAnsi="Times New Roman" w:cs="Times New Roman"/>
          <w:b/>
          <w:bCs/>
          <w:szCs w:val="20"/>
          <w:lang w:eastAsia="sk-SK"/>
        </w:rPr>
        <w:t>Asignácia odvodov</w:t>
      </w:r>
      <w:r>
        <w:rPr>
          <w:rFonts w:ascii="Times New Roman" w:eastAsia="Times New Roman" w:hAnsi="Times New Roman" w:cs="Times New Roman"/>
          <w:b/>
          <w:bCs/>
          <w:szCs w:val="20"/>
          <w:lang w:eastAsia="sk-SK"/>
        </w:rPr>
        <w:t xml:space="preserve"> – zavedenie rodičovského dôchodku</w:t>
      </w:r>
      <w:r w:rsidRPr="00B94369">
        <w:rPr>
          <w:rFonts w:ascii="Times New Roman" w:eastAsia="Times New Roman" w:hAnsi="Times New Roman" w:cs="Times New Roman"/>
          <w:b/>
          <w:bCs/>
          <w:szCs w:val="20"/>
          <w:lang w:eastAsia="sk-SK"/>
        </w:rPr>
        <w:t xml:space="preserve"> </w:t>
      </w:r>
    </w:p>
    <w:p w:rsidR="00B4169F" w:rsidRPr="00B94369" w:rsidRDefault="00B4169F" w:rsidP="00B4169F">
      <w:pPr>
        <w:spacing w:after="0" w:line="240" w:lineRule="auto"/>
        <w:ind w:firstLine="708"/>
        <w:jc w:val="both"/>
        <w:rPr>
          <w:rFonts w:ascii="Times New Roman" w:eastAsia="Times New Roman" w:hAnsi="Times New Roman" w:cs="Times New Roman"/>
          <w:szCs w:val="24"/>
          <w:lang w:eastAsia="sk-SK"/>
        </w:rPr>
      </w:pPr>
    </w:p>
    <w:p w:rsidR="00B4169F" w:rsidRPr="00B94369" w:rsidRDefault="00B4169F" w:rsidP="00B4169F">
      <w:pPr>
        <w:spacing w:after="0" w:line="264" w:lineRule="auto"/>
        <w:ind w:firstLine="709"/>
        <w:jc w:val="both"/>
        <w:rPr>
          <w:rFonts w:ascii="Times New Roman" w:hAnsi="Times New Roman"/>
        </w:rPr>
      </w:pPr>
      <w:r w:rsidRPr="00095C72">
        <w:rPr>
          <w:rFonts w:ascii="Times New Roman" w:hAnsi="Times New Roman"/>
          <w:i/>
        </w:rPr>
        <w:t>Uvedené opatrenie predstavuje možnosť detí asignovať rodičom časť svojich odvodov</w:t>
      </w:r>
      <w:r>
        <w:rPr>
          <w:rFonts w:ascii="Times New Roman" w:hAnsi="Times New Roman"/>
        </w:rPr>
        <w:t xml:space="preserve"> prostredníctvom zavedenia rodičovského dôchodku</w:t>
      </w:r>
      <w:r w:rsidRPr="00B94369">
        <w:rPr>
          <w:rFonts w:ascii="Times New Roman" w:hAnsi="Times New Roman"/>
        </w:rPr>
        <w:t>. V prípade, že by deti prispievali každému rodičovi sumou zodpovedajúcou 2,5 % vymeriavacieho základu na starobné  poistenie spred dvoch rokov, t. j. ak má poistenec dvoch rodičov poberajúcich starobný dôchodok môže im spolu prispieť sumou zodpovedajúcou 5 % vymeriavacieho základu na starobné poistenie</w:t>
      </w:r>
      <w:r>
        <w:rPr>
          <w:rFonts w:ascii="Times New Roman" w:hAnsi="Times New Roman"/>
        </w:rPr>
        <w:t>.</w:t>
      </w:r>
      <w:r w:rsidRPr="00B94369">
        <w:rPr>
          <w:rFonts w:ascii="Times New Roman" w:hAnsi="Times New Roman"/>
        </w:rPr>
        <w:t xml:space="preserve"> </w:t>
      </w:r>
      <w:r>
        <w:rPr>
          <w:rFonts w:ascii="Times New Roman" w:hAnsi="Times New Roman"/>
        </w:rPr>
        <w:t>V</w:t>
      </w:r>
      <w:r w:rsidRPr="00B94369">
        <w:rPr>
          <w:rFonts w:ascii="Times New Roman" w:hAnsi="Times New Roman"/>
        </w:rPr>
        <w:t xml:space="preserve">ýpadok príjmov Sociálnej poisťovne </w:t>
      </w:r>
      <w:r>
        <w:rPr>
          <w:rFonts w:ascii="Times New Roman" w:hAnsi="Times New Roman"/>
        </w:rPr>
        <w:t>predpokladáme</w:t>
      </w:r>
      <w:r w:rsidRPr="00B94369">
        <w:rPr>
          <w:rFonts w:ascii="Times New Roman" w:hAnsi="Times New Roman"/>
        </w:rPr>
        <w:t xml:space="preserve"> v roku 2023 približne 570,6 mil. eur a v roku 2024 približne 608,0 mil. eur. Na základe údajov Sociálnej poisťovne predpokladáme, že takýmto spôsobom by prispievalo rodičom na dôchodok v roku 2023 približne 1 004 tis. poistencov a v roku 2024 približne 1</w:t>
      </w:r>
      <w:r>
        <w:rPr>
          <w:rFonts w:ascii="Times New Roman" w:hAnsi="Times New Roman"/>
        </w:rPr>
        <w:t xml:space="preserve"> </w:t>
      </w:r>
      <w:r w:rsidRPr="00B94369">
        <w:rPr>
          <w:rFonts w:ascii="Times New Roman" w:hAnsi="Times New Roman"/>
        </w:rPr>
        <w:t xml:space="preserve">014 tis. poistencov. </w:t>
      </w:r>
    </w:p>
    <w:p w:rsidR="00B4169F" w:rsidRDefault="00B4169F" w:rsidP="00B4169F">
      <w:pPr>
        <w:spacing w:after="0" w:line="240" w:lineRule="auto"/>
        <w:jc w:val="both"/>
        <w:rPr>
          <w:rFonts w:ascii="Times New Roman" w:eastAsia="Times New Roman" w:hAnsi="Times New Roman" w:cs="Times New Roman"/>
          <w:sz w:val="24"/>
          <w:szCs w:val="24"/>
          <w:lang w:eastAsia="sk-SK"/>
        </w:rPr>
      </w:pPr>
    </w:p>
    <w:p w:rsidR="00B4169F" w:rsidRPr="00B94369" w:rsidRDefault="00B4169F" w:rsidP="00B4169F">
      <w:pPr>
        <w:pStyle w:val="Nadpis3"/>
        <w:spacing w:before="0"/>
        <w:jc w:val="both"/>
        <w:rPr>
          <w:rFonts w:ascii="Times New Roman" w:hAnsi="Times New Roman" w:cs="Times New Roman"/>
          <w:color w:val="auto"/>
          <w:sz w:val="22"/>
          <w:szCs w:val="22"/>
        </w:rPr>
      </w:pPr>
      <w:r w:rsidRPr="00B94369">
        <w:rPr>
          <w:rFonts w:ascii="Times New Roman" w:hAnsi="Times New Roman" w:cs="Times New Roman"/>
          <w:b/>
          <w:color w:val="auto"/>
          <w:sz w:val="22"/>
          <w:szCs w:val="22"/>
        </w:rPr>
        <w:t xml:space="preserve">Tabuľka </w:t>
      </w:r>
      <w:r>
        <w:rPr>
          <w:rFonts w:ascii="Times New Roman" w:hAnsi="Times New Roman" w:cs="Times New Roman"/>
          <w:b/>
          <w:color w:val="auto"/>
          <w:sz w:val="22"/>
          <w:szCs w:val="22"/>
        </w:rPr>
        <w:t>4</w:t>
      </w:r>
      <w:r w:rsidRPr="00B94369">
        <w:rPr>
          <w:rFonts w:ascii="Times New Roman" w:hAnsi="Times New Roman" w:cs="Times New Roman"/>
          <w:b/>
          <w:color w:val="auto"/>
          <w:sz w:val="22"/>
          <w:szCs w:val="22"/>
        </w:rPr>
        <w:t>B:</w:t>
      </w:r>
      <w:r w:rsidRPr="00B94369">
        <w:rPr>
          <w:rFonts w:ascii="Times New Roman" w:hAnsi="Times New Roman" w:cs="Times New Roman"/>
          <w:color w:val="auto"/>
          <w:sz w:val="22"/>
          <w:szCs w:val="22"/>
        </w:rPr>
        <w:t xml:space="preserve"> Vplyv</w:t>
      </w:r>
      <w:r>
        <w:rPr>
          <w:rFonts w:ascii="Times New Roman" w:hAnsi="Times New Roman" w:cs="Times New Roman"/>
          <w:color w:val="auto"/>
          <w:sz w:val="22"/>
          <w:szCs w:val="22"/>
        </w:rPr>
        <w:t xml:space="preserve"> zavedenia</w:t>
      </w:r>
      <w:r w:rsidRPr="00B94369">
        <w:rPr>
          <w:rFonts w:ascii="Times New Roman" w:hAnsi="Times New Roman" w:cs="Times New Roman"/>
          <w:color w:val="auto"/>
          <w:sz w:val="22"/>
          <w:szCs w:val="22"/>
        </w:rPr>
        <w:t xml:space="preserve"> rodičovského </w:t>
      </w:r>
      <w:r>
        <w:rPr>
          <w:rFonts w:ascii="Times New Roman" w:hAnsi="Times New Roman" w:cs="Times New Roman"/>
          <w:color w:val="auto"/>
          <w:sz w:val="22"/>
          <w:szCs w:val="22"/>
        </w:rPr>
        <w:t>dôchodku</w:t>
      </w:r>
      <w:r w:rsidRPr="00B94369">
        <w:rPr>
          <w:rFonts w:ascii="Times New Roman" w:hAnsi="Times New Roman" w:cs="Times New Roman"/>
          <w:color w:val="auto"/>
          <w:sz w:val="22"/>
          <w:szCs w:val="22"/>
        </w:rPr>
        <w:t xml:space="preserve"> (asignácia) na bilanciu dôchodkového systému v dlhodobom horizonte</w:t>
      </w:r>
    </w:p>
    <w:p w:rsidR="00B4169F" w:rsidRPr="00B94369" w:rsidRDefault="00B4169F" w:rsidP="00B4169F">
      <w:pPr>
        <w:spacing w:after="0"/>
        <w:rPr>
          <w:rFonts w:ascii="Times New Roman" w:hAnsi="Times New Roman"/>
          <w:sz w:val="20"/>
        </w:rPr>
      </w:pPr>
    </w:p>
    <w:tbl>
      <w:tblPr>
        <w:tblStyle w:val="Mriekatabuky"/>
        <w:tblW w:w="9052" w:type="dxa"/>
        <w:jc w:val="center"/>
        <w:tblLook w:val="04A0" w:firstRow="1" w:lastRow="0" w:firstColumn="1" w:lastColumn="0" w:noHBand="0" w:noVBand="1"/>
      </w:tblPr>
      <w:tblGrid>
        <w:gridCol w:w="1561"/>
        <w:gridCol w:w="592"/>
        <w:gridCol w:w="589"/>
        <w:gridCol w:w="589"/>
        <w:gridCol w:w="670"/>
        <w:gridCol w:w="670"/>
        <w:gridCol w:w="670"/>
        <w:gridCol w:w="670"/>
        <w:gridCol w:w="670"/>
        <w:gridCol w:w="619"/>
        <w:gridCol w:w="590"/>
        <w:gridCol w:w="581"/>
        <w:gridCol w:w="581"/>
      </w:tblGrid>
      <w:tr w:rsidR="00B4169F" w:rsidRPr="006C6991" w:rsidTr="00122FB4">
        <w:trPr>
          <w:trHeight w:val="300"/>
          <w:jc w:val="center"/>
        </w:trPr>
        <w:tc>
          <w:tcPr>
            <w:tcW w:w="1561" w:type="dxa"/>
            <w:noWrap/>
            <w:hideMark/>
          </w:tcPr>
          <w:p w:rsidR="00B4169F" w:rsidRPr="00403BBB" w:rsidRDefault="00B4169F" w:rsidP="00122FB4">
            <w:pPr>
              <w:spacing w:after="0" w:line="240" w:lineRule="auto"/>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 </w:t>
            </w:r>
          </w:p>
        </w:tc>
        <w:tc>
          <w:tcPr>
            <w:tcW w:w="592"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2023</w:t>
            </w:r>
          </w:p>
        </w:tc>
        <w:tc>
          <w:tcPr>
            <w:tcW w:w="589"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2024</w:t>
            </w:r>
          </w:p>
        </w:tc>
        <w:tc>
          <w:tcPr>
            <w:tcW w:w="589"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2025</w:t>
            </w:r>
          </w:p>
        </w:tc>
        <w:tc>
          <w:tcPr>
            <w:tcW w:w="670"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2030</w:t>
            </w:r>
          </w:p>
        </w:tc>
        <w:tc>
          <w:tcPr>
            <w:tcW w:w="670"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2035</w:t>
            </w:r>
          </w:p>
        </w:tc>
        <w:tc>
          <w:tcPr>
            <w:tcW w:w="670"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2040</w:t>
            </w:r>
          </w:p>
        </w:tc>
        <w:tc>
          <w:tcPr>
            <w:tcW w:w="670"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2045</w:t>
            </w:r>
          </w:p>
        </w:tc>
        <w:tc>
          <w:tcPr>
            <w:tcW w:w="670" w:type="dxa"/>
            <w:noWrap/>
            <w:hideMark/>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2050</w:t>
            </w:r>
          </w:p>
        </w:tc>
        <w:tc>
          <w:tcPr>
            <w:tcW w:w="619" w:type="dxa"/>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2055</w:t>
            </w:r>
          </w:p>
        </w:tc>
        <w:tc>
          <w:tcPr>
            <w:tcW w:w="590" w:type="dxa"/>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2060</w:t>
            </w:r>
          </w:p>
        </w:tc>
        <w:tc>
          <w:tcPr>
            <w:tcW w:w="581" w:type="dxa"/>
          </w:tcPr>
          <w:p w:rsidR="00B4169F" w:rsidRPr="00403BBB" w:rsidRDefault="00B4169F" w:rsidP="00122FB4">
            <w:pPr>
              <w:spacing w:after="0" w:line="240" w:lineRule="auto"/>
              <w:jc w:val="right"/>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2065</w:t>
            </w:r>
          </w:p>
        </w:tc>
        <w:tc>
          <w:tcPr>
            <w:tcW w:w="581" w:type="dxa"/>
          </w:tcPr>
          <w:p w:rsidR="00B4169F" w:rsidRPr="00403BBB" w:rsidRDefault="00B4169F" w:rsidP="00122FB4">
            <w:pPr>
              <w:spacing w:after="0" w:line="240" w:lineRule="auto"/>
              <w:rPr>
                <w:rFonts w:ascii="Times New Roman" w:hAnsi="Times New Roman" w:cs="Times New Roman"/>
                <w:color w:val="000000"/>
                <w:sz w:val="18"/>
                <w:szCs w:val="18"/>
                <w:lang w:eastAsia="sk-SK"/>
              </w:rPr>
            </w:pPr>
            <w:r w:rsidRPr="00403BBB">
              <w:rPr>
                <w:rFonts w:ascii="Times New Roman" w:hAnsi="Times New Roman" w:cs="Times New Roman"/>
                <w:color w:val="000000"/>
                <w:sz w:val="18"/>
                <w:szCs w:val="18"/>
                <w:lang w:eastAsia="sk-SK"/>
              </w:rPr>
              <w:t>2070</w:t>
            </w:r>
          </w:p>
        </w:tc>
      </w:tr>
      <w:tr w:rsidR="00B4169F" w:rsidRPr="006C6991" w:rsidTr="00122FB4">
        <w:trPr>
          <w:trHeight w:val="300"/>
          <w:jc w:val="center"/>
        </w:trPr>
        <w:tc>
          <w:tcPr>
            <w:tcW w:w="1561" w:type="dxa"/>
            <w:noWrap/>
            <w:vAlign w:val="bottom"/>
            <w:hideMark/>
          </w:tcPr>
          <w:p w:rsidR="00B4169F" w:rsidRPr="00403BBB" w:rsidRDefault="00B4169F" w:rsidP="00122FB4">
            <w:pPr>
              <w:spacing w:after="0" w:line="240" w:lineRule="auto"/>
              <w:jc w:val="center"/>
              <w:rPr>
                <w:rFonts w:ascii="Times New Roman" w:hAnsi="Times New Roman" w:cs="Times New Roman"/>
                <w:bCs/>
                <w:color w:val="000000"/>
                <w:sz w:val="20"/>
                <w:szCs w:val="20"/>
                <w:lang w:eastAsia="sk-SK"/>
              </w:rPr>
            </w:pPr>
            <w:r w:rsidRPr="00403BBB">
              <w:rPr>
                <w:rFonts w:ascii="Times New Roman" w:hAnsi="Times New Roman" w:cs="Times New Roman"/>
                <w:bCs/>
                <w:color w:val="000000"/>
                <w:sz w:val="20"/>
                <w:szCs w:val="20"/>
                <w:lang w:eastAsia="sk-SK"/>
              </w:rPr>
              <w:t>Vplyv na bilanciu v p. b. HDP</w:t>
            </w:r>
          </w:p>
        </w:tc>
        <w:tc>
          <w:tcPr>
            <w:tcW w:w="592"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0,5</w:t>
            </w:r>
          </w:p>
        </w:tc>
        <w:tc>
          <w:tcPr>
            <w:tcW w:w="589"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589"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670"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0,5</w:t>
            </w:r>
          </w:p>
        </w:tc>
        <w:tc>
          <w:tcPr>
            <w:tcW w:w="670"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0,5</w:t>
            </w:r>
          </w:p>
        </w:tc>
        <w:tc>
          <w:tcPr>
            <w:tcW w:w="670"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670"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670" w:type="dxa"/>
            <w:noWrap/>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619" w:type="dxa"/>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590" w:type="dxa"/>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581" w:type="dxa"/>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c>
          <w:tcPr>
            <w:tcW w:w="581" w:type="dxa"/>
            <w:vAlign w:val="center"/>
          </w:tcPr>
          <w:p w:rsidR="00B4169F" w:rsidRPr="00403BBB" w:rsidRDefault="00B4169F" w:rsidP="00122FB4">
            <w:pPr>
              <w:spacing w:after="0" w:line="240" w:lineRule="auto"/>
              <w:jc w:val="right"/>
              <w:rPr>
                <w:rFonts w:ascii="Times New Roman" w:hAnsi="Times New Roman" w:cs="Times New Roman"/>
                <w:color w:val="000000" w:themeColor="text1"/>
                <w:sz w:val="20"/>
                <w:szCs w:val="20"/>
              </w:rPr>
            </w:pPr>
            <w:r w:rsidRPr="00403BBB">
              <w:rPr>
                <w:rFonts w:ascii="Times New Roman" w:hAnsi="Times New Roman" w:cs="Times New Roman"/>
                <w:sz w:val="20"/>
                <w:szCs w:val="20"/>
              </w:rPr>
              <w:t>0,6</w:t>
            </w:r>
          </w:p>
        </w:tc>
      </w:tr>
    </w:tbl>
    <w:p w:rsidR="00B4169F" w:rsidRPr="001D51F8" w:rsidRDefault="00B4169F" w:rsidP="00B4169F">
      <w:pPr>
        <w:spacing w:after="0"/>
        <w:rPr>
          <w:rFonts w:ascii="Times New Roman" w:hAnsi="Times New Roman"/>
          <w:sz w:val="20"/>
          <w:szCs w:val="20"/>
        </w:rPr>
      </w:pPr>
      <w:r w:rsidRPr="001D51F8">
        <w:rPr>
          <w:rFonts w:ascii="Times New Roman" w:hAnsi="Times New Roman"/>
          <w:sz w:val="20"/>
          <w:szCs w:val="20"/>
        </w:rPr>
        <w:t>Zdroj: MPSVR SR; (-) záporná hodnota predstavuje úsporu</w:t>
      </w:r>
    </w:p>
    <w:p w:rsidR="00B4169F" w:rsidRDefault="00B4169F" w:rsidP="00B4169F">
      <w:pPr>
        <w:spacing w:after="0"/>
        <w:rPr>
          <w:rFonts w:ascii="Times New Roman" w:hAnsi="Times New Roman"/>
        </w:rPr>
      </w:pPr>
    </w:p>
    <w:p w:rsidR="00B4169F" w:rsidRPr="006C6991" w:rsidRDefault="00B4169F" w:rsidP="00B4169F">
      <w:pPr>
        <w:spacing w:after="0"/>
        <w:rPr>
          <w:rFonts w:ascii="Times New Roman" w:hAnsi="Times New Roman"/>
        </w:rPr>
      </w:pPr>
      <w:r w:rsidRPr="006C6991">
        <w:rPr>
          <w:rFonts w:ascii="Times New Roman" w:hAnsi="Times New Roman"/>
        </w:rPr>
        <w:lastRenderedPageBreak/>
        <w:t>Predpoklady použité pri kvantifikácii:</w:t>
      </w:r>
    </w:p>
    <w:p w:rsidR="00B4169F" w:rsidRPr="006C6991" w:rsidRDefault="00B4169F" w:rsidP="00B4169F">
      <w:pPr>
        <w:pStyle w:val="Odsekzoznamu"/>
        <w:numPr>
          <w:ilvl w:val="0"/>
          <w:numId w:val="20"/>
        </w:numPr>
        <w:spacing w:after="0"/>
        <w:jc w:val="both"/>
        <w:rPr>
          <w:rFonts w:ascii="Times New Roman" w:hAnsi="Times New Roman" w:cs="Times New Roman"/>
        </w:rPr>
      </w:pPr>
      <w:r w:rsidRPr="006C6991">
        <w:rPr>
          <w:rFonts w:ascii="Times New Roman" w:hAnsi="Times New Roman" w:cs="Times New Roman"/>
        </w:rPr>
        <w:t xml:space="preserve">Nárok na </w:t>
      </w:r>
      <w:r>
        <w:rPr>
          <w:rFonts w:ascii="Times New Roman" w:hAnsi="Times New Roman" w:cs="Times New Roman"/>
        </w:rPr>
        <w:t>rodičovský</w:t>
      </w:r>
      <w:r w:rsidRPr="006C6991">
        <w:rPr>
          <w:rFonts w:ascii="Times New Roman" w:hAnsi="Times New Roman" w:cs="Times New Roman"/>
        </w:rPr>
        <w:t xml:space="preserve"> dôchod</w:t>
      </w:r>
      <w:r>
        <w:rPr>
          <w:rFonts w:ascii="Times New Roman" w:hAnsi="Times New Roman" w:cs="Times New Roman"/>
        </w:rPr>
        <w:t>ok</w:t>
      </w:r>
      <w:r w:rsidRPr="006C6991">
        <w:rPr>
          <w:rFonts w:ascii="Times New Roman" w:hAnsi="Times New Roman" w:cs="Times New Roman"/>
        </w:rPr>
        <w:t xml:space="preserve"> má každý starobný dôchodca a invalidný dôchodca po dovŕšení dôchodkového veku, ktorý má pracujúce dieťa, ktoré platí poistné na </w:t>
      </w:r>
      <w:r>
        <w:rPr>
          <w:rFonts w:ascii="Times New Roman" w:hAnsi="Times New Roman" w:cs="Times New Roman"/>
        </w:rPr>
        <w:t>starobné</w:t>
      </w:r>
      <w:r w:rsidRPr="006C6991">
        <w:rPr>
          <w:rFonts w:ascii="Times New Roman" w:hAnsi="Times New Roman" w:cs="Times New Roman"/>
        </w:rPr>
        <w:t xml:space="preserve"> poistenie (vrátane tzv. poistencov štátu).</w:t>
      </w:r>
    </w:p>
    <w:p w:rsidR="00B4169F" w:rsidRPr="006C6991" w:rsidRDefault="00B4169F" w:rsidP="00B4169F">
      <w:pPr>
        <w:pStyle w:val="Odsekzoznamu"/>
        <w:numPr>
          <w:ilvl w:val="0"/>
          <w:numId w:val="20"/>
        </w:numPr>
        <w:spacing w:after="0"/>
        <w:jc w:val="both"/>
        <w:rPr>
          <w:rFonts w:ascii="Times New Roman" w:hAnsi="Times New Roman" w:cs="Times New Roman"/>
        </w:rPr>
      </w:pPr>
      <w:r>
        <w:rPr>
          <w:rFonts w:ascii="Times New Roman" w:hAnsi="Times New Roman" w:cs="Times New Roman"/>
        </w:rPr>
        <w:t>Rodičovský dôchodok</w:t>
      </w:r>
      <w:r w:rsidRPr="006C6991">
        <w:rPr>
          <w:rFonts w:ascii="Times New Roman" w:hAnsi="Times New Roman" w:cs="Times New Roman"/>
        </w:rPr>
        <w:t xml:space="preserve"> sa predpokladá vo výške 2,5 % vymeriavacieho základu na starobné  poistenie pre každého rodiča. </w:t>
      </w:r>
    </w:p>
    <w:p w:rsidR="00B4169F" w:rsidRPr="002120F0" w:rsidRDefault="00B4169F" w:rsidP="00B4169F">
      <w:pPr>
        <w:pStyle w:val="Odsekzoznamu"/>
        <w:numPr>
          <w:ilvl w:val="0"/>
          <w:numId w:val="20"/>
        </w:numPr>
        <w:spacing w:after="0"/>
        <w:jc w:val="both"/>
        <w:rPr>
          <w:rFonts w:ascii="Times New Roman" w:hAnsi="Times New Roman" w:cs="Times New Roman"/>
          <w:color w:val="595959" w:themeColor="text1" w:themeTint="A6"/>
        </w:rPr>
      </w:pPr>
      <w:r w:rsidRPr="006C6991">
        <w:rPr>
          <w:rFonts w:ascii="Times New Roman" w:hAnsi="Times New Roman" w:cs="Times New Roman"/>
        </w:rPr>
        <w:t>Náklady na asignáciu rastú spolu s rastom priemernej mzdy v hospodárstve, vplyvom vývoja počtu prispievateľov do dôchodkového systému a vplyvov vývoja počtu starobných dôchodcov.</w:t>
      </w:r>
    </w:p>
    <w:p w:rsidR="00B4169F" w:rsidRPr="006C6991" w:rsidRDefault="00B4169F" w:rsidP="00B4169F">
      <w:pPr>
        <w:pStyle w:val="Odsekzoznamu"/>
        <w:numPr>
          <w:ilvl w:val="0"/>
          <w:numId w:val="20"/>
        </w:numPr>
        <w:spacing w:after="0"/>
        <w:jc w:val="both"/>
        <w:rPr>
          <w:rFonts w:ascii="Times New Roman" w:hAnsi="Times New Roman" w:cs="Times New Roman"/>
        </w:rPr>
      </w:pPr>
      <w:r>
        <w:rPr>
          <w:rFonts w:ascii="Times New Roman" w:hAnsi="Times New Roman" w:cs="Times New Roman"/>
        </w:rPr>
        <w:t xml:space="preserve">Predpokladá sa, že možnosť detí asignovať rodičom časť odvodov bude využitá na 100%. </w:t>
      </w:r>
    </w:p>
    <w:p w:rsidR="00B4169F" w:rsidRDefault="00B4169F" w:rsidP="00C135B2">
      <w:pPr>
        <w:spacing w:after="0" w:line="240" w:lineRule="auto"/>
        <w:jc w:val="both"/>
        <w:rPr>
          <w:rFonts w:ascii="Times New Roman" w:eastAsia="Times New Roman" w:hAnsi="Times New Roman" w:cs="Times New Roman"/>
          <w:b/>
          <w:sz w:val="24"/>
          <w:szCs w:val="24"/>
          <w:lang w:eastAsia="sk-SK"/>
        </w:rPr>
      </w:pPr>
    </w:p>
    <w:p w:rsidR="00506756" w:rsidRDefault="00506756" w:rsidP="00C135B2">
      <w:pPr>
        <w:spacing w:after="0" w:line="240" w:lineRule="auto"/>
        <w:jc w:val="both"/>
        <w:rPr>
          <w:rFonts w:ascii="Times New Roman" w:eastAsia="Times New Roman" w:hAnsi="Times New Roman" w:cs="Times New Roman"/>
          <w:b/>
          <w:sz w:val="24"/>
          <w:szCs w:val="24"/>
          <w:lang w:eastAsia="sk-SK"/>
        </w:rPr>
      </w:pPr>
    </w:p>
    <w:p w:rsidR="00C135B2" w:rsidRDefault="00C135B2" w:rsidP="00C135B2">
      <w:pPr>
        <w:spacing w:after="0" w:line="240" w:lineRule="auto"/>
        <w:jc w:val="both"/>
        <w:rPr>
          <w:rFonts w:ascii="Times New Roman" w:eastAsia="Times New Roman" w:hAnsi="Times New Roman" w:cs="Times New Roman"/>
          <w:b/>
          <w:bCs/>
          <w:lang w:eastAsia="sk-SK"/>
        </w:rPr>
      </w:pPr>
      <w:r w:rsidRPr="00C135B2">
        <w:rPr>
          <w:rFonts w:ascii="Times New Roman" w:eastAsia="Times New Roman" w:hAnsi="Times New Roman" w:cs="Times New Roman"/>
          <w:b/>
          <w:bCs/>
          <w:lang w:eastAsia="sk-SK"/>
        </w:rPr>
        <w:t>D</w:t>
      </w:r>
      <w:r>
        <w:rPr>
          <w:rFonts w:ascii="Times New Roman" w:eastAsia="Times New Roman" w:hAnsi="Times New Roman" w:cs="Times New Roman"/>
          <w:b/>
          <w:bCs/>
          <w:lang w:eastAsia="sk-SK"/>
        </w:rPr>
        <w:t>) E</w:t>
      </w:r>
      <w:r w:rsidR="00FE6546">
        <w:rPr>
          <w:rFonts w:ascii="Times New Roman" w:eastAsia="Times New Roman" w:hAnsi="Times New Roman" w:cs="Times New Roman"/>
          <w:b/>
          <w:bCs/>
          <w:lang w:eastAsia="sk-SK"/>
        </w:rPr>
        <w:t>lektronická DPN</w:t>
      </w:r>
    </w:p>
    <w:p w:rsidR="00C135B2" w:rsidRDefault="00C135B2" w:rsidP="00C135B2">
      <w:pPr>
        <w:spacing w:after="0" w:line="240" w:lineRule="auto"/>
        <w:jc w:val="both"/>
        <w:rPr>
          <w:rFonts w:ascii="Times New Roman" w:eastAsia="Times New Roman" w:hAnsi="Times New Roman" w:cs="Times New Roman"/>
          <w:b/>
          <w:bCs/>
          <w:lang w:eastAsia="sk-SK"/>
        </w:rPr>
      </w:pPr>
    </w:p>
    <w:p w:rsidR="00C135B2" w:rsidRPr="00D75B37" w:rsidRDefault="00904E3A" w:rsidP="005C5C14">
      <w:pPr>
        <w:spacing w:after="0" w:line="264" w:lineRule="auto"/>
        <w:ind w:firstLine="709"/>
        <w:jc w:val="both"/>
        <w:rPr>
          <w:rFonts w:ascii="Times New Roman" w:eastAsia="Times New Roman" w:hAnsi="Times New Roman" w:cs="Times New Roman"/>
          <w:bCs/>
          <w:lang w:eastAsia="sk-SK"/>
        </w:rPr>
      </w:pPr>
      <w:r w:rsidRPr="00D75B37">
        <w:rPr>
          <w:rFonts w:ascii="Times New Roman" w:eastAsia="Times New Roman" w:hAnsi="Times New Roman" w:cs="Times New Roman"/>
          <w:lang w:eastAsia="sk-SK"/>
        </w:rPr>
        <w:t>Negatívny vplyv elektr</w:t>
      </w:r>
      <w:r w:rsidR="00FF2F56" w:rsidRPr="00D75B37">
        <w:rPr>
          <w:rFonts w:ascii="Times New Roman" w:eastAsia="Times New Roman" w:hAnsi="Times New Roman" w:cs="Times New Roman"/>
          <w:lang w:eastAsia="sk-SK"/>
        </w:rPr>
        <w:t>on</w:t>
      </w:r>
      <w:r w:rsidRPr="00D75B37">
        <w:rPr>
          <w:rFonts w:ascii="Times New Roman" w:eastAsia="Times New Roman" w:hAnsi="Times New Roman" w:cs="Times New Roman"/>
          <w:lang w:eastAsia="sk-SK"/>
        </w:rPr>
        <w:t xml:space="preserve">ickej </w:t>
      </w:r>
      <w:r w:rsidR="00743E8B" w:rsidRPr="00D75B37">
        <w:rPr>
          <w:rFonts w:ascii="Times New Roman" w:eastAsia="Times New Roman" w:hAnsi="Times New Roman" w:cs="Times New Roman"/>
          <w:lang w:eastAsia="sk-SK"/>
        </w:rPr>
        <w:t>DPN</w:t>
      </w:r>
      <w:r w:rsidRPr="00D75B37">
        <w:rPr>
          <w:rFonts w:ascii="Times New Roman" w:eastAsia="Times New Roman" w:hAnsi="Times New Roman" w:cs="Times New Roman"/>
          <w:lang w:eastAsia="sk-SK"/>
        </w:rPr>
        <w:t xml:space="preserve"> súvisí zo zvýšenými výdavkami orgánov verejnej správy na prevádzkové a kapitálové výdavky ich informačných systémov, ktoré je bližšie popísané v časti (</w:t>
      </w:r>
      <w:r w:rsidR="00D8528A" w:rsidRPr="00D75B37">
        <w:rPr>
          <w:rFonts w:ascii="Times New Roman" w:eastAsia="Times New Roman" w:hAnsi="Times New Roman" w:cs="Times New Roman"/>
          <w:bCs/>
          <w:i/>
          <w:u w:val="single"/>
          <w:lang w:eastAsia="sk-SK"/>
        </w:rPr>
        <w:fldChar w:fldCharType="begin"/>
      </w:r>
      <w:r w:rsidR="00D8528A" w:rsidRPr="00D75B37">
        <w:rPr>
          <w:rFonts w:ascii="Times New Roman" w:eastAsia="Times New Roman" w:hAnsi="Times New Roman" w:cs="Times New Roman"/>
          <w:i/>
          <w:u w:val="single"/>
          <w:lang w:eastAsia="sk-SK"/>
        </w:rPr>
        <w:instrText xml:space="preserve"> REF informacne_systemy \h </w:instrText>
      </w:r>
      <w:r w:rsidR="00D8528A" w:rsidRPr="00D75B37">
        <w:rPr>
          <w:rFonts w:ascii="Times New Roman" w:eastAsia="Times New Roman" w:hAnsi="Times New Roman" w:cs="Times New Roman"/>
          <w:bCs/>
          <w:i/>
          <w:u w:val="single"/>
          <w:lang w:eastAsia="sk-SK"/>
        </w:rPr>
        <w:instrText xml:space="preserve"> \* MERGEFORMAT </w:instrText>
      </w:r>
      <w:r w:rsidR="00D8528A" w:rsidRPr="00D75B37">
        <w:rPr>
          <w:rFonts w:ascii="Times New Roman" w:eastAsia="Times New Roman" w:hAnsi="Times New Roman" w:cs="Times New Roman"/>
          <w:bCs/>
          <w:i/>
          <w:u w:val="single"/>
          <w:lang w:eastAsia="sk-SK"/>
        </w:rPr>
      </w:r>
      <w:r w:rsidR="00D8528A" w:rsidRPr="00D75B37">
        <w:rPr>
          <w:rFonts w:ascii="Times New Roman" w:eastAsia="Times New Roman" w:hAnsi="Times New Roman" w:cs="Times New Roman"/>
          <w:bCs/>
          <w:i/>
          <w:u w:val="single"/>
          <w:lang w:eastAsia="sk-SK"/>
        </w:rPr>
        <w:fldChar w:fldCharType="separate"/>
      </w:r>
      <w:r w:rsidR="00D8528A" w:rsidRPr="00D75B37">
        <w:rPr>
          <w:rFonts w:ascii="Times New Roman" w:eastAsia="Times New Roman" w:hAnsi="Times New Roman" w:cs="Times New Roman"/>
          <w:bCs/>
          <w:i/>
          <w:u w:val="single"/>
          <w:lang w:eastAsia="sk-SK"/>
        </w:rPr>
        <w:t>2.2.3. Predpoklady vývoja objemu aktivít</w:t>
      </w:r>
      <w:r w:rsidR="00D8528A" w:rsidRPr="00D75B37">
        <w:rPr>
          <w:rFonts w:ascii="Times New Roman" w:eastAsia="Times New Roman" w:hAnsi="Times New Roman" w:cs="Times New Roman"/>
          <w:bCs/>
          <w:i/>
          <w:u w:val="single"/>
          <w:lang w:eastAsia="sk-SK"/>
        </w:rPr>
        <w:fldChar w:fldCharType="end"/>
      </w:r>
      <w:r w:rsidR="00D8528A" w:rsidRPr="00481E3B">
        <w:rPr>
          <w:rFonts w:ascii="Times New Roman" w:eastAsia="Times New Roman" w:hAnsi="Times New Roman" w:cs="Times New Roman"/>
          <w:bCs/>
          <w:lang w:eastAsia="sk-SK"/>
        </w:rPr>
        <w:t xml:space="preserve">). </w:t>
      </w:r>
    </w:p>
    <w:p w:rsidR="00904E3A" w:rsidRDefault="00904E3A" w:rsidP="00C135B2">
      <w:pPr>
        <w:spacing w:after="0" w:line="240" w:lineRule="auto"/>
        <w:jc w:val="both"/>
        <w:rPr>
          <w:rFonts w:ascii="Times New Roman" w:eastAsia="Times New Roman" w:hAnsi="Times New Roman" w:cs="Times New Roman"/>
          <w:sz w:val="24"/>
          <w:szCs w:val="24"/>
          <w:lang w:eastAsia="sk-SK"/>
        </w:rPr>
      </w:pPr>
    </w:p>
    <w:p w:rsidR="00F0744A" w:rsidRDefault="00C46133" w:rsidP="00C135B2">
      <w:pPr>
        <w:spacing w:after="0" w:line="240"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E) Č</w:t>
      </w:r>
      <w:r w:rsidR="00F0744A" w:rsidRPr="00F0744A">
        <w:rPr>
          <w:rFonts w:ascii="Times New Roman" w:eastAsia="Times New Roman" w:hAnsi="Times New Roman" w:cs="Times New Roman"/>
          <w:b/>
          <w:bCs/>
          <w:lang w:eastAsia="sk-SK"/>
        </w:rPr>
        <w:t xml:space="preserve">iastkový starobný dôchodok </w:t>
      </w:r>
      <w:r w:rsidR="001230BD">
        <w:rPr>
          <w:rFonts w:ascii="Times New Roman" w:eastAsia="Times New Roman" w:hAnsi="Times New Roman" w:cs="Times New Roman"/>
          <w:b/>
          <w:bCs/>
          <w:lang w:eastAsia="sk-SK"/>
        </w:rPr>
        <w:t xml:space="preserve">tzv. </w:t>
      </w:r>
      <w:r w:rsidR="00F0744A" w:rsidRPr="00F0744A">
        <w:rPr>
          <w:rFonts w:ascii="Times New Roman" w:eastAsia="Times New Roman" w:hAnsi="Times New Roman" w:cs="Times New Roman"/>
          <w:b/>
          <w:bCs/>
          <w:lang w:eastAsia="sk-SK"/>
        </w:rPr>
        <w:t>výsluhových dôchodcov</w:t>
      </w:r>
    </w:p>
    <w:p w:rsidR="00F0744A" w:rsidRDefault="00F0744A" w:rsidP="00C135B2">
      <w:pPr>
        <w:spacing w:after="0" w:line="240" w:lineRule="auto"/>
        <w:jc w:val="both"/>
        <w:rPr>
          <w:rFonts w:ascii="Times New Roman" w:eastAsia="Times New Roman" w:hAnsi="Times New Roman" w:cs="Times New Roman"/>
          <w:b/>
          <w:bCs/>
          <w:lang w:eastAsia="sk-SK"/>
        </w:rPr>
      </w:pPr>
    </w:p>
    <w:p w:rsidR="00012E7D" w:rsidRDefault="00F0744A" w:rsidP="005C5C14">
      <w:pPr>
        <w:spacing w:after="0" w:line="264" w:lineRule="auto"/>
        <w:ind w:firstLine="709"/>
        <w:jc w:val="both"/>
        <w:rPr>
          <w:rFonts w:ascii="Times New Roman" w:hAnsi="Times New Roman" w:cs="Times New Roman"/>
        </w:rPr>
      </w:pPr>
      <w:r w:rsidRPr="004F1825">
        <w:rPr>
          <w:rFonts w:ascii="Times New Roman" w:eastAsia="Times New Roman" w:hAnsi="Times New Roman" w:cs="Times New Roman"/>
          <w:lang w:eastAsia="sk-SK"/>
        </w:rPr>
        <w:t>Navrhovanou právnou úpravou sa zosúlaďuje gramatické znenie normatívneho textu príslušných právnych predpisov s jeho výkladom Najvyšším súdom a s ustálenou justičnou praxou, spôsobom súladným s právnym poriadkom Slovenskej republiky. Judikáty Najvyššieho súdu a ustálená justičná prax vychádzajú zo zásady, že úhrn dôchodkov poistenca, ktorý získal počas svojho ekonomicky aktívneho života v dôchodkovom systéme SR obdobia poistenia vo všeobecnom systéme sociálneho poistenia a v systéme výsluhového zabezpečenia, nesmie byť nižší, ako by bol dôchodok, ktorý by tomuto poistencovi patril, ak by celé obdobie dôchodkového poistenia získal len vo všeobecnom systéme sociálneho poistenia.</w:t>
      </w:r>
      <w:r w:rsidR="004F1825" w:rsidRPr="004F1825">
        <w:rPr>
          <w:rFonts w:ascii="Times New Roman" w:eastAsia="Times New Roman" w:hAnsi="Times New Roman" w:cs="Times New Roman"/>
          <w:lang w:eastAsia="sk-SK"/>
        </w:rPr>
        <w:t xml:space="preserve">  N</w:t>
      </w:r>
      <w:r w:rsidR="004F1825" w:rsidRPr="004F1825">
        <w:rPr>
          <w:rFonts w:ascii="Times New Roman" w:hAnsi="Times New Roman" w:cs="Times New Roman"/>
        </w:rPr>
        <w:t>avrhuje sa preto zosúladenie ustanovenia zákona o sociálnom poistení s judikatúrou Najvyššieho súdu SR, vo veci posudzovania nároku na čiastkový starobný dôchodok poistencov, ktorí získali obdobie výkonu služby policajta a vojaka (ďalej len „obdobie služby“) v rozsahu zakladajúcom nárok na výsluhový dôchodok a ktorý súčasne získal obdobie dôchodkového poistenia vo všeobecnom systéme sociálneho poistenia v dĺžke kratšej ako 10, resp. 15 rokov. Obdobným spôsobom sa navrhuje</w:t>
      </w:r>
      <w:r w:rsidR="00D607D8">
        <w:rPr>
          <w:rFonts w:ascii="Times New Roman" w:hAnsi="Times New Roman" w:cs="Times New Roman"/>
        </w:rPr>
        <w:t xml:space="preserve"> postupovať</w:t>
      </w:r>
      <w:r w:rsidR="004F1825" w:rsidRPr="004F1825">
        <w:rPr>
          <w:rFonts w:ascii="Times New Roman" w:hAnsi="Times New Roman" w:cs="Times New Roman"/>
        </w:rPr>
        <w:t xml:space="preserve"> aj v prípade posudzovania nároku na predčasný starobný dôchodok a invalidný dôchodok</w:t>
      </w:r>
      <w:r w:rsidR="003A5874">
        <w:rPr>
          <w:rFonts w:ascii="Times New Roman" w:hAnsi="Times New Roman" w:cs="Times New Roman"/>
        </w:rPr>
        <w:t>.</w:t>
      </w:r>
      <w:r w:rsidR="00AD0445">
        <w:rPr>
          <w:rFonts w:ascii="Times New Roman" w:hAnsi="Times New Roman" w:cs="Times New Roman"/>
        </w:rPr>
        <w:t xml:space="preserve"> </w:t>
      </w:r>
    </w:p>
    <w:p w:rsidR="004F1825" w:rsidRDefault="00AD0445" w:rsidP="005C5C14">
      <w:pPr>
        <w:spacing w:after="0" w:line="264" w:lineRule="auto"/>
        <w:ind w:firstLine="709"/>
        <w:jc w:val="both"/>
        <w:rPr>
          <w:rFonts w:ascii="Times New Roman" w:hAnsi="Times New Roman" w:cs="Times New Roman"/>
        </w:rPr>
      </w:pPr>
      <w:r>
        <w:rPr>
          <w:rFonts w:ascii="Times New Roman" w:hAnsi="Times New Roman" w:cs="Times New Roman"/>
        </w:rPr>
        <w:t>Vzhľadom na to, že MPSVR SR ani Sociálna poisťovňa nedisponuje údajmi, na základe ktorých by bolo možné spoľahlivo určiť zvýšený počet novopriznaných starobných, predčasných sta</w:t>
      </w:r>
      <w:r w:rsidR="00012E7D">
        <w:rPr>
          <w:rFonts w:ascii="Times New Roman" w:hAnsi="Times New Roman" w:cs="Times New Roman"/>
        </w:rPr>
        <w:t xml:space="preserve">robných a invalidných dôchodkov poistencov, ktorí získali obdobie služby a vzhľadom na to, že cieľom právnej úpravy je predovšetkým precizovanie súčasného právneho stavu, kedy Sociálna poisťovňa už rozhoduje v súlade s judikátom Najvyššieho súdu, </w:t>
      </w:r>
      <w:r w:rsidR="005E0C01">
        <w:rPr>
          <w:rFonts w:ascii="Times New Roman" w:hAnsi="Times New Roman" w:cs="Times New Roman"/>
        </w:rPr>
        <w:t>predpokladáme, že</w:t>
      </w:r>
      <w:r w:rsidR="00012E7D">
        <w:rPr>
          <w:rFonts w:ascii="Times New Roman" w:hAnsi="Times New Roman" w:cs="Times New Roman"/>
        </w:rPr>
        <w:t xml:space="preserve"> zvýšenie výdavkov nad rámec súčasného právneho stavu na výplatu týchto dôchodkov </w:t>
      </w:r>
      <w:r w:rsidR="005E0C01">
        <w:rPr>
          <w:rFonts w:ascii="Times New Roman" w:hAnsi="Times New Roman" w:cs="Times New Roman"/>
        </w:rPr>
        <w:t>bude</w:t>
      </w:r>
      <w:r w:rsidR="00012E7D">
        <w:rPr>
          <w:rFonts w:ascii="Times New Roman" w:hAnsi="Times New Roman" w:cs="Times New Roman"/>
        </w:rPr>
        <w:t xml:space="preserve"> zanedbateľné. </w:t>
      </w:r>
    </w:p>
    <w:p w:rsidR="00590119" w:rsidRDefault="00590119" w:rsidP="004F1825">
      <w:pPr>
        <w:spacing w:after="0" w:line="240" w:lineRule="auto"/>
        <w:ind w:firstLine="708"/>
        <w:jc w:val="both"/>
        <w:rPr>
          <w:rFonts w:ascii="Times New Roman" w:hAnsi="Times New Roman" w:cs="Times New Roman"/>
        </w:rPr>
      </w:pPr>
    </w:p>
    <w:p w:rsidR="00F0744A" w:rsidRDefault="00C46133" w:rsidP="00F0744A">
      <w:pPr>
        <w:spacing w:after="0" w:line="240" w:lineRule="auto"/>
        <w:jc w:val="both"/>
        <w:rPr>
          <w:rFonts w:ascii="Times New Roman" w:eastAsia="Times New Roman" w:hAnsi="Times New Roman" w:cs="Times New Roman"/>
          <w:b/>
          <w:bCs/>
          <w:lang w:eastAsia="sk-SK"/>
        </w:rPr>
      </w:pPr>
      <w:r w:rsidRPr="00C46133">
        <w:rPr>
          <w:rFonts w:ascii="Times New Roman" w:eastAsia="Times New Roman" w:hAnsi="Times New Roman" w:cs="Times New Roman"/>
          <w:b/>
          <w:bCs/>
          <w:lang w:eastAsia="sk-SK"/>
        </w:rPr>
        <w:t xml:space="preserve">F) </w:t>
      </w:r>
      <w:r>
        <w:rPr>
          <w:rFonts w:ascii="Times New Roman" w:eastAsia="Times New Roman" w:hAnsi="Times New Roman" w:cs="Times New Roman"/>
          <w:b/>
          <w:bCs/>
          <w:lang w:eastAsia="sk-SK"/>
        </w:rPr>
        <w:t>P</w:t>
      </w:r>
      <w:r w:rsidRPr="00C46133">
        <w:rPr>
          <w:rFonts w:ascii="Times New Roman" w:eastAsia="Times New Roman" w:hAnsi="Times New Roman" w:cs="Times New Roman"/>
          <w:b/>
          <w:bCs/>
          <w:lang w:eastAsia="sk-SK"/>
        </w:rPr>
        <w:t>roblematika tzv. československých dôchodkov</w:t>
      </w:r>
    </w:p>
    <w:p w:rsidR="00C46133" w:rsidRDefault="00C46133" w:rsidP="00F0744A">
      <w:pPr>
        <w:spacing w:after="0" w:line="240" w:lineRule="auto"/>
        <w:jc w:val="both"/>
        <w:rPr>
          <w:rFonts w:ascii="Times New Roman" w:eastAsia="Times New Roman" w:hAnsi="Times New Roman" w:cs="Times New Roman"/>
          <w:b/>
          <w:bCs/>
          <w:lang w:eastAsia="sk-SK"/>
        </w:rPr>
      </w:pPr>
    </w:p>
    <w:p w:rsidR="00506350" w:rsidRPr="00D75B37" w:rsidRDefault="003D26D6" w:rsidP="005C5C14">
      <w:pPr>
        <w:spacing w:after="0" w:line="264" w:lineRule="auto"/>
        <w:ind w:firstLine="708"/>
        <w:jc w:val="both"/>
        <w:rPr>
          <w:rFonts w:ascii="Times New Roman" w:hAnsi="Times New Roman"/>
        </w:rPr>
      </w:pPr>
      <w:r w:rsidRPr="00D75B37">
        <w:rPr>
          <w:rFonts w:ascii="Times New Roman" w:hAnsi="Times New Roman"/>
        </w:rPr>
        <w:t xml:space="preserve">Navrhuje sa právna úprava spôsobu výpočtu 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w:t>
      </w:r>
      <w:r w:rsidRPr="00D75B37">
        <w:rPr>
          <w:rFonts w:ascii="Times New Roman" w:hAnsi="Times New Roman"/>
        </w:rPr>
        <w:lastRenderedPageBreak/>
        <w:t>avšak za toto obdobie im nevznikol nárok na starobný dôchodok alebo invalidný dôchodok podľa predpisov Českej republiky.</w:t>
      </w:r>
      <w:r w:rsidR="001B1F79" w:rsidRPr="00D75B37">
        <w:rPr>
          <w:rFonts w:ascii="Times New Roman" w:hAnsi="Times New Roman"/>
        </w:rPr>
        <w:t xml:space="preserve"> </w:t>
      </w:r>
      <w:r w:rsidR="00A530F6" w:rsidRPr="00D75B37">
        <w:rPr>
          <w:rFonts w:ascii="Times New Roman" w:hAnsi="Times New Roman"/>
        </w:rPr>
        <w:t>To znamená, že ak poistenec získal tzv. československé obdobie dôchodkového poistenia pred 1. januárom 1993, ale  nevzniká mu ešte nárok na dôchodok z Českej republiky (resp. mu nikdy nevznikne, kvôli rozdielnym podmienkam nároku), určí sa suma dôchodku poistenca v tomto prípade tak, ako keby celé obdobie dôchodkového poistenia, získal poistenec v SR. Následne, po vzniku nároku na dôchodok z Českej republiky, bude poistencovi suma dôchodku vyplácaná zo SR znížená o sumu dôchodku z Českej republiky.</w:t>
      </w:r>
    </w:p>
    <w:p w:rsidR="00A530F6" w:rsidRPr="00D75B37" w:rsidRDefault="00A530F6" w:rsidP="005C5C14">
      <w:pPr>
        <w:spacing w:after="0" w:line="264" w:lineRule="auto"/>
        <w:ind w:firstLine="708"/>
        <w:jc w:val="both"/>
        <w:rPr>
          <w:rFonts w:ascii="Times New Roman" w:hAnsi="Times New Roman"/>
        </w:rPr>
      </w:pPr>
    </w:p>
    <w:p w:rsidR="00C46133" w:rsidRPr="00D75B37" w:rsidRDefault="001B1F79" w:rsidP="005C5C14">
      <w:pPr>
        <w:spacing w:after="0" w:line="264" w:lineRule="auto"/>
        <w:ind w:firstLine="708"/>
        <w:jc w:val="both"/>
        <w:rPr>
          <w:rFonts w:ascii="Times New Roman" w:hAnsi="Times New Roman"/>
        </w:rPr>
      </w:pPr>
      <w:r w:rsidRPr="00D75B37">
        <w:rPr>
          <w:rFonts w:ascii="Times New Roman" w:hAnsi="Times New Roman"/>
        </w:rPr>
        <w:t>V</w:t>
      </w:r>
      <w:r w:rsidR="00506350" w:rsidRPr="00D75B37">
        <w:rPr>
          <w:rFonts w:ascii="Times New Roman" w:hAnsi="Times New Roman"/>
        </w:rPr>
        <w:t xml:space="preserve"> súčasnosti sa v praxi môžeme stretnúť s tromi situáciami, kedy má poistenec nárok na starobný dôchodok zo SR, ale nevznikol mu nárok na starobný dôchodok z </w:t>
      </w:r>
      <w:r w:rsidR="002C1476" w:rsidRPr="00D75B37">
        <w:rPr>
          <w:rFonts w:ascii="Times New Roman" w:hAnsi="Times New Roman"/>
        </w:rPr>
        <w:t>Č</w:t>
      </w:r>
      <w:r w:rsidR="00506350" w:rsidRPr="00D75B37">
        <w:rPr>
          <w:rFonts w:ascii="Times New Roman" w:hAnsi="Times New Roman"/>
        </w:rPr>
        <w:t>R:</w:t>
      </w:r>
    </w:p>
    <w:p w:rsidR="00FE413F" w:rsidRPr="00D75B37" w:rsidRDefault="00FE413F" w:rsidP="005C5C14">
      <w:pPr>
        <w:spacing w:after="0" w:line="264" w:lineRule="auto"/>
        <w:ind w:firstLine="708"/>
        <w:jc w:val="both"/>
        <w:rPr>
          <w:rFonts w:ascii="Times New Roman" w:hAnsi="Times New Roman"/>
        </w:rPr>
      </w:pPr>
    </w:p>
    <w:p w:rsidR="00FE413F" w:rsidRPr="00D75B37" w:rsidRDefault="00B83F45"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Prvá</w:t>
      </w:r>
      <w:r w:rsidR="00FE413F" w:rsidRPr="00D75B37">
        <w:rPr>
          <w:rFonts w:ascii="Times New Roman" w:hAnsi="Times New Roman"/>
        </w:rPr>
        <w:t xml:space="preserve"> ovplyvnená skupina sú osoby s celkovým obdobím dôchodkového poistenia od 15 do 20 rokov, ktorým podľa predpisov Českej republiky nevznikne nárok na starobný dôchodok. Z údajom Sociálnej poisťovne vyplýva, že ročný počet týchto osôb je veľmi nízky a pohybuje sa približne na úrovni 3 dôchodcov. Vzhľadom na uvedenú skutočnosť, predpokladáme veľkosť uvedenej skupiny poberateľov v roku 2022 na úrovni 32 osôb. Priemerné zvýšenie dôchodku odhadujeme v roku 2022 na úrovni </w:t>
      </w:r>
      <w:r w:rsidRPr="00D75B37">
        <w:rPr>
          <w:rFonts w:ascii="Times New Roman" w:hAnsi="Times New Roman"/>
        </w:rPr>
        <w:t>približne</w:t>
      </w:r>
      <w:r w:rsidR="00FE413F" w:rsidRPr="00D75B37">
        <w:rPr>
          <w:rFonts w:ascii="Times New Roman" w:hAnsi="Times New Roman"/>
        </w:rPr>
        <w:t xml:space="preserve"> 90 eur.</w:t>
      </w:r>
    </w:p>
    <w:p w:rsidR="00506350" w:rsidRPr="00D75B37" w:rsidRDefault="00FE413F"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Druhá ovply</w:t>
      </w:r>
      <w:r w:rsidR="00B83F45" w:rsidRPr="00D75B37">
        <w:rPr>
          <w:rFonts w:ascii="Times New Roman" w:hAnsi="Times New Roman"/>
        </w:rPr>
        <w:t>v</w:t>
      </w:r>
      <w:r w:rsidRPr="00D75B37">
        <w:rPr>
          <w:rFonts w:ascii="Times New Roman" w:hAnsi="Times New Roman"/>
        </w:rPr>
        <w:t>nená skupina sú osoby s obdobím dôchodkového poistenia od 20 do 35 rokov, ktorým podľa predpisov Českej republiky nevzniká nárok na dôchodok dovŕšením dôchodko</w:t>
      </w:r>
      <w:r w:rsidR="00A530F6" w:rsidRPr="00D75B37">
        <w:rPr>
          <w:rFonts w:ascii="Times New Roman" w:hAnsi="Times New Roman"/>
        </w:rPr>
        <w:t>vého veku</w:t>
      </w:r>
      <w:r w:rsidR="002C1476" w:rsidRPr="00D75B37">
        <w:rPr>
          <w:rFonts w:ascii="Times New Roman" w:hAnsi="Times New Roman"/>
        </w:rPr>
        <w:t>,</w:t>
      </w:r>
      <w:r w:rsidR="00A530F6" w:rsidRPr="00D75B37">
        <w:rPr>
          <w:rFonts w:ascii="Times New Roman" w:hAnsi="Times New Roman"/>
        </w:rPr>
        <w:t xml:space="preserve"> nakoľko nezískali potrebnú dobu </w:t>
      </w:r>
      <w:r w:rsidR="00527B72" w:rsidRPr="00D75B37">
        <w:rPr>
          <w:rFonts w:ascii="Times New Roman" w:hAnsi="Times New Roman"/>
        </w:rPr>
        <w:t xml:space="preserve">poistenia, ktorá aktuálne činí 35 rokov a nárok na dôchodok im vzniká až 5 rokov po dovŕšení dôchodkového veku. Na základe údajov Sociálnej poisťovne odhadujeme veľkosť tejto skupiny poberateľov na úrovni približne 260 osôb ročne. Priemerné </w:t>
      </w:r>
      <w:r w:rsidR="00B83F45" w:rsidRPr="00D75B37">
        <w:rPr>
          <w:rFonts w:ascii="Times New Roman" w:hAnsi="Times New Roman"/>
        </w:rPr>
        <w:t xml:space="preserve">mesačné </w:t>
      </w:r>
      <w:r w:rsidR="00527B72" w:rsidRPr="00D75B37">
        <w:rPr>
          <w:rFonts w:ascii="Times New Roman" w:hAnsi="Times New Roman"/>
        </w:rPr>
        <w:t xml:space="preserve">zvýšenie dôchodku odhadujeme v roku 2022 na úrovni približne 136 eur. </w:t>
      </w:r>
    </w:p>
    <w:p w:rsidR="00527B72" w:rsidRPr="00D75B37" w:rsidRDefault="00527B72" w:rsidP="005C5C14">
      <w:pPr>
        <w:pStyle w:val="Odsekzoznamu"/>
        <w:numPr>
          <w:ilvl w:val="0"/>
          <w:numId w:val="25"/>
        </w:numPr>
        <w:spacing w:after="0" w:line="264" w:lineRule="auto"/>
        <w:jc w:val="both"/>
        <w:rPr>
          <w:rFonts w:ascii="Times New Roman" w:hAnsi="Times New Roman"/>
        </w:rPr>
      </w:pPr>
      <w:r w:rsidRPr="00D75B37">
        <w:rPr>
          <w:rFonts w:ascii="Times New Roman" w:hAnsi="Times New Roman"/>
        </w:rPr>
        <w:t xml:space="preserve">Tretia ovplyvnená skupina sú osoby s obdobím dôchodkového poistenia vyšším ako 35 rokov, v prípade ktorých súvisia zvýšené výdavky len v dôsledku rozdielneho dôchodkového veku, ktorý je v ČR v prípade mužov vyšší o 1 rok a 2 mesiace. Ročný počet dotknutých osôb odhadujeme na úrovni približne 200 osôb a priemerné </w:t>
      </w:r>
      <w:r w:rsidR="00B83F45" w:rsidRPr="00D75B37">
        <w:rPr>
          <w:rFonts w:ascii="Times New Roman" w:hAnsi="Times New Roman"/>
        </w:rPr>
        <w:t xml:space="preserve">mesačné </w:t>
      </w:r>
      <w:r w:rsidRPr="00D75B37">
        <w:rPr>
          <w:rFonts w:ascii="Times New Roman" w:hAnsi="Times New Roman"/>
        </w:rPr>
        <w:t xml:space="preserve">zvýšenie dôchodku odhadujeme na úrovni približne </w:t>
      </w:r>
      <w:r w:rsidR="00B83F45" w:rsidRPr="00D75B37">
        <w:rPr>
          <w:rFonts w:ascii="Times New Roman" w:hAnsi="Times New Roman"/>
        </w:rPr>
        <w:t xml:space="preserve">240 eur. </w:t>
      </w:r>
    </w:p>
    <w:p w:rsidR="003D26D6" w:rsidRPr="00D75B37" w:rsidRDefault="003D26D6" w:rsidP="005C5C14">
      <w:pPr>
        <w:spacing w:after="0" w:line="264" w:lineRule="auto"/>
        <w:jc w:val="both"/>
        <w:rPr>
          <w:rFonts w:ascii="Times New Roman" w:eastAsia="Times New Roman" w:hAnsi="Times New Roman" w:cs="Times New Roman"/>
          <w:b/>
          <w:lang w:eastAsia="sk-SK"/>
        </w:rPr>
      </w:pPr>
    </w:p>
    <w:p w:rsidR="00B83F45" w:rsidRPr="00D75B37" w:rsidRDefault="00B83F45" w:rsidP="005C5C14">
      <w:pPr>
        <w:spacing w:after="0" w:line="264" w:lineRule="auto"/>
        <w:ind w:firstLine="708"/>
        <w:jc w:val="both"/>
        <w:rPr>
          <w:rFonts w:ascii="Times New Roman" w:eastAsia="Times New Roman" w:hAnsi="Times New Roman" w:cs="Times New Roman"/>
          <w:lang w:eastAsia="sk-SK"/>
        </w:rPr>
      </w:pPr>
      <w:r w:rsidRPr="00D75B37">
        <w:rPr>
          <w:rFonts w:ascii="Times New Roman" w:eastAsia="Times New Roman" w:hAnsi="Times New Roman" w:cs="Times New Roman"/>
          <w:lang w:eastAsia="sk-SK"/>
        </w:rPr>
        <w:t xml:space="preserve">Celkové zvýšené výdavky odhadujeme v  roku 2023 na úrovni približne 1,2 mil. eur a v roku 2024 na úrovni približne 1,2 mil. eur. </w:t>
      </w:r>
      <w:r w:rsidR="0009619C" w:rsidRPr="00D75B37">
        <w:rPr>
          <w:rFonts w:ascii="Times New Roman" w:eastAsia="Times New Roman" w:hAnsi="Times New Roman" w:cs="Times New Roman"/>
          <w:lang w:eastAsia="sk-SK"/>
        </w:rPr>
        <w:t>V</w:t>
      </w:r>
      <w:r w:rsidRPr="00D75B37">
        <w:rPr>
          <w:rFonts w:ascii="Times New Roman" w:eastAsia="Times New Roman" w:hAnsi="Times New Roman" w:cs="Times New Roman"/>
          <w:lang w:eastAsia="sk-SK"/>
        </w:rPr>
        <w:t>zhľadom na zvýšenie dôchodkového príjmu očakávame aj úsporu na v</w:t>
      </w:r>
      <w:r w:rsidR="00012E7D" w:rsidRPr="00D75B37">
        <w:rPr>
          <w:rFonts w:ascii="Times New Roman" w:eastAsia="Times New Roman" w:hAnsi="Times New Roman" w:cs="Times New Roman"/>
          <w:lang w:eastAsia="sk-SK"/>
        </w:rPr>
        <w:t>y</w:t>
      </w:r>
      <w:r w:rsidRPr="00D75B37">
        <w:rPr>
          <w:rFonts w:ascii="Times New Roman" w:eastAsia="Times New Roman" w:hAnsi="Times New Roman" w:cs="Times New Roman"/>
          <w:lang w:eastAsia="sk-SK"/>
        </w:rPr>
        <w:t>plate</w:t>
      </w:r>
      <w:r w:rsidR="00863545" w:rsidRPr="00D75B37">
        <w:rPr>
          <w:rFonts w:ascii="Times New Roman" w:eastAsia="Times New Roman" w:hAnsi="Times New Roman" w:cs="Times New Roman"/>
          <w:lang w:eastAsia="sk-SK"/>
        </w:rPr>
        <w:t>nie</w:t>
      </w:r>
      <w:r w:rsidRPr="00D75B37">
        <w:rPr>
          <w:rFonts w:ascii="Times New Roman" w:eastAsia="Times New Roman" w:hAnsi="Times New Roman" w:cs="Times New Roman"/>
          <w:lang w:eastAsia="sk-SK"/>
        </w:rPr>
        <w:t xml:space="preserve"> minimálneho dôchodku v rokoch 202</w:t>
      </w:r>
      <w:r w:rsidR="00762E6A">
        <w:rPr>
          <w:rFonts w:ascii="Times New Roman" w:eastAsia="Times New Roman" w:hAnsi="Times New Roman" w:cs="Times New Roman"/>
          <w:lang w:eastAsia="sk-SK"/>
        </w:rPr>
        <w:t>3</w:t>
      </w:r>
      <w:r w:rsidRPr="00D75B37">
        <w:rPr>
          <w:rFonts w:ascii="Times New Roman" w:eastAsia="Times New Roman" w:hAnsi="Times New Roman" w:cs="Times New Roman"/>
          <w:lang w:eastAsia="sk-SK"/>
        </w:rPr>
        <w:t xml:space="preserve"> až 2024 vo výške približne 0,1 mil. eur ročne.</w:t>
      </w:r>
    </w:p>
    <w:p w:rsidR="00B83F45" w:rsidRDefault="00B83F45" w:rsidP="005C5C14">
      <w:pPr>
        <w:spacing w:after="0" w:line="264" w:lineRule="auto"/>
        <w:jc w:val="both"/>
        <w:rPr>
          <w:rFonts w:ascii="Times New Roman" w:eastAsia="Times New Roman" w:hAnsi="Times New Roman" w:cs="Times New Roman"/>
          <w:b/>
          <w:sz w:val="24"/>
          <w:szCs w:val="24"/>
          <w:lang w:eastAsia="sk-SK"/>
        </w:rPr>
      </w:pPr>
    </w:p>
    <w:p w:rsidR="00B83F45" w:rsidRDefault="00B83F45" w:rsidP="005C5C14">
      <w:pPr>
        <w:spacing w:after="0" w:line="264" w:lineRule="auto"/>
        <w:jc w:val="both"/>
        <w:rPr>
          <w:rFonts w:ascii="Times New Roman" w:eastAsia="Times New Roman" w:hAnsi="Times New Roman" w:cs="Times New Roman"/>
          <w:b/>
          <w:bCs/>
          <w:lang w:eastAsia="sk-SK"/>
        </w:rPr>
      </w:pPr>
      <w:r w:rsidRPr="00B83F45">
        <w:rPr>
          <w:rFonts w:ascii="Times New Roman" w:eastAsia="Times New Roman" w:hAnsi="Times New Roman" w:cs="Times New Roman"/>
          <w:b/>
          <w:bCs/>
          <w:lang w:eastAsia="sk-SK"/>
        </w:rPr>
        <w:t>I</w:t>
      </w:r>
      <w:r w:rsidRPr="00B83F45">
        <w:rPr>
          <w:rFonts w:ascii="Times New Roman" w:eastAsia="Times New Roman" w:hAnsi="Times New Roman" w:cs="Times New Roman"/>
          <w:b/>
          <w:bCs/>
          <w:lang w:val="en-US" w:eastAsia="sk-SK"/>
        </w:rPr>
        <w:t>)</w:t>
      </w:r>
      <w:r w:rsidRPr="00B83F45">
        <w:rPr>
          <w:rFonts w:ascii="Times New Roman" w:eastAsia="Times New Roman" w:hAnsi="Times New Roman" w:cs="Times New Roman"/>
          <w:b/>
          <w:bCs/>
          <w:lang w:eastAsia="sk-SK"/>
        </w:rPr>
        <w:t xml:space="preserve"> Predĺženie ochrannej lehoty pri otehotnení</w:t>
      </w:r>
    </w:p>
    <w:p w:rsidR="00B83F45" w:rsidRDefault="00B83F45" w:rsidP="005C5C14">
      <w:pPr>
        <w:spacing w:after="0" w:line="264" w:lineRule="auto"/>
        <w:jc w:val="both"/>
        <w:rPr>
          <w:rFonts w:ascii="Times New Roman" w:eastAsia="Times New Roman" w:hAnsi="Times New Roman" w:cs="Times New Roman"/>
          <w:b/>
          <w:bCs/>
          <w:lang w:eastAsia="sk-SK"/>
        </w:rPr>
      </w:pPr>
    </w:p>
    <w:p w:rsidR="00331841" w:rsidRDefault="00331841" w:rsidP="005C5C14">
      <w:pPr>
        <w:spacing w:after="0" w:line="264" w:lineRule="auto"/>
        <w:ind w:firstLine="708"/>
        <w:jc w:val="both"/>
        <w:rPr>
          <w:rFonts w:ascii="Times New Roman" w:hAnsi="Times New Roman" w:cs="Times New Roman"/>
        </w:rPr>
      </w:pPr>
      <w:r w:rsidRPr="00D75B37">
        <w:rPr>
          <w:rFonts w:ascii="Times New Roman" w:hAnsi="Times New Roman" w:cs="Times New Roman"/>
        </w:rPr>
        <w:t xml:space="preserve">Navrhuje sa zaviesť opätovné plynutie ochrannej lehoty pre ženy, ktoré otehotneli v období 180 dní od zániku nemocenského poistenia. Takýmto ženám začne plynúť osemmesačná ochranná lehota od začiatku 40. týždňa pred očakávaným dňom pôrodu určeným lekárom. Uvedený návrh reflektuje poznatky z aplikačnej praxe s cieľom podporiť ženy, ktoré otehotnejú v období pol roka od straty zamestnania. Na základe údajov Sociálnej poisťovne vyplýva, že v roku 2020 bolo z ochrannej lehoty vyplatených približne 28,5 tis. dávok materské. Predĺžením podporného obdobia predpokladáme zvýšenie počtu vyplatených dávok </w:t>
      </w:r>
      <w:r w:rsidRPr="00D75B37">
        <w:rPr>
          <w:rFonts w:ascii="Times New Roman" w:hAnsi="Times New Roman" w:cs="Times New Roman"/>
        </w:rPr>
        <w:lastRenderedPageBreak/>
        <w:t>materské o približne 1 400 dávok ročne, čo bude znamenať zvýšenie výdavkov Sociálnej poisťovne v roku 2022 o približne 1,2 mil. eur, v roku 2023 o približne 1,2 mil. eur a v roku 2024 o približne 1,3 mil. eur.</w:t>
      </w:r>
    </w:p>
    <w:p w:rsidR="008C40CA" w:rsidRDefault="008C40CA" w:rsidP="00497730">
      <w:pPr>
        <w:spacing w:after="0" w:line="264" w:lineRule="auto"/>
        <w:jc w:val="both"/>
        <w:rPr>
          <w:rFonts w:ascii="Times New Roman" w:hAnsi="Times New Roman" w:cs="Times New Roman"/>
        </w:rPr>
      </w:pPr>
    </w:p>
    <w:p w:rsidR="008C40CA" w:rsidRDefault="00F3440B" w:rsidP="008C40CA">
      <w:pPr>
        <w:spacing w:after="0" w:line="264" w:lineRule="auto"/>
        <w:jc w:val="both"/>
        <w:rPr>
          <w:rFonts w:ascii="Times New Roman" w:eastAsia="Times New Roman" w:hAnsi="Times New Roman" w:cs="Times New Roman"/>
          <w:b/>
          <w:bCs/>
          <w:lang w:eastAsia="sk-SK"/>
        </w:rPr>
      </w:pPr>
      <w:r>
        <w:rPr>
          <w:rFonts w:ascii="Times New Roman" w:eastAsia="Times New Roman" w:hAnsi="Times New Roman" w:cs="Times New Roman"/>
          <w:b/>
          <w:bCs/>
          <w:lang w:eastAsia="sk-SK"/>
        </w:rPr>
        <w:t>J</w:t>
      </w:r>
      <w:r w:rsidR="008C40CA" w:rsidRPr="00481E3B">
        <w:rPr>
          <w:rFonts w:ascii="Times New Roman" w:eastAsia="Times New Roman" w:hAnsi="Times New Roman" w:cs="Times New Roman"/>
          <w:b/>
          <w:bCs/>
          <w:lang w:eastAsia="sk-SK"/>
        </w:rPr>
        <w:t>)</w:t>
      </w:r>
      <w:r w:rsidR="008C40CA" w:rsidRPr="00B83F45">
        <w:rPr>
          <w:rFonts w:ascii="Times New Roman" w:eastAsia="Times New Roman" w:hAnsi="Times New Roman" w:cs="Times New Roman"/>
          <w:b/>
          <w:bCs/>
          <w:lang w:eastAsia="sk-SK"/>
        </w:rPr>
        <w:t xml:space="preserve"> </w:t>
      </w:r>
      <w:r w:rsidR="008C40CA" w:rsidRPr="008C40CA">
        <w:rPr>
          <w:rFonts w:ascii="Times New Roman" w:eastAsia="Times New Roman" w:hAnsi="Times New Roman" w:cs="Times New Roman"/>
          <w:b/>
          <w:bCs/>
          <w:lang w:eastAsia="sk-SK"/>
        </w:rPr>
        <w:t>Zrušenie možnosti úhrady poistného na sociálne poistenie v hotovosti bilancia SP</w:t>
      </w:r>
    </w:p>
    <w:p w:rsidR="008C40CA" w:rsidRDefault="008C40CA" w:rsidP="008C40CA">
      <w:pPr>
        <w:spacing w:after="0" w:line="264" w:lineRule="auto"/>
        <w:jc w:val="both"/>
        <w:rPr>
          <w:rFonts w:ascii="Times New Roman" w:eastAsia="Times New Roman" w:hAnsi="Times New Roman" w:cs="Times New Roman"/>
          <w:b/>
          <w:bCs/>
          <w:lang w:eastAsia="sk-SK"/>
        </w:rPr>
      </w:pPr>
    </w:p>
    <w:p w:rsidR="008C40CA" w:rsidRPr="008C40CA" w:rsidRDefault="008C40CA" w:rsidP="009C11D6">
      <w:pPr>
        <w:spacing w:after="0" w:line="264" w:lineRule="auto"/>
        <w:ind w:firstLine="708"/>
        <w:jc w:val="both"/>
        <w:rPr>
          <w:rFonts w:ascii="Times New Roman" w:hAnsi="Times New Roman" w:cs="Times New Roman"/>
        </w:rPr>
      </w:pPr>
      <w:r w:rsidRPr="008C40CA">
        <w:rPr>
          <w:rFonts w:ascii="Times New Roman" w:hAnsi="Times New Roman" w:cs="Times New Roman"/>
        </w:rPr>
        <w:t xml:space="preserve">Sociálna poisťovňa na základe zmluvných vzťahov vo veci prevozu finančnej hotovosti s externou spoločnosťou  v roku 2019 vyčerpala viac ako 400 00 eur, uvedený rok 2019 považujeme za referenčný, nakoľko v roku 2020 počas pandemického obdobia na základe príslušných opatrení  boli platby klientov v hotovosti pozastavené. </w:t>
      </w:r>
    </w:p>
    <w:p w:rsidR="00561388" w:rsidRDefault="00561388" w:rsidP="009C11D6">
      <w:pPr>
        <w:spacing w:after="0" w:line="264" w:lineRule="auto"/>
        <w:ind w:firstLine="708"/>
        <w:jc w:val="both"/>
        <w:rPr>
          <w:rFonts w:ascii="Times New Roman" w:hAnsi="Times New Roman" w:cs="Times New Roman"/>
        </w:rPr>
      </w:pPr>
    </w:p>
    <w:p w:rsidR="008C40CA" w:rsidRPr="008C40CA" w:rsidRDefault="008C40CA" w:rsidP="009C11D6">
      <w:pPr>
        <w:spacing w:after="0" w:line="264" w:lineRule="auto"/>
        <w:ind w:firstLine="708"/>
        <w:jc w:val="both"/>
        <w:rPr>
          <w:rFonts w:ascii="Times New Roman" w:hAnsi="Times New Roman" w:cs="Times New Roman"/>
        </w:rPr>
      </w:pPr>
      <w:r w:rsidRPr="008C40CA">
        <w:rPr>
          <w:rFonts w:ascii="Times New Roman" w:hAnsi="Times New Roman" w:cs="Times New Roman"/>
        </w:rPr>
        <w:t>Predpokladané ušetrené náklady sa okrem nákladov na prevoz hotovosti, týkajú nákladov na bezpečnostné zabezpečenie klientskych centier, nákladov na prevádzku pokladne, tiež odbúrania rastúcich nákladov na spracovanie hotovosti a vysokého počtu dokladov a denných objemov hotovosti na pobočkách. Výhodou plánovanej legislatívnej zmeny je aj eliminácia rizika prepadov zamestnancov a možnosť využitia alternatívnych kanálov na zabezpečenie úhrady poistencov.</w:t>
      </w:r>
    </w:p>
    <w:p w:rsidR="008C40CA" w:rsidRDefault="008C40CA" w:rsidP="008C40CA">
      <w:pPr>
        <w:spacing w:after="0" w:line="264" w:lineRule="auto"/>
        <w:jc w:val="both"/>
        <w:rPr>
          <w:rFonts w:ascii="Times New Roman" w:hAnsi="Times New Roman" w:cs="Times New Roman"/>
        </w:rPr>
      </w:pPr>
      <w:r w:rsidRPr="008C40CA">
        <w:rPr>
          <w:rFonts w:ascii="Times New Roman" w:hAnsi="Times New Roman" w:cs="Times New Roman"/>
        </w:rPr>
        <w:t>Na základe uvedeného ušetrené ročné náklady pri zrušení platieb v hotovosti Sociálna poisťovň</w:t>
      </w:r>
      <w:r>
        <w:rPr>
          <w:rFonts w:ascii="Times New Roman" w:hAnsi="Times New Roman" w:cs="Times New Roman"/>
        </w:rPr>
        <w:t>a predpokladá v celkovej sume cca 500 000 eur ročne</w:t>
      </w:r>
      <w:r w:rsidRPr="00D75B37">
        <w:rPr>
          <w:rFonts w:ascii="Times New Roman" w:hAnsi="Times New Roman" w:cs="Times New Roman"/>
        </w:rPr>
        <w:t>.</w:t>
      </w:r>
    </w:p>
    <w:p w:rsidR="00BF72E6" w:rsidRDefault="00BF72E6" w:rsidP="00E47C9F">
      <w:pPr>
        <w:spacing w:after="0" w:line="240" w:lineRule="auto"/>
        <w:rPr>
          <w:rFonts w:ascii="Times New Roman" w:hAnsi="Times New Roman" w:cs="Verdana"/>
          <w:b/>
          <w:bCs/>
          <w:iCs/>
          <w:sz w:val="24"/>
          <w:szCs w:val="24"/>
        </w:rPr>
      </w:pPr>
    </w:p>
    <w:p w:rsidR="00065664" w:rsidRDefault="00065664" w:rsidP="00E47C9F">
      <w:pPr>
        <w:spacing w:after="0" w:line="240" w:lineRule="auto"/>
        <w:rPr>
          <w:rFonts w:ascii="Times New Roman" w:hAnsi="Times New Roman" w:cs="Verdana"/>
          <w:b/>
          <w:bCs/>
          <w:iCs/>
          <w:sz w:val="24"/>
          <w:szCs w:val="24"/>
        </w:rPr>
      </w:pPr>
    </w:p>
    <w:p w:rsidR="00F3440B" w:rsidRDefault="00F3440B" w:rsidP="009C11D6">
      <w:pPr>
        <w:spacing w:after="0" w:line="240" w:lineRule="auto"/>
        <w:jc w:val="both"/>
        <w:rPr>
          <w:rFonts w:ascii="Times New Roman" w:hAnsi="Times New Roman" w:cs="Times New Roman"/>
          <w:b/>
        </w:rPr>
      </w:pPr>
      <w:r>
        <w:rPr>
          <w:rFonts w:ascii="Times New Roman" w:hAnsi="Times New Roman" w:cs="Verdana"/>
          <w:b/>
          <w:bCs/>
          <w:iCs/>
          <w:sz w:val="24"/>
          <w:szCs w:val="24"/>
        </w:rPr>
        <w:t xml:space="preserve">L) </w:t>
      </w:r>
      <w:r w:rsidRPr="00AD678C">
        <w:rPr>
          <w:rFonts w:ascii="Times New Roman" w:hAnsi="Times New Roman" w:cs="Verdana"/>
          <w:b/>
          <w:bCs/>
          <w:iCs/>
          <w:sz w:val="24"/>
          <w:szCs w:val="24"/>
        </w:rPr>
        <w:t>Z</w:t>
      </w:r>
      <w:r w:rsidRPr="009C11D6">
        <w:rPr>
          <w:rFonts w:ascii="Times New Roman" w:hAnsi="Times New Roman" w:cs="Times New Roman"/>
          <w:b/>
        </w:rPr>
        <w:t>výšenie maximálneho denného vymeriavacieho základu na určenie nemocenských dávok a dávky v</w:t>
      </w:r>
      <w:r w:rsidR="0009490C">
        <w:rPr>
          <w:rFonts w:ascii="Times New Roman" w:hAnsi="Times New Roman" w:cs="Times New Roman"/>
          <w:b/>
        </w:rPr>
        <w:t> </w:t>
      </w:r>
      <w:r w:rsidRPr="009C11D6">
        <w:rPr>
          <w:rFonts w:ascii="Times New Roman" w:hAnsi="Times New Roman" w:cs="Times New Roman"/>
          <w:b/>
        </w:rPr>
        <w:t>nezamestnanosti</w:t>
      </w:r>
    </w:p>
    <w:p w:rsidR="0009490C" w:rsidRDefault="0009490C" w:rsidP="009C11D6">
      <w:pPr>
        <w:spacing w:after="0" w:line="240" w:lineRule="auto"/>
        <w:jc w:val="both"/>
        <w:rPr>
          <w:rFonts w:ascii="Times New Roman" w:hAnsi="Times New Roman" w:cs="Times New Roman"/>
          <w:b/>
        </w:rPr>
      </w:pPr>
    </w:p>
    <w:p w:rsidR="00F006B3" w:rsidRDefault="00301959" w:rsidP="009C11D6">
      <w:pPr>
        <w:spacing w:after="0" w:line="264" w:lineRule="auto"/>
        <w:ind w:firstLine="708"/>
        <w:jc w:val="both"/>
        <w:rPr>
          <w:rFonts w:ascii="Times New Roman" w:hAnsi="Times New Roman" w:cs="Times New Roman"/>
        </w:rPr>
      </w:pPr>
      <w:r w:rsidRPr="009C11D6">
        <w:rPr>
          <w:rFonts w:ascii="Times New Roman" w:hAnsi="Times New Roman" w:cs="Times New Roman"/>
        </w:rPr>
        <w:t>V nadväznosti na zrušenie maximálnych mesačných vymeriavacích základov sa navrhuje zvýšenie maximálneho denného vymeriavacieho základu na určenie nemocenských dávok a dávky v nezamestnanosti zo súčasného 2</w:t>
      </w:r>
      <w:r w:rsidR="00DB6EB2">
        <w:rPr>
          <w:rFonts w:ascii="Times New Roman" w:hAnsi="Times New Roman" w:cs="Times New Roman"/>
        </w:rPr>
        <w:t>-</w:t>
      </w:r>
      <w:r w:rsidRPr="009C11D6">
        <w:rPr>
          <w:rFonts w:ascii="Times New Roman" w:hAnsi="Times New Roman" w:cs="Times New Roman"/>
        </w:rPr>
        <w:t>násobku priemernej mzdy v národnom hospodárstve spred dvoch rokov na 2,5</w:t>
      </w:r>
      <w:r w:rsidR="00DB6EB2">
        <w:rPr>
          <w:rFonts w:ascii="Times New Roman" w:hAnsi="Times New Roman" w:cs="Times New Roman"/>
        </w:rPr>
        <w:t>-</w:t>
      </w:r>
      <w:r w:rsidRPr="009C11D6">
        <w:rPr>
          <w:rFonts w:ascii="Times New Roman" w:hAnsi="Times New Roman" w:cs="Times New Roman"/>
        </w:rPr>
        <w:t>násobok priemernej mzdy v národnom hospodárstve spred dvoch rokov.</w:t>
      </w:r>
    </w:p>
    <w:p w:rsidR="00F3440B" w:rsidRPr="009C11D6" w:rsidRDefault="00F006B3" w:rsidP="009C11D6">
      <w:pPr>
        <w:spacing w:after="0" w:line="264" w:lineRule="auto"/>
        <w:jc w:val="both"/>
        <w:rPr>
          <w:rFonts w:ascii="Times New Roman" w:hAnsi="Times New Roman" w:cs="Times New Roman"/>
        </w:rPr>
      </w:pPr>
      <w:r>
        <w:rPr>
          <w:rFonts w:ascii="Times New Roman" w:hAnsi="Times New Roman" w:cs="Times New Roman"/>
        </w:rPr>
        <w:t>Predpokladané zvýšenie výdavkov odhadujeme v roku 2023 na úrovni 43,0 mil. eur v roku 2023 a na úrovni 44,8 mil. eur v roku 2024.</w:t>
      </w:r>
      <w:r w:rsidR="00301959">
        <w:rPr>
          <w:rFonts w:ascii="Times New Roman" w:hAnsi="Times New Roman" w:cs="Times New Roman"/>
          <w:b/>
        </w:rPr>
        <w:t xml:space="preserve"> </w:t>
      </w:r>
    </w:p>
    <w:p w:rsidR="00F3440B" w:rsidRDefault="00F3440B" w:rsidP="009C11D6">
      <w:pPr>
        <w:spacing w:after="0" w:line="240" w:lineRule="auto"/>
        <w:jc w:val="both"/>
        <w:rPr>
          <w:rFonts w:ascii="Times New Roman" w:hAnsi="Times New Roman" w:cs="Verdana"/>
          <w:b/>
          <w:bCs/>
          <w:iCs/>
          <w:sz w:val="24"/>
          <w:szCs w:val="24"/>
        </w:rPr>
      </w:pPr>
    </w:p>
    <w:p w:rsidR="00561388" w:rsidRDefault="00F3440B" w:rsidP="009C11D6">
      <w:pPr>
        <w:spacing w:after="0" w:line="264" w:lineRule="auto"/>
        <w:jc w:val="both"/>
        <w:rPr>
          <w:rFonts w:ascii="Times New Roman" w:hAnsi="Times New Roman" w:cs="Times New Roman"/>
        </w:rPr>
      </w:pPr>
      <w:r w:rsidRPr="009C11D6">
        <w:rPr>
          <w:rFonts w:ascii="Times New Roman" w:hAnsi="Times New Roman" w:cs="Verdana"/>
          <w:b/>
          <w:bCs/>
          <w:iCs/>
          <w:sz w:val="24"/>
          <w:szCs w:val="24"/>
        </w:rPr>
        <w:t>M)</w:t>
      </w:r>
      <w:r w:rsidR="00561388">
        <w:rPr>
          <w:rFonts w:ascii="Times New Roman" w:hAnsi="Times New Roman" w:cs="Verdana"/>
          <w:b/>
          <w:bCs/>
          <w:iCs/>
          <w:sz w:val="24"/>
          <w:szCs w:val="24"/>
        </w:rPr>
        <w:t xml:space="preserve"> </w:t>
      </w:r>
      <w:r w:rsidR="00561388" w:rsidRPr="009C11D6">
        <w:rPr>
          <w:rFonts w:ascii="Times New Roman" w:hAnsi="Times New Roman" w:cs="Times New Roman"/>
          <w:b/>
        </w:rPr>
        <w:t>Korekcia mechanizmu medziročnej úpravy aktuálnej dôchodkovej hodnoty</w:t>
      </w:r>
    </w:p>
    <w:p w:rsidR="00561388" w:rsidRPr="00AD678C" w:rsidRDefault="00561388" w:rsidP="009C11D6">
      <w:pPr>
        <w:spacing w:after="0" w:line="264" w:lineRule="auto"/>
        <w:jc w:val="both"/>
        <w:rPr>
          <w:rFonts w:ascii="Times New Roman" w:hAnsi="Times New Roman" w:cs="Verdana"/>
          <w:b/>
          <w:bCs/>
          <w:iCs/>
          <w:sz w:val="24"/>
          <w:szCs w:val="24"/>
        </w:rPr>
      </w:pPr>
    </w:p>
    <w:p w:rsidR="00561388" w:rsidRPr="009C11D6" w:rsidRDefault="00561388" w:rsidP="009C11D6">
      <w:pPr>
        <w:spacing w:after="0" w:line="264" w:lineRule="auto"/>
        <w:ind w:firstLine="708"/>
        <w:jc w:val="both"/>
        <w:rPr>
          <w:rFonts w:ascii="Times New Roman" w:hAnsi="Times New Roman" w:cs="Times New Roman"/>
        </w:rPr>
      </w:pPr>
      <w:r w:rsidRPr="009C11D6">
        <w:rPr>
          <w:rFonts w:ascii="Times New Roman" w:hAnsi="Times New Roman" w:cs="Times New Roman"/>
        </w:rPr>
        <w:t>V nadväznosti zabezpečiť dlhodobú udržateľnosť verejných financií, a to najmä systému zdravotnej starostlivosti a dôchodkového systému sa navrhuje korekcia mechanizmu medziročnej úpravy aktuálnej dôchodkovej hodnoty.</w:t>
      </w:r>
      <w:r>
        <w:rPr>
          <w:rFonts w:ascii="Times New Roman" w:hAnsi="Times New Roman" w:cs="Times New Roman"/>
        </w:rPr>
        <w:t xml:space="preserve"> </w:t>
      </w:r>
      <w:r w:rsidR="00B4169F" w:rsidRPr="00B4169F">
        <w:rPr>
          <w:rFonts w:ascii="Times New Roman" w:hAnsi="Times New Roman" w:cs="Times New Roman"/>
        </w:rPr>
        <w:t xml:space="preserve">V súčasnosti je aktuálna dôchodková hodnota každoročne k 1. januáru upravovaná vzhľadom na medziročnú zmenu priemernej mzdy </w:t>
      </w:r>
      <w:r w:rsidR="00B4169F">
        <w:rPr>
          <w:rFonts w:ascii="Times New Roman" w:hAnsi="Times New Roman" w:cs="Times New Roman"/>
        </w:rPr>
        <w:t>v národnom hospodárstve zistenú</w:t>
      </w:r>
      <w:r w:rsidR="00B4169F" w:rsidRPr="00B4169F">
        <w:rPr>
          <w:rFonts w:ascii="Times New Roman" w:hAnsi="Times New Roman" w:cs="Times New Roman"/>
        </w:rPr>
        <w:t xml:space="preserve"> Štatistickým úradom SR za 3. štvrťrok kalendárneho roka. Korekčný mechanizmus spočíva v tom, že z medziročnej zmeny priemernej mzdy  sa na účely určenia indexu úpravy aktuálnej dôchodkovej hodnoty od 1. januára 2023 použije len 95 % tejto hodnoty. To znamená, že ak by predstavovala medziročná zmena priemernej mzdy za 3. štvrťrok napríklad rast na úrovni 5 %, na určenie aktuálnej dôchodkovej hodnoty sa použije hodnota 0,95*5 % = 4,75 %, t. j. index úpravy aktuálnej dôchodkovej hodnoty bude predstavovať hodnotu 1,0475.</w:t>
      </w:r>
      <w:r>
        <w:rPr>
          <w:rFonts w:ascii="Times New Roman" w:hAnsi="Times New Roman" w:cs="Times New Roman"/>
        </w:rPr>
        <w:t xml:space="preserve"> Vplyv uvedeného opatrenia bude postupný a výraznejšie ovplyvní predovšetkým poistencov, ktorí budú odchádzať do dôchodku v budúcnosti, nakoľko budú mať nižšiu novopriznanú sumu dôchodku v porovnaní so súčasným právnym stavom. </w:t>
      </w:r>
      <w:r w:rsidR="00E143EB">
        <w:rPr>
          <w:rFonts w:ascii="Times New Roman" w:hAnsi="Times New Roman" w:cs="Times New Roman"/>
        </w:rPr>
        <w:t>V</w:t>
      </w:r>
      <w:r>
        <w:rPr>
          <w:rFonts w:ascii="Times New Roman" w:hAnsi="Times New Roman" w:cs="Times New Roman"/>
        </w:rPr>
        <w:t xml:space="preserve"> roku 2070 predpokladáme pokles novopriznaných dôchodkov o približne 8,2 %. Úsporu vo</w:t>
      </w:r>
      <w:r w:rsidR="00E143EB">
        <w:rPr>
          <w:rFonts w:ascii="Times New Roman" w:hAnsi="Times New Roman" w:cs="Times New Roman"/>
        </w:rPr>
        <w:t xml:space="preserve"> výdavkoch v roku 2023 odhadujeme na úrovni približne 0,7 mil. eur a v roku 2024 na úrovni približne 2,2 mil. eur.</w:t>
      </w:r>
    </w:p>
    <w:p w:rsidR="00F3440B" w:rsidRDefault="00F3440B" w:rsidP="009C11D6">
      <w:pPr>
        <w:spacing w:after="0" w:line="240" w:lineRule="auto"/>
        <w:jc w:val="both"/>
        <w:rPr>
          <w:rFonts w:ascii="Times New Roman" w:hAnsi="Times New Roman" w:cs="Verdana"/>
          <w:b/>
          <w:bCs/>
          <w:iCs/>
          <w:sz w:val="24"/>
          <w:szCs w:val="24"/>
        </w:rPr>
      </w:pPr>
    </w:p>
    <w:p w:rsidR="00E143EB" w:rsidRPr="006C6991" w:rsidRDefault="00E143EB" w:rsidP="00E143EB">
      <w:pPr>
        <w:pStyle w:val="Nadpis3"/>
        <w:spacing w:before="0"/>
        <w:jc w:val="both"/>
        <w:rPr>
          <w:rFonts w:ascii="Times New Roman" w:hAnsi="Times New Roman" w:cs="Times New Roman"/>
          <w:color w:val="auto"/>
          <w:sz w:val="22"/>
          <w:szCs w:val="22"/>
        </w:rPr>
      </w:pPr>
      <w:r>
        <w:rPr>
          <w:rFonts w:ascii="Times New Roman" w:hAnsi="Times New Roman" w:cs="Times New Roman"/>
          <w:b/>
          <w:color w:val="auto"/>
          <w:sz w:val="22"/>
          <w:szCs w:val="22"/>
        </w:rPr>
        <w:t>Tabuľka 4</w:t>
      </w:r>
      <w:r w:rsidR="00B4169F">
        <w:rPr>
          <w:rFonts w:ascii="Times New Roman" w:hAnsi="Times New Roman" w:cs="Times New Roman"/>
          <w:b/>
          <w:color w:val="auto"/>
          <w:sz w:val="22"/>
          <w:szCs w:val="22"/>
        </w:rPr>
        <w:t>C</w:t>
      </w:r>
      <w:r w:rsidRPr="006C6991">
        <w:rPr>
          <w:rFonts w:ascii="Times New Roman" w:hAnsi="Times New Roman" w:cs="Times New Roman"/>
          <w:color w:val="auto"/>
          <w:sz w:val="22"/>
          <w:szCs w:val="22"/>
        </w:rPr>
        <w:t xml:space="preserve">: Vplyv </w:t>
      </w:r>
      <w:r>
        <w:rPr>
          <w:rFonts w:ascii="Times New Roman" w:hAnsi="Times New Roman" w:cs="Times New Roman"/>
          <w:color w:val="auto"/>
          <w:sz w:val="22"/>
          <w:szCs w:val="22"/>
        </w:rPr>
        <w:t>korekcie medziročnej úpravy aktuálnej dôchodkovej hodnoty n</w:t>
      </w:r>
      <w:r w:rsidRPr="006C6991">
        <w:rPr>
          <w:rFonts w:ascii="Times New Roman" w:hAnsi="Times New Roman" w:cs="Times New Roman"/>
          <w:color w:val="auto"/>
          <w:sz w:val="22"/>
          <w:szCs w:val="22"/>
        </w:rPr>
        <w:t xml:space="preserve">a výdavky dôchodkového systému </w:t>
      </w:r>
      <w:r>
        <w:rPr>
          <w:rFonts w:ascii="Times New Roman" w:hAnsi="Times New Roman" w:cs="Times New Roman"/>
          <w:color w:val="auto"/>
          <w:sz w:val="22"/>
          <w:szCs w:val="22"/>
        </w:rPr>
        <w:t>v dlhodobom horizonte</w:t>
      </w: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E143EB" w:rsidRPr="006C6991" w:rsidTr="00B3691A">
        <w:trPr>
          <w:trHeight w:val="300"/>
          <w:jc w:val="center"/>
        </w:trPr>
        <w:tc>
          <w:tcPr>
            <w:tcW w:w="1560" w:type="dxa"/>
            <w:noWrap/>
            <w:hideMark/>
          </w:tcPr>
          <w:p w:rsidR="00E143EB" w:rsidRPr="00CA3860" w:rsidRDefault="00E143EB" w:rsidP="00B3691A">
            <w:pPr>
              <w:spacing w:after="0" w:line="240" w:lineRule="auto"/>
              <w:rPr>
                <w:rFonts w:ascii="Times New Roman" w:hAnsi="Times New Roman"/>
                <w:color w:val="000000"/>
                <w:sz w:val="20"/>
                <w:szCs w:val="20"/>
                <w:lang w:eastAsia="sk-SK"/>
              </w:rPr>
            </w:pPr>
            <w:r w:rsidRPr="00CA3860">
              <w:rPr>
                <w:rFonts w:ascii="Times New Roman" w:hAnsi="Times New Roman"/>
                <w:color w:val="000000"/>
                <w:sz w:val="20"/>
                <w:szCs w:val="20"/>
                <w:lang w:eastAsia="sk-SK"/>
              </w:rPr>
              <w:t> </w:t>
            </w:r>
          </w:p>
        </w:tc>
        <w:tc>
          <w:tcPr>
            <w:tcW w:w="616"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2023</w:t>
            </w:r>
          </w:p>
        </w:tc>
        <w:tc>
          <w:tcPr>
            <w:tcW w:w="616"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2024</w:t>
            </w:r>
          </w:p>
        </w:tc>
        <w:tc>
          <w:tcPr>
            <w:tcW w:w="616"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2025</w:t>
            </w:r>
          </w:p>
        </w:tc>
        <w:tc>
          <w:tcPr>
            <w:tcW w:w="670"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2030</w:t>
            </w:r>
          </w:p>
        </w:tc>
        <w:tc>
          <w:tcPr>
            <w:tcW w:w="670"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2035</w:t>
            </w:r>
          </w:p>
        </w:tc>
        <w:tc>
          <w:tcPr>
            <w:tcW w:w="670"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2040</w:t>
            </w:r>
          </w:p>
        </w:tc>
        <w:tc>
          <w:tcPr>
            <w:tcW w:w="670"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2045</w:t>
            </w:r>
          </w:p>
        </w:tc>
        <w:tc>
          <w:tcPr>
            <w:tcW w:w="670" w:type="dxa"/>
            <w:noWrap/>
            <w:hideMark/>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2050</w:t>
            </w:r>
          </w:p>
        </w:tc>
        <w:tc>
          <w:tcPr>
            <w:tcW w:w="616" w:type="dxa"/>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2055</w:t>
            </w:r>
          </w:p>
        </w:tc>
        <w:tc>
          <w:tcPr>
            <w:tcW w:w="616" w:type="dxa"/>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2060</w:t>
            </w:r>
          </w:p>
        </w:tc>
        <w:tc>
          <w:tcPr>
            <w:tcW w:w="616" w:type="dxa"/>
          </w:tcPr>
          <w:p w:rsidR="00E143EB" w:rsidRPr="00FF2F56" w:rsidRDefault="00E143EB" w:rsidP="00B3691A">
            <w:pPr>
              <w:spacing w:after="0" w:line="240" w:lineRule="auto"/>
              <w:jc w:val="right"/>
              <w:rPr>
                <w:rFonts w:ascii="Times New Roman" w:hAnsi="Times New Roman"/>
                <w:color w:val="000000"/>
                <w:sz w:val="20"/>
                <w:szCs w:val="20"/>
                <w:lang w:eastAsia="sk-SK"/>
              </w:rPr>
            </w:pPr>
            <w:r w:rsidRPr="00FF2F56">
              <w:rPr>
                <w:rFonts w:ascii="Times New Roman" w:hAnsi="Times New Roman"/>
                <w:color w:val="000000"/>
                <w:sz w:val="20"/>
                <w:szCs w:val="20"/>
                <w:lang w:eastAsia="sk-SK"/>
              </w:rPr>
              <w:t>2065</w:t>
            </w:r>
          </w:p>
        </w:tc>
        <w:tc>
          <w:tcPr>
            <w:tcW w:w="616" w:type="dxa"/>
          </w:tcPr>
          <w:p w:rsidR="00E143EB" w:rsidRPr="00FF2F56" w:rsidRDefault="00E143EB" w:rsidP="00B3691A">
            <w:pPr>
              <w:spacing w:after="0" w:line="240" w:lineRule="auto"/>
              <w:rPr>
                <w:rFonts w:ascii="Times New Roman" w:hAnsi="Times New Roman"/>
                <w:color w:val="000000"/>
                <w:sz w:val="20"/>
                <w:szCs w:val="20"/>
                <w:lang w:eastAsia="sk-SK"/>
              </w:rPr>
            </w:pPr>
            <w:r w:rsidRPr="00FF2F56">
              <w:rPr>
                <w:rFonts w:ascii="Times New Roman" w:hAnsi="Times New Roman"/>
                <w:color w:val="000000"/>
                <w:sz w:val="20"/>
                <w:szCs w:val="20"/>
                <w:lang w:eastAsia="sk-SK"/>
              </w:rPr>
              <w:t>2070</w:t>
            </w:r>
          </w:p>
        </w:tc>
      </w:tr>
      <w:tr w:rsidR="00E143EB" w:rsidRPr="006C6991" w:rsidTr="009C11D6">
        <w:trPr>
          <w:trHeight w:val="300"/>
          <w:jc w:val="center"/>
        </w:trPr>
        <w:tc>
          <w:tcPr>
            <w:tcW w:w="1560" w:type="dxa"/>
            <w:noWrap/>
            <w:vAlign w:val="bottom"/>
            <w:hideMark/>
          </w:tcPr>
          <w:p w:rsidR="00E143EB" w:rsidRPr="009C11D6" w:rsidRDefault="00E143EB" w:rsidP="00E143EB">
            <w:pPr>
              <w:spacing w:after="0" w:line="240" w:lineRule="auto"/>
              <w:jc w:val="center"/>
              <w:rPr>
                <w:rFonts w:ascii="Times New Roman" w:hAnsi="Times New Roman" w:cs="Times New Roman"/>
                <w:bCs/>
                <w:color w:val="000000"/>
                <w:sz w:val="20"/>
                <w:szCs w:val="20"/>
                <w:lang w:eastAsia="sk-SK"/>
              </w:rPr>
            </w:pPr>
            <w:r w:rsidRPr="009C11D6">
              <w:rPr>
                <w:rFonts w:ascii="Times New Roman" w:hAnsi="Times New Roman" w:cs="Times New Roman"/>
                <w:bCs/>
                <w:color w:val="000000"/>
                <w:sz w:val="20"/>
                <w:szCs w:val="20"/>
                <w:lang w:eastAsia="sk-SK"/>
              </w:rPr>
              <w:t>Vplyv na bilanciu v p. b. HDP</w:t>
            </w:r>
          </w:p>
        </w:tc>
        <w:tc>
          <w:tcPr>
            <w:tcW w:w="616"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0,0</w:t>
            </w:r>
          </w:p>
        </w:tc>
        <w:tc>
          <w:tcPr>
            <w:tcW w:w="616"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0,0</w:t>
            </w:r>
          </w:p>
        </w:tc>
        <w:tc>
          <w:tcPr>
            <w:tcW w:w="616"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0,0</w:t>
            </w:r>
          </w:p>
        </w:tc>
        <w:tc>
          <w:tcPr>
            <w:tcW w:w="670"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0,0</w:t>
            </w:r>
          </w:p>
        </w:tc>
        <w:tc>
          <w:tcPr>
            <w:tcW w:w="670"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-0,1</w:t>
            </w:r>
          </w:p>
        </w:tc>
        <w:tc>
          <w:tcPr>
            <w:tcW w:w="670"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-0,1</w:t>
            </w:r>
          </w:p>
        </w:tc>
        <w:tc>
          <w:tcPr>
            <w:tcW w:w="670"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-0,2</w:t>
            </w:r>
          </w:p>
        </w:tc>
        <w:tc>
          <w:tcPr>
            <w:tcW w:w="670" w:type="dxa"/>
            <w:noWrap/>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-0,3</w:t>
            </w:r>
          </w:p>
        </w:tc>
        <w:tc>
          <w:tcPr>
            <w:tcW w:w="616" w:type="dxa"/>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-0,4</w:t>
            </w:r>
          </w:p>
        </w:tc>
        <w:tc>
          <w:tcPr>
            <w:tcW w:w="616" w:type="dxa"/>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-0,5</w:t>
            </w:r>
          </w:p>
        </w:tc>
        <w:tc>
          <w:tcPr>
            <w:tcW w:w="616" w:type="dxa"/>
            <w:vAlign w:val="center"/>
          </w:tcPr>
          <w:p w:rsidR="00E143EB" w:rsidRPr="009C11D6" w:rsidRDefault="00E143EB" w:rsidP="00E143EB">
            <w:pPr>
              <w:spacing w:after="0" w:line="240" w:lineRule="auto"/>
              <w:jc w:val="right"/>
              <w:rPr>
                <w:rFonts w:ascii="Times New Roman" w:hAnsi="Times New Roman" w:cs="Times New Roman"/>
                <w:bCs/>
                <w:color w:val="000000" w:themeColor="text1"/>
                <w:sz w:val="20"/>
                <w:szCs w:val="20"/>
                <w:lang w:eastAsia="sk-SK"/>
              </w:rPr>
            </w:pPr>
            <w:r w:rsidRPr="009C11D6">
              <w:rPr>
                <w:rFonts w:ascii="Times New Roman" w:hAnsi="Times New Roman" w:cs="Times New Roman"/>
                <w:sz w:val="20"/>
                <w:szCs w:val="20"/>
              </w:rPr>
              <w:t>-0,5</w:t>
            </w:r>
          </w:p>
        </w:tc>
        <w:tc>
          <w:tcPr>
            <w:tcW w:w="616" w:type="dxa"/>
            <w:vAlign w:val="center"/>
          </w:tcPr>
          <w:p w:rsidR="00E143EB" w:rsidRPr="009C11D6" w:rsidRDefault="00E143EB" w:rsidP="00E143EB">
            <w:pPr>
              <w:spacing w:after="0" w:line="240" w:lineRule="auto"/>
              <w:jc w:val="right"/>
              <w:rPr>
                <w:rFonts w:ascii="Times New Roman" w:hAnsi="Times New Roman" w:cs="Times New Roman"/>
                <w:color w:val="000000" w:themeColor="text1"/>
                <w:sz w:val="20"/>
                <w:szCs w:val="20"/>
              </w:rPr>
            </w:pPr>
            <w:r w:rsidRPr="009C11D6">
              <w:rPr>
                <w:rFonts w:ascii="Times New Roman" w:hAnsi="Times New Roman" w:cs="Times New Roman"/>
                <w:sz w:val="20"/>
                <w:szCs w:val="20"/>
              </w:rPr>
              <w:t>-0,6</w:t>
            </w:r>
          </w:p>
        </w:tc>
      </w:tr>
    </w:tbl>
    <w:p w:rsidR="00E143EB" w:rsidRPr="00CA3860" w:rsidRDefault="00E143EB" w:rsidP="00E143EB">
      <w:pPr>
        <w:spacing w:after="0"/>
        <w:rPr>
          <w:rFonts w:ascii="Times New Roman" w:hAnsi="Times New Roman"/>
          <w:sz w:val="20"/>
          <w:szCs w:val="20"/>
        </w:rPr>
      </w:pPr>
      <w:r>
        <w:rPr>
          <w:rFonts w:ascii="Times New Roman" w:hAnsi="Times New Roman"/>
          <w:sz w:val="20"/>
          <w:szCs w:val="20"/>
        </w:rPr>
        <w:t>Zdroj: MPSVR SR</w:t>
      </w:r>
      <w:r w:rsidRPr="00CA3860">
        <w:rPr>
          <w:rFonts w:ascii="Times New Roman" w:hAnsi="Times New Roman"/>
          <w:sz w:val="20"/>
          <w:szCs w:val="20"/>
        </w:rPr>
        <w:t>; (-) záporná hodnota predstavuje úsporu</w:t>
      </w:r>
    </w:p>
    <w:p w:rsidR="00E143EB" w:rsidRDefault="00E143EB" w:rsidP="009C11D6">
      <w:pPr>
        <w:spacing w:after="0" w:line="240" w:lineRule="auto"/>
        <w:jc w:val="both"/>
        <w:rPr>
          <w:rFonts w:ascii="Times New Roman" w:hAnsi="Times New Roman" w:cs="Verdana"/>
          <w:b/>
          <w:bCs/>
          <w:iCs/>
          <w:sz w:val="24"/>
          <w:szCs w:val="24"/>
        </w:rPr>
      </w:pPr>
    </w:p>
    <w:p w:rsidR="00E143EB" w:rsidRDefault="00E143EB" w:rsidP="00E143EB">
      <w:pPr>
        <w:spacing w:after="0" w:line="240" w:lineRule="auto"/>
        <w:rPr>
          <w:rFonts w:ascii="Times New Roman" w:hAnsi="Times New Roman" w:cs="Verdana"/>
          <w:b/>
          <w:bCs/>
          <w:iCs/>
          <w:sz w:val="24"/>
          <w:szCs w:val="24"/>
        </w:rPr>
      </w:pPr>
      <w:r>
        <w:rPr>
          <w:rFonts w:ascii="Times New Roman" w:hAnsi="Times New Roman" w:cs="Verdana"/>
          <w:b/>
          <w:bCs/>
          <w:iCs/>
          <w:sz w:val="24"/>
          <w:szCs w:val="24"/>
        </w:rPr>
        <w:t>Vplyv niektorých opatrení na dlhodobom horizonte</w:t>
      </w:r>
    </w:p>
    <w:p w:rsidR="00E143EB" w:rsidRDefault="00E143EB" w:rsidP="00E143EB">
      <w:pPr>
        <w:spacing w:after="0" w:line="240" w:lineRule="auto"/>
        <w:rPr>
          <w:rFonts w:ascii="Times New Roman" w:hAnsi="Times New Roman" w:cs="Verdana"/>
          <w:b/>
          <w:bCs/>
          <w:iCs/>
          <w:sz w:val="24"/>
          <w:szCs w:val="24"/>
        </w:rPr>
      </w:pPr>
    </w:p>
    <w:p w:rsidR="00E143EB" w:rsidRPr="00863545" w:rsidRDefault="00E143EB" w:rsidP="00E143EB">
      <w:pPr>
        <w:pStyle w:val="Nadpis2"/>
        <w:spacing w:before="0"/>
        <w:rPr>
          <w:rFonts w:ascii="Times New Roman" w:hAnsi="Times New Roman" w:cs="Times New Roman"/>
          <w:color w:val="auto"/>
          <w:sz w:val="22"/>
          <w:szCs w:val="22"/>
        </w:rPr>
      </w:pPr>
      <w:r w:rsidRPr="006C6991">
        <w:rPr>
          <w:rFonts w:ascii="Times New Roman" w:hAnsi="Times New Roman" w:cs="Times New Roman"/>
          <w:color w:val="auto"/>
          <w:sz w:val="22"/>
          <w:szCs w:val="22"/>
        </w:rPr>
        <w:t>Zhrnutie</w:t>
      </w:r>
      <w:r>
        <w:rPr>
          <w:rFonts w:ascii="Times New Roman" w:hAnsi="Times New Roman" w:cs="Times New Roman"/>
          <w:color w:val="auto"/>
          <w:sz w:val="22"/>
          <w:szCs w:val="22"/>
        </w:rPr>
        <w:t xml:space="preserve"> niektorých</w:t>
      </w:r>
      <w:r w:rsidRPr="006C6991">
        <w:rPr>
          <w:rFonts w:ascii="Times New Roman" w:hAnsi="Times New Roman" w:cs="Times New Roman"/>
          <w:color w:val="auto"/>
          <w:sz w:val="22"/>
          <w:szCs w:val="22"/>
        </w:rPr>
        <w:t xml:space="preserve"> vplyvov na bilanciu dôchodkového systému</w:t>
      </w:r>
      <w:r>
        <w:rPr>
          <w:rFonts w:ascii="Times New Roman" w:hAnsi="Times New Roman" w:cs="Times New Roman"/>
          <w:color w:val="auto"/>
          <w:sz w:val="22"/>
          <w:szCs w:val="22"/>
        </w:rPr>
        <w:t xml:space="preserve"> v dlhodobom horizonte</w:t>
      </w:r>
      <w:r w:rsidRPr="006C6991">
        <w:rPr>
          <w:rFonts w:ascii="Times New Roman" w:hAnsi="Times New Roman" w:cs="Times New Roman"/>
          <w:color w:val="auto"/>
          <w:sz w:val="22"/>
          <w:szCs w:val="22"/>
        </w:rPr>
        <w:t>:</w:t>
      </w:r>
    </w:p>
    <w:tbl>
      <w:tblPr>
        <w:tblStyle w:val="Mriekatabuky"/>
        <w:tblW w:w="9386" w:type="dxa"/>
        <w:jc w:val="center"/>
        <w:tblLook w:val="04A0" w:firstRow="1" w:lastRow="0" w:firstColumn="1" w:lastColumn="0" w:noHBand="0" w:noVBand="1"/>
      </w:tblPr>
      <w:tblGrid>
        <w:gridCol w:w="1438"/>
        <w:gridCol w:w="709"/>
        <w:gridCol w:w="616"/>
        <w:gridCol w:w="730"/>
        <w:gridCol w:w="709"/>
        <w:gridCol w:w="709"/>
        <w:gridCol w:w="709"/>
        <w:gridCol w:w="686"/>
        <w:gridCol w:w="616"/>
        <w:gridCol w:w="616"/>
        <w:gridCol w:w="616"/>
        <w:gridCol w:w="616"/>
        <w:gridCol w:w="616"/>
      </w:tblGrid>
      <w:tr w:rsidR="00E143EB" w:rsidRPr="006C6991" w:rsidTr="00B3691A">
        <w:trPr>
          <w:trHeight w:val="300"/>
          <w:jc w:val="center"/>
        </w:trPr>
        <w:tc>
          <w:tcPr>
            <w:tcW w:w="1438" w:type="dxa"/>
            <w:noWrap/>
            <w:hideMark/>
          </w:tcPr>
          <w:p w:rsidR="00E143EB" w:rsidRPr="001D51F8" w:rsidRDefault="00E143EB" w:rsidP="00B3691A">
            <w:pPr>
              <w:spacing w:after="0" w:line="240" w:lineRule="auto"/>
              <w:rPr>
                <w:rFonts w:ascii="Times New Roman" w:hAnsi="Times New Roman"/>
                <w:color w:val="000000"/>
                <w:sz w:val="20"/>
                <w:szCs w:val="20"/>
                <w:lang w:eastAsia="sk-SK"/>
              </w:rPr>
            </w:pPr>
            <w:r w:rsidRPr="001D51F8">
              <w:rPr>
                <w:rFonts w:ascii="Times New Roman" w:hAnsi="Times New Roman"/>
                <w:color w:val="000000"/>
                <w:sz w:val="20"/>
                <w:szCs w:val="20"/>
                <w:lang w:eastAsia="sk-SK"/>
              </w:rPr>
              <w:t> </w:t>
            </w:r>
          </w:p>
        </w:tc>
        <w:tc>
          <w:tcPr>
            <w:tcW w:w="709"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2023</w:t>
            </w:r>
          </w:p>
        </w:tc>
        <w:tc>
          <w:tcPr>
            <w:tcW w:w="616" w:type="dxa"/>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2024</w:t>
            </w:r>
          </w:p>
        </w:tc>
        <w:tc>
          <w:tcPr>
            <w:tcW w:w="730"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2025</w:t>
            </w:r>
          </w:p>
        </w:tc>
        <w:tc>
          <w:tcPr>
            <w:tcW w:w="709"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2030</w:t>
            </w:r>
          </w:p>
        </w:tc>
        <w:tc>
          <w:tcPr>
            <w:tcW w:w="709"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2035</w:t>
            </w:r>
          </w:p>
        </w:tc>
        <w:tc>
          <w:tcPr>
            <w:tcW w:w="709"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2040</w:t>
            </w:r>
          </w:p>
        </w:tc>
        <w:tc>
          <w:tcPr>
            <w:tcW w:w="686"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2045</w:t>
            </w:r>
          </w:p>
        </w:tc>
        <w:tc>
          <w:tcPr>
            <w:tcW w:w="616" w:type="dxa"/>
            <w:noWrap/>
            <w:hideMark/>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2050</w:t>
            </w:r>
          </w:p>
        </w:tc>
        <w:tc>
          <w:tcPr>
            <w:tcW w:w="616" w:type="dxa"/>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2055</w:t>
            </w:r>
          </w:p>
        </w:tc>
        <w:tc>
          <w:tcPr>
            <w:tcW w:w="616" w:type="dxa"/>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2060</w:t>
            </w:r>
          </w:p>
        </w:tc>
        <w:tc>
          <w:tcPr>
            <w:tcW w:w="616" w:type="dxa"/>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2065</w:t>
            </w:r>
          </w:p>
        </w:tc>
        <w:tc>
          <w:tcPr>
            <w:tcW w:w="616" w:type="dxa"/>
          </w:tcPr>
          <w:p w:rsidR="00E143EB" w:rsidRPr="001D51F8" w:rsidRDefault="00E143EB" w:rsidP="00B3691A">
            <w:pPr>
              <w:spacing w:after="0" w:line="240" w:lineRule="auto"/>
              <w:jc w:val="center"/>
              <w:rPr>
                <w:rFonts w:ascii="Times New Roman" w:hAnsi="Times New Roman"/>
                <w:b/>
                <w:color w:val="000000"/>
                <w:sz w:val="20"/>
                <w:szCs w:val="20"/>
                <w:lang w:eastAsia="sk-SK"/>
              </w:rPr>
            </w:pPr>
            <w:r w:rsidRPr="001D51F8">
              <w:rPr>
                <w:rFonts w:ascii="Times New Roman" w:hAnsi="Times New Roman"/>
                <w:b/>
                <w:color w:val="000000"/>
                <w:sz w:val="20"/>
                <w:szCs w:val="20"/>
                <w:lang w:eastAsia="sk-SK"/>
              </w:rPr>
              <w:t>2070</w:t>
            </w:r>
          </w:p>
        </w:tc>
      </w:tr>
      <w:tr w:rsidR="00E143EB" w:rsidRPr="006C6991" w:rsidTr="00B3691A">
        <w:trPr>
          <w:trHeight w:val="300"/>
          <w:jc w:val="center"/>
        </w:trPr>
        <w:tc>
          <w:tcPr>
            <w:tcW w:w="1438" w:type="dxa"/>
            <w:noWrap/>
            <w:hideMark/>
          </w:tcPr>
          <w:p w:rsidR="00E143EB" w:rsidRPr="001D51F8" w:rsidRDefault="00E143EB" w:rsidP="00B3691A">
            <w:pPr>
              <w:spacing w:after="0" w:line="240" w:lineRule="auto"/>
              <w:jc w:val="center"/>
              <w:rPr>
                <w:rFonts w:ascii="Times New Roman" w:hAnsi="Times New Roman"/>
                <w:bCs/>
                <w:color w:val="000000" w:themeColor="text1"/>
                <w:sz w:val="20"/>
                <w:szCs w:val="20"/>
                <w:lang w:eastAsia="sk-SK"/>
              </w:rPr>
            </w:pPr>
            <w:r w:rsidRPr="001D51F8">
              <w:rPr>
                <w:rFonts w:ascii="Times New Roman" w:hAnsi="Times New Roman"/>
                <w:color w:val="000000" w:themeColor="text1"/>
                <w:sz w:val="20"/>
                <w:szCs w:val="20"/>
              </w:rPr>
              <w:t>Naviazanie dôchodkového veku na SDŽ</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0,0</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0,0</w:t>
            </w:r>
          </w:p>
        </w:tc>
        <w:tc>
          <w:tcPr>
            <w:tcW w:w="730"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0,0</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0,0</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-0,3</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-0,8</w:t>
            </w:r>
          </w:p>
        </w:tc>
        <w:tc>
          <w:tcPr>
            <w:tcW w:w="686"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-1,1</w:t>
            </w:r>
          </w:p>
        </w:tc>
        <w:tc>
          <w:tcPr>
            <w:tcW w:w="616"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-1,5</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-1,8</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-1,9</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-1,8</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-2,0</w:t>
            </w:r>
          </w:p>
        </w:tc>
      </w:tr>
      <w:tr w:rsidR="00363644" w:rsidRPr="006C6991" w:rsidTr="000C5CFF">
        <w:trPr>
          <w:trHeight w:val="300"/>
          <w:jc w:val="center"/>
        </w:trPr>
        <w:tc>
          <w:tcPr>
            <w:tcW w:w="1438" w:type="dxa"/>
            <w:noWrap/>
          </w:tcPr>
          <w:p w:rsidR="00363644" w:rsidRPr="001D51F8" w:rsidRDefault="00363644" w:rsidP="00363644">
            <w:pPr>
              <w:spacing w:after="0" w:line="240" w:lineRule="auto"/>
              <w:jc w:val="center"/>
              <w:rPr>
                <w:rFonts w:ascii="Times New Roman" w:hAnsi="Times New Roman"/>
                <w:bCs/>
                <w:color w:val="000000" w:themeColor="text1"/>
                <w:sz w:val="20"/>
                <w:szCs w:val="20"/>
                <w:lang w:eastAsia="sk-SK"/>
              </w:rPr>
            </w:pPr>
            <w:r>
              <w:rPr>
                <w:rFonts w:ascii="Times New Roman" w:hAnsi="Times New Roman"/>
                <w:color w:val="000000" w:themeColor="text1"/>
                <w:sz w:val="20"/>
                <w:szCs w:val="20"/>
              </w:rPr>
              <w:t xml:space="preserve">Nárok na PSD po </w:t>
            </w:r>
            <w:r w:rsidRPr="001D51F8">
              <w:rPr>
                <w:rFonts w:ascii="Times New Roman" w:hAnsi="Times New Roman"/>
                <w:color w:val="000000" w:themeColor="text1"/>
                <w:sz w:val="20"/>
                <w:szCs w:val="20"/>
              </w:rPr>
              <w:t xml:space="preserve">40 odpracovaných rokov </w:t>
            </w:r>
          </w:p>
        </w:tc>
        <w:tc>
          <w:tcPr>
            <w:tcW w:w="709"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0,0</w:t>
            </w:r>
          </w:p>
        </w:tc>
        <w:tc>
          <w:tcPr>
            <w:tcW w:w="616" w:type="dxa"/>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0,0</w:t>
            </w:r>
          </w:p>
        </w:tc>
        <w:tc>
          <w:tcPr>
            <w:tcW w:w="730"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0,0</w:t>
            </w:r>
          </w:p>
        </w:tc>
        <w:tc>
          <w:tcPr>
            <w:tcW w:w="709"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0,0</w:t>
            </w:r>
          </w:p>
        </w:tc>
        <w:tc>
          <w:tcPr>
            <w:tcW w:w="709"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0,0</w:t>
            </w:r>
          </w:p>
        </w:tc>
        <w:tc>
          <w:tcPr>
            <w:tcW w:w="709"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86"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16" w:type="dxa"/>
            <w:noWrap/>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16" w:type="dxa"/>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16" w:type="dxa"/>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16" w:type="dxa"/>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c>
          <w:tcPr>
            <w:tcW w:w="616" w:type="dxa"/>
            <w:vAlign w:val="center"/>
          </w:tcPr>
          <w:p w:rsidR="00363644" w:rsidRPr="001D51F8" w:rsidRDefault="00363644" w:rsidP="00363644">
            <w:pPr>
              <w:spacing w:after="0"/>
              <w:jc w:val="center"/>
              <w:rPr>
                <w:rFonts w:ascii="Times New Roman" w:hAnsi="Times New Roman"/>
                <w:color w:val="000000" w:themeColor="text1"/>
                <w:sz w:val="20"/>
                <w:szCs w:val="20"/>
              </w:rPr>
            </w:pPr>
            <w:r w:rsidRPr="00F11736">
              <w:rPr>
                <w:rFonts w:ascii="Arial Narrow" w:hAnsi="Arial Narrow"/>
                <w:color w:val="000000"/>
                <w:sz w:val="20"/>
                <w:szCs w:val="20"/>
              </w:rPr>
              <w:t>0,1</w:t>
            </w:r>
          </w:p>
        </w:tc>
      </w:tr>
      <w:tr w:rsidR="00E143EB" w:rsidRPr="006C6991" w:rsidTr="00B3691A">
        <w:trPr>
          <w:trHeight w:val="300"/>
          <w:jc w:val="center"/>
        </w:trPr>
        <w:tc>
          <w:tcPr>
            <w:tcW w:w="1438" w:type="dxa"/>
            <w:noWrap/>
          </w:tcPr>
          <w:p w:rsidR="00E143EB" w:rsidRPr="001D51F8" w:rsidRDefault="00E143EB" w:rsidP="00B3691A">
            <w:pPr>
              <w:spacing w:after="0" w:line="240" w:lineRule="auto"/>
              <w:jc w:val="center"/>
              <w:rPr>
                <w:rFonts w:ascii="Times New Roman" w:hAnsi="Times New Roman"/>
                <w:bCs/>
                <w:color w:val="000000" w:themeColor="text1"/>
                <w:sz w:val="20"/>
                <w:szCs w:val="20"/>
                <w:lang w:eastAsia="sk-SK"/>
              </w:rPr>
            </w:pPr>
            <w:r>
              <w:rPr>
                <w:rFonts w:ascii="Times New Roman" w:hAnsi="Times New Roman"/>
                <w:color w:val="000000" w:themeColor="text1"/>
                <w:sz w:val="20"/>
                <w:szCs w:val="20"/>
              </w:rPr>
              <w:t>Rodičovský dôchodok</w:t>
            </w:r>
            <w:r w:rsidRPr="001D51F8">
              <w:rPr>
                <w:rFonts w:ascii="Times New Roman" w:hAnsi="Times New Roman"/>
                <w:color w:val="000000" w:themeColor="text1"/>
                <w:sz w:val="20"/>
                <w:szCs w:val="20"/>
              </w:rPr>
              <w:t xml:space="preserve"> (asignácia)</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0,5</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730"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0,5</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0,5</w:t>
            </w:r>
          </w:p>
        </w:tc>
        <w:tc>
          <w:tcPr>
            <w:tcW w:w="709"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86"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16" w:type="dxa"/>
            <w:noWrap/>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c>
          <w:tcPr>
            <w:tcW w:w="616" w:type="dxa"/>
            <w:vAlign w:val="bottom"/>
          </w:tcPr>
          <w:p w:rsidR="00E143EB" w:rsidRPr="001D51F8" w:rsidRDefault="00E143EB" w:rsidP="00B3691A">
            <w:pPr>
              <w:spacing w:after="0"/>
              <w:jc w:val="center"/>
              <w:rPr>
                <w:rFonts w:ascii="Times New Roman" w:hAnsi="Times New Roman"/>
                <w:color w:val="000000" w:themeColor="text1"/>
                <w:sz w:val="20"/>
                <w:szCs w:val="20"/>
              </w:rPr>
            </w:pPr>
            <w:r w:rsidRPr="00BF72E6">
              <w:rPr>
                <w:rFonts w:ascii="Times New Roman" w:hAnsi="Times New Roman"/>
                <w:color w:val="000000" w:themeColor="text1"/>
                <w:sz w:val="20"/>
                <w:szCs w:val="20"/>
              </w:rPr>
              <w:t>0,6</w:t>
            </w:r>
          </w:p>
        </w:tc>
      </w:tr>
      <w:tr w:rsidR="00E143EB" w:rsidRPr="006C6991" w:rsidTr="009C11D6">
        <w:trPr>
          <w:trHeight w:val="300"/>
          <w:jc w:val="center"/>
        </w:trPr>
        <w:tc>
          <w:tcPr>
            <w:tcW w:w="1438" w:type="dxa"/>
            <w:noWrap/>
          </w:tcPr>
          <w:p w:rsidR="00E143EB" w:rsidRPr="009C11D6" w:rsidRDefault="00E143EB" w:rsidP="00AD678C">
            <w:pPr>
              <w:spacing w:after="0" w:line="240" w:lineRule="auto"/>
              <w:jc w:val="center"/>
              <w:rPr>
                <w:rFonts w:ascii="Times New Roman" w:hAnsi="Times New Roman" w:cs="Times New Roman"/>
                <w:bCs/>
                <w:color w:val="000000" w:themeColor="text1"/>
                <w:sz w:val="20"/>
                <w:szCs w:val="20"/>
                <w:lang w:eastAsia="sk-SK"/>
              </w:rPr>
            </w:pPr>
            <w:r w:rsidRPr="009C11D6">
              <w:rPr>
                <w:rFonts w:ascii="Times New Roman" w:hAnsi="Times New Roman" w:cs="Times New Roman"/>
                <w:color w:val="000000" w:themeColor="text1"/>
                <w:sz w:val="20"/>
                <w:szCs w:val="20"/>
              </w:rPr>
              <w:t xml:space="preserve">Korekcia ADH </w:t>
            </w:r>
          </w:p>
        </w:tc>
        <w:tc>
          <w:tcPr>
            <w:tcW w:w="709"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0,0</w:t>
            </w:r>
          </w:p>
        </w:tc>
        <w:tc>
          <w:tcPr>
            <w:tcW w:w="616" w:type="dxa"/>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0,0</w:t>
            </w:r>
          </w:p>
        </w:tc>
        <w:tc>
          <w:tcPr>
            <w:tcW w:w="730"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0,0</w:t>
            </w:r>
          </w:p>
        </w:tc>
        <w:tc>
          <w:tcPr>
            <w:tcW w:w="709"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0,0</w:t>
            </w:r>
          </w:p>
        </w:tc>
        <w:tc>
          <w:tcPr>
            <w:tcW w:w="709"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-0,1</w:t>
            </w:r>
          </w:p>
        </w:tc>
        <w:tc>
          <w:tcPr>
            <w:tcW w:w="709"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-0,1</w:t>
            </w:r>
          </w:p>
        </w:tc>
        <w:tc>
          <w:tcPr>
            <w:tcW w:w="686"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-0,2</w:t>
            </w:r>
          </w:p>
        </w:tc>
        <w:tc>
          <w:tcPr>
            <w:tcW w:w="616" w:type="dxa"/>
            <w:noWrap/>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-0,3</w:t>
            </w:r>
          </w:p>
        </w:tc>
        <w:tc>
          <w:tcPr>
            <w:tcW w:w="616" w:type="dxa"/>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-0,4</w:t>
            </w:r>
          </w:p>
        </w:tc>
        <w:tc>
          <w:tcPr>
            <w:tcW w:w="616" w:type="dxa"/>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-0,5</w:t>
            </w:r>
          </w:p>
        </w:tc>
        <w:tc>
          <w:tcPr>
            <w:tcW w:w="616" w:type="dxa"/>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-0,5</w:t>
            </w:r>
          </w:p>
        </w:tc>
        <w:tc>
          <w:tcPr>
            <w:tcW w:w="616" w:type="dxa"/>
            <w:vAlign w:val="center"/>
          </w:tcPr>
          <w:p w:rsidR="00E143EB" w:rsidRPr="009C11D6" w:rsidRDefault="00E143EB" w:rsidP="00E143EB">
            <w:pPr>
              <w:spacing w:after="0"/>
              <w:jc w:val="center"/>
              <w:rPr>
                <w:rFonts w:ascii="Times New Roman" w:hAnsi="Times New Roman" w:cs="Times New Roman"/>
                <w:color w:val="000000" w:themeColor="text1"/>
                <w:sz w:val="20"/>
                <w:szCs w:val="20"/>
              </w:rPr>
            </w:pPr>
            <w:r w:rsidRPr="009C11D6">
              <w:rPr>
                <w:rFonts w:ascii="Times New Roman" w:hAnsi="Times New Roman" w:cs="Times New Roman"/>
                <w:sz w:val="20"/>
                <w:szCs w:val="20"/>
              </w:rPr>
              <w:t>-0,6</w:t>
            </w:r>
          </w:p>
        </w:tc>
      </w:tr>
      <w:tr w:rsidR="00A816A2" w:rsidRPr="006C6991" w:rsidTr="00A816A2">
        <w:trPr>
          <w:trHeight w:val="300"/>
          <w:jc w:val="center"/>
        </w:trPr>
        <w:tc>
          <w:tcPr>
            <w:tcW w:w="1438" w:type="dxa"/>
            <w:noWrap/>
          </w:tcPr>
          <w:p w:rsidR="00A816A2" w:rsidRPr="009C11D6" w:rsidRDefault="00A816A2" w:rsidP="00A816A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Zrušenie max. mesačných VZ a zvýšenie max. DVZ </w:t>
            </w:r>
          </w:p>
        </w:tc>
        <w:tc>
          <w:tcPr>
            <w:tcW w:w="709"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-0,1</w:t>
            </w:r>
          </w:p>
        </w:tc>
        <w:tc>
          <w:tcPr>
            <w:tcW w:w="616" w:type="dxa"/>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-0,1</w:t>
            </w:r>
          </w:p>
        </w:tc>
        <w:tc>
          <w:tcPr>
            <w:tcW w:w="730"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-0,1</w:t>
            </w:r>
          </w:p>
        </w:tc>
        <w:tc>
          <w:tcPr>
            <w:tcW w:w="709"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-0,1</w:t>
            </w:r>
          </w:p>
        </w:tc>
        <w:tc>
          <w:tcPr>
            <w:tcW w:w="709"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-0,1</w:t>
            </w:r>
          </w:p>
        </w:tc>
        <w:tc>
          <w:tcPr>
            <w:tcW w:w="709"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86"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16" w:type="dxa"/>
            <w:noWrap/>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16" w:type="dxa"/>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16" w:type="dxa"/>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16" w:type="dxa"/>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c>
          <w:tcPr>
            <w:tcW w:w="616" w:type="dxa"/>
            <w:vAlign w:val="bottom"/>
          </w:tcPr>
          <w:p w:rsidR="00A816A2" w:rsidRPr="00A816A2" w:rsidRDefault="00A816A2" w:rsidP="00A816A2">
            <w:pPr>
              <w:spacing w:after="0"/>
              <w:jc w:val="center"/>
              <w:rPr>
                <w:rFonts w:ascii="Times New Roman" w:hAnsi="Times New Roman" w:cs="Times New Roman"/>
                <w:sz w:val="20"/>
                <w:szCs w:val="20"/>
              </w:rPr>
            </w:pPr>
            <w:r w:rsidRPr="00A816A2">
              <w:rPr>
                <w:rFonts w:ascii="Times New Roman" w:hAnsi="Times New Roman" w:cs="Times New Roman"/>
                <w:sz w:val="20"/>
                <w:szCs w:val="20"/>
              </w:rPr>
              <w:t>-0,2</w:t>
            </w:r>
          </w:p>
        </w:tc>
      </w:tr>
    </w:tbl>
    <w:p w:rsidR="00AD678C" w:rsidRDefault="00E143EB" w:rsidP="00506756">
      <w:pPr>
        <w:spacing w:after="0"/>
        <w:rPr>
          <w:rFonts w:ascii="Times New Roman" w:hAnsi="Times New Roman"/>
          <w:sz w:val="20"/>
          <w:szCs w:val="20"/>
        </w:rPr>
      </w:pPr>
      <w:r>
        <w:rPr>
          <w:rFonts w:ascii="Times New Roman" w:hAnsi="Times New Roman"/>
          <w:sz w:val="20"/>
          <w:szCs w:val="20"/>
        </w:rPr>
        <w:t>Zdroj: MPSVR SR</w:t>
      </w:r>
      <w:r w:rsidRPr="001D51F8">
        <w:rPr>
          <w:rFonts w:ascii="Times New Roman" w:hAnsi="Times New Roman"/>
          <w:sz w:val="20"/>
          <w:szCs w:val="20"/>
        </w:rPr>
        <w:t>; (-) zá</w:t>
      </w:r>
      <w:r>
        <w:rPr>
          <w:rFonts w:ascii="Times New Roman" w:hAnsi="Times New Roman"/>
          <w:sz w:val="20"/>
          <w:szCs w:val="20"/>
        </w:rPr>
        <w:t>porná hodnota predstavuje pozitívny vplyv na bilanciu dôchodkového systému</w:t>
      </w:r>
    </w:p>
    <w:p w:rsidR="00506756" w:rsidRPr="00506756" w:rsidRDefault="00506756" w:rsidP="00506756">
      <w:pPr>
        <w:spacing w:after="0"/>
        <w:rPr>
          <w:rFonts w:ascii="Times New Roman" w:hAnsi="Times New Roman"/>
          <w:sz w:val="20"/>
          <w:szCs w:val="20"/>
        </w:rPr>
      </w:pPr>
    </w:p>
    <w:p w:rsidR="00AD678C" w:rsidRDefault="00AD678C" w:rsidP="00FB7D52">
      <w:pPr>
        <w:spacing w:after="0" w:line="240" w:lineRule="auto"/>
        <w:jc w:val="right"/>
        <w:rPr>
          <w:rFonts w:ascii="Times New Roman" w:eastAsia="Times New Roman" w:hAnsi="Times New Roman" w:cs="Times New Roman"/>
          <w:bCs/>
          <w:lang w:eastAsia="sk-SK"/>
        </w:rPr>
      </w:pPr>
    </w:p>
    <w:p w:rsidR="007735A8" w:rsidRPr="00863545" w:rsidRDefault="00571A25" w:rsidP="00FB7D52">
      <w:pPr>
        <w:spacing w:after="0" w:line="240" w:lineRule="auto"/>
        <w:jc w:val="right"/>
        <w:rPr>
          <w:rFonts w:ascii="Times New Roman" w:hAnsi="Times New Roman" w:cs="Verdana"/>
          <w:b/>
          <w:bCs/>
          <w:iCs/>
        </w:rPr>
      </w:pPr>
      <w:r w:rsidRPr="00863545">
        <w:rPr>
          <w:rFonts w:ascii="Times New Roman" w:eastAsia="Times New Roman" w:hAnsi="Times New Roman" w:cs="Times New Roman"/>
          <w:bCs/>
          <w:lang w:eastAsia="sk-SK"/>
        </w:rPr>
        <w:t>Tabuľka č. 4</w:t>
      </w:r>
      <w:r w:rsidR="006C17A8" w:rsidRPr="00863545">
        <w:rPr>
          <w:rFonts w:ascii="Times New Roman" w:eastAsia="Times New Roman" w:hAnsi="Times New Roman" w:cs="Times New Roman"/>
          <w:bCs/>
          <w:lang w:eastAsia="sk-SK"/>
        </w:rPr>
        <w:t>A v eur</w:t>
      </w:r>
    </w:p>
    <w:tbl>
      <w:tblPr>
        <w:tblW w:w="9422" w:type="dxa"/>
        <w:tblCellMar>
          <w:left w:w="70" w:type="dxa"/>
          <w:right w:w="70" w:type="dxa"/>
        </w:tblCellMar>
        <w:tblLook w:val="04A0" w:firstRow="1" w:lastRow="0" w:firstColumn="1" w:lastColumn="0" w:noHBand="0" w:noVBand="1"/>
      </w:tblPr>
      <w:tblGrid>
        <w:gridCol w:w="4176"/>
        <w:gridCol w:w="979"/>
        <w:gridCol w:w="1059"/>
        <w:gridCol w:w="1147"/>
        <w:gridCol w:w="1125"/>
        <w:gridCol w:w="8"/>
        <w:gridCol w:w="920"/>
        <w:gridCol w:w="8"/>
      </w:tblGrid>
      <w:tr w:rsidR="00E67266" w:rsidRPr="00E67266" w:rsidTr="008159FF">
        <w:trPr>
          <w:trHeight w:val="420"/>
        </w:trPr>
        <w:tc>
          <w:tcPr>
            <w:tcW w:w="41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Výdavky rozpočet verejnej správy celkom (v eurách)</w:t>
            </w:r>
          </w:p>
        </w:tc>
        <w:tc>
          <w:tcPr>
            <w:tcW w:w="4318" w:type="dxa"/>
            <w:gridSpan w:val="5"/>
            <w:tcBorders>
              <w:top w:val="single" w:sz="8" w:space="0" w:color="auto"/>
              <w:left w:val="nil"/>
              <w:bottom w:val="single" w:sz="8" w:space="0" w:color="auto"/>
              <w:right w:val="single" w:sz="8" w:space="0" w:color="000000"/>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 xml:space="preserve">Vplyv na rozpočet verejnej správy celkom                                                      </w:t>
            </w:r>
          </w:p>
        </w:tc>
        <w:tc>
          <w:tcPr>
            <w:tcW w:w="928" w:type="dxa"/>
            <w:gridSpan w:val="2"/>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7266" w:rsidRPr="00E67266" w:rsidRDefault="00E67266" w:rsidP="00E67266">
            <w:pPr>
              <w:spacing w:after="0" w:line="240" w:lineRule="auto"/>
              <w:jc w:val="center"/>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poznámka</w:t>
            </w:r>
          </w:p>
        </w:tc>
      </w:tr>
      <w:tr w:rsidR="00E67266" w:rsidRPr="00E67266" w:rsidTr="008159FF">
        <w:trPr>
          <w:gridAfter w:val="1"/>
          <w:wAfter w:w="8" w:type="dxa"/>
          <w:trHeight w:val="660"/>
        </w:trPr>
        <w:tc>
          <w:tcPr>
            <w:tcW w:w="4176"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color w:val="000000" w:themeColor="text1"/>
                <w:sz w:val="20"/>
                <w:szCs w:val="20"/>
                <w:lang w:eastAsia="sk-SK"/>
              </w:rPr>
            </w:pPr>
          </w:p>
        </w:tc>
        <w:tc>
          <w:tcPr>
            <w:tcW w:w="97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2021</w:t>
            </w:r>
          </w:p>
        </w:tc>
        <w:tc>
          <w:tcPr>
            <w:tcW w:w="105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2022</w:t>
            </w:r>
          </w:p>
        </w:tc>
        <w:tc>
          <w:tcPr>
            <w:tcW w:w="114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2023</w:t>
            </w:r>
          </w:p>
        </w:tc>
        <w:tc>
          <w:tcPr>
            <w:tcW w:w="1125"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2024</w:t>
            </w:r>
          </w:p>
        </w:tc>
        <w:tc>
          <w:tcPr>
            <w:tcW w:w="928" w:type="dxa"/>
            <w:gridSpan w:val="2"/>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Bežné výdavky (600)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-1 758 032</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-9 595 257</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853 147 046</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954 780 028</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color w:val="000000" w:themeColor="text1"/>
                <w:sz w:val="20"/>
                <w:szCs w:val="20"/>
                <w:lang w:eastAsia="sk-SK"/>
              </w:rPr>
            </w:pPr>
            <w:r w:rsidRPr="00E67266">
              <w:rPr>
                <w:rFonts w:ascii="Arial Narrow" w:eastAsia="Times New Roman" w:hAnsi="Arial Narrow" w:cs="Arial"/>
                <w:color w:val="000000" w:themeColor="text1"/>
                <w:sz w:val="20"/>
                <w:szCs w:val="20"/>
                <w:lang w:eastAsia="sk-SK"/>
              </w:rPr>
              <w:t>Mzdy, platy, služobné príjmy a ostatné osobné vyrovnania (610)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-63 000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themeColor="text1"/>
                <w:sz w:val="20"/>
                <w:szCs w:val="20"/>
                <w:lang w:eastAsia="sk-SK"/>
              </w:rPr>
            </w:pPr>
            <w:r w:rsidRPr="00E67266">
              <w:rPr>
                <w:rFonts w:ascii="Arial Narrow" w:eastAsia="Times New Roman" w:hAnsi="Arial Narrow" w:cs="Arial"/>
                <w:b/>
                <w:bCs/>
                <w:color w:val="000000" w:themeColor="text1"/>
                <w:sz w:val="20"/>
                <w:szCs w:val="20"/>
                <w:lang w:eastAsia="sk-SK"/>
              </w:rPr>
              <w:t>-3 684 000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-3 684 000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78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-63 000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-3 684 000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-3 684 000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27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a príspevok do poisťovní (620)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-22 019</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114 529</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142 571</w:t>
            </w:r>
          </w:p>
        </w:tc>
        <w:tc>
          <w:tcPr>
            <w:tcW w:w="928" w:type="dxa"/>
            <w:gridSpan w:val="2"/>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-1 758 032</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-10 666 113</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-2 636 387</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-5 715 146</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1 155 874</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859 352 904</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964 036 603</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85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500 000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25"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9"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9"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7"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25"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8" w:type="dxa"/>
            <w:gridSpan w:val="2"/>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gridAfter w:val="1"/>
          <w:wAfter w:w="8" w:type="dxa"/>
          <w:trHeight w:val="330"/>
        </w:trPr>
        <w:tc>
          <w:tcPr>
            <w:tcW w:w="4176" w:type="dxa"/>
            <w:tcBorders>
              <w:top w:val="nil"/>
              <w:left w:val="single" w:sz="8" w:space="0" w:color="auto"/>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Dopad na výdavky verejnej správy celkom</w:t>
            </w:r>
          </w:p>
        </w:tc>
        <w:tc>
          <w:tcPr>
            <w:tcW w:w="97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-1 258 032</w:t>
            </w:r>
          </w:p>
        </w:tc>
        <w:tc>
          <w:tcPr>
            <w:tcW w:w="105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-9 595 257</w:t>
            </w:r>
          </w:p>
        </w:tc>
        <w:tc>
          <w:tcPr>
            <w:tcW w:w="114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853 147 046</w:t>
            </w:r>
          </w:p>
        </w:tc>
        <w:tc>
          <w:tcPr>
            <w:tcW w:w="1125"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954 780 028</w:t>
            </w:r>
          </w:p>
        </w:tc>
        <w:tc>
          <w:tcPr>
            <w:tcW w:w="928" w:type="dxa"/>
            <w:gridSpan w:val="2"/>
            <w:tcBorders>
              <w:top w:val="nil"/>
              <w:left w:val="nil"/>
              <w:bottom w:val="single" w:sz="8" w:space="0" w:color="auto"/>
              <w:right w:val="single" w:sz="8" w:space="0" w:color="auto"/>
            </w:tcBorders>
            <w:shd w:val="clear" w:color="000000" w:fill="BFBFBF"/>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rsidR="00170476" w:rsidRDefault="00170476" w:rsidP="007735A8">
      <w:pPr>
        <w:rPr>
          <w:rFonts w:ascii="Times New Roman" w:hAnsi="Times New Roman" w:cs="Verdana"/>
          <w:sz w:val="24"/>
          <w:szCs w:val="24"/>
        </w:rPr>
      </w:pPr>
    </w:p>
    <w:p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4B v eur</w:t>
      </w:r>
    </w:p>
    <w:tbl>
      <w:tblPr>
        <w:tblW w:w="9438" w:type="dxa"/>
        <w:tblCellMar>
          <w:left w:w="70" w:type="dxa"/>
          <w:right w:w="70" w:type="dxa"/>
        </w:tblCellMar>
        <w:tblLook w:val="04A0" w:firstRow="1" w:lastRow="0" w:firstColumn="1" w:lastColumn="0" w:noHBand="0" w:noVBand="1"/>
      </w:tblPr>
      <w:tblGrid>
        <w:gridCol w:w="4167"/>
        <w:gridCol w:w="978"/>
        <w:gridCol w:w="1058"/>
        <w:gridCol w:w="1158"/>
        <w:gridCol w:w="1134"/>
        <w:gridCol w:w="943"/>
      </w:tblGrid>
      <w:tr w:rsidR="00E67266" w:rsidRPr="00E67266" w:rsidTr="008159FF">
        <w:trPr>
          <w:trHeight w:val="1005"/>
        </w:trPr>
        <w:tc>
          <w:tcPr>
            <w:tcW w:w="416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štátny rozpočet (v eurách)</w:t>
            </w:r>
          </w:p>
        </w:tc>
        <w:tc>
          <w:tcPr>
            <w:tcW w:w="4328" w:type="dxa"/>
            <w:gridSpan w:val="4"/>
            <w:tcBorders>
              <w:top w:val="single" w:sz="8" w:space="0" w:color="auto"/>
              <w:left w:val="nil"/>
              <w:bottom w:val="single" w:sz="8" w:space="0" w:color="auto"/>
              <w:right w:val="single" w:sz="8" w:space="0" w:color="000000"/>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výdavky štátneho rozpočtu    </w:t>
            </w:r>
          </w:p>
        </w:tc>
        <w:tc>
          <w:tcPr>
            <w:tcW w:w="943"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poznámka</w:t>
            </w:r>
          </w:p>
        </w:tc>
      </w:tr>
      <w:tr w:rsidR="00E67266" w:rsidRPr="00E67266" w:rsidTr="008159FF">
        <w:trPr>
          <w:trHeight w:val="270"/>
        </w:trPr>
        <w:tc>
          <w:tcPr>
            <w:tcW w:w="4167"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2021</w:t>
            </w:r>
          </w:p>
        </w:tc>
        <w:tc>
          <w:tcPr>
            <w:tcW w:w="10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2022</w:t>
            </w:r>
          </w:p>
        </w:tc>
        <w:tc>
          <w:tcPr>
            <w:tcW w:w="11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2024</w:t>
            </w:r>
          </w:p>
        </w:tc>
        <w:tc>
          <w:tcPr>
            <w:tcW w:w="943" w:type="dxa"/>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232 305 667</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270 829 230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1 402 087</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1 430 129</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Tovary a služby (630)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lastRenderedPageBreak/>
              <w:t>Energie, voda a komunikácie (632)</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Rutinná a štandardná údržba (635)</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230 903 580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269 399 101</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230 903 580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color w:val="000000"/>
                <w:sz w:val="20"/>
                <w:szCs w:val="20"/>
                <w:lang w:eastAsia="sk-SK"/>
              </w:rPr>
            </w:pPr>
            <w:r w:rsidRPr="00E67266">
              <w:rPr>
                <w:rFonts w:ascii="Arial Narrow" w:eastAsia="Times New Roman" w:hAnsi="Arial Narrow" w:cs="Arial"/>
                <w:color w:val="000000"/>
                <w:sz w:val="20"/>
                <w:szCs w:val="20"/>
                <w:lang w:eastAsia="sk-SK"/>
              </w:rPr>
              <w:t>269 399 101</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855"/>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7"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8"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7" w:type="dxa"/>
            <w:tcBorders>
              <w:top w:val="nil"/>
              <w:left w:val="single" w:sz="8" w:space="0" w:color="auto"/>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rPr>
                <w:rFonts w:ascii="Arial Narrow" w:eastAsia="Times New Roman" w:hAnsi="Arial Narrow" w:cs="Arial"/>
                <w:b/>
                <w:bCs/>
                <w:sz w:val="18"/>
                <w:szCs w:val="18"/>
                <w:lang w:eastAsia="sk-SK"/>
              </w:rPr>
            </w:pPr>
            <w:r w:rsidRPr="00E67266">
              <w:rPr>
                <w:rFonts w:ascii="Arial Narrow" w:eastAsia="Times New Roman" w:hAnsi="Arial Narrow" w:cs="Arial"/>
                <w:b/>
                <w:bCs/>
                <w:sz w:val="18"/>
                <w:szCs w:val="18"/>
                <w:lang w:eastAsia="sk-SK"/>
              </w:rPr>
              <w:t>Dopad na výdavky štátneho rozpočtu MPSVR SR celkom</w:t>
            </w:r>
          </w:p>
        </w:tc>
        <w:tc>
          <w:tcPr>
            <w:tcW w:w="97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232 305 667</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270 829 230</w:t>
            </w:r>
          </w:p>
        </w:tc>
        <w:tc>
          <w:tcPr>
            <w:tcW w:w="943" w:type="dxa"/>
            <w:tcBorders>
              <w:top w:val="nil"/>
              <w:left w:val="nil"/>
              <w:bottom w:val="single" w:sz="8" w:space="0" w:color="auto"/>
              <w:right w:val="single" w:sz="8" w:space="0" w:color="auto"/>
            </w:tcBorders>
            <w:shd w:val="clear" w:color="000000" w:fill="BFBFBF"/>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rsidR="00FB7D52" w:rsidRDefault="00FB7D52" w:rsidP="007735A8">
      <w:pPr>
        <w:rPr>
          <w:rFonts w:ascii="Times New Roman" w:hAnsi="Times New Roman" w:cs="Verdana"/>
          <w:sz w:val="24"/>
          <w:szCs w:val="24"/>
        </w:rPr>
      </w:pPr>
    </w:p>
    <w:p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4C v eur</w:t>
      </w:r>
    </w:p>
    <w:tbl>
      <w:tblPr>
        <w:tblW w:w="9438" w:type="dxa"/>
        <w:tblCellMar>
          <w:left w:w="70" w:type="dxa"/>
          <w:right w:w="70" w:type="dxa"/>
        </w:tblCellMar>
        <w:tblLook w:val="04A0" w:firstRow="1" w:lastRow="0" w:firstColumn="1" w:lastColumn="0" w:noHBand="0" w:noVBand="1"/>
      </w:tblPr>
      <w:tblGrid>
        <w:gridCol w:w="4168"/>
        <w:gridCol w:w="978"/>
        <w:gridCol w:w="1057"/>
        <w:gridCol w:w="1158"/>
        <w:gridCol w:w="1134"/>
        <w:gridCol w:w="943"/>
      </w:tblGrid>
      <w:tr w:rsidR="00E67266" w:rsidRPr="00E67266" w:rsidTr="008159FF">
        <w:trPr>
          <w:trHeight w:val="1005"/>
        </w:trPr>
        <w:tc>
          <w:tcPr>
            <w:tcW w:w="41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rozpočet Sociálnej poisťovne (v eurách)</w:t>
            </w:r>
          </w:p>
        </w:tc>
        <w:tc>
          <w:tcPr>
            <w:tcW w:w="4327" w:type="dxa"/>
            <w:gridSpan w:val="4"/>
            <w:tcBorders>
              <w:top w:val="single" w:sz="8" w:space="0" w:color="auto"/>
              <w:left w:val="nil"/>
              <w:bottom w:val="single" w:sz="8" w:space="0" w:color="auto"/>
              <w:right w:val="single" w:sz="8" w:space="0" w:color="000000"/>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rozpočet Sociálnej poisťovne                                                          </w:t>
            </w:r>
          </w:p>
        </w:tc>
        <w:tc>
          <w:tcPr>
            <w:tcW w:w="943"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poznámka</w:t>
            </w:r>
          </w:p>
        </w:tc>
      </w:tr>
      <w:tr w:rsidR="00E67266" w:rsidRPr="00E67266" w:rsidTr="008159FF">
        <w:trPr>
          <w:trHeight w:val="270"/>
        </w:trPr>
        <w:tc>
          <w:tcPr>
            <w:tcW w:w="4168"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2021</w:t>
            </w:r>
          </w:p>
        </w:tc>
        <w:tc>
          <w:tcPr>
            <w:tcW w:w="105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2022</w:t>
            </w:r>
          </w:p>
        </w:tc>
        <w:tc>
          <w:tcPr>
            <w:tcW w:w="11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2024</w:t>
            </w:r>
          </w:p>
        </w:tc>
        <w:tc>
          <w:tcPr>
            <w:tcW w:w="943" w:type="dxa"/>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-3 598 032</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-9 907 103</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620 677 766</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683 860 798</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-63 000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-3 684 000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-3 684 000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78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-63 000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-3 684 000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-3 684 000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27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-22 019</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-1 287 558</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-1 287 558</w:t>
            </w:r>
          </w:p>
        </w:tc>
        <w:tc>
          <w:tcPr>
            <w:tcW w:w="943"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zdravotných poisťovní (621+622+623)</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-6 300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-368 400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-368 400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Sociálnej poisťovne (625)</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-15 719</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-919 158</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-919 158</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-3 598 032</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-10 977 959</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-2 800 000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-5 805 146</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Energie, voda a komunikácie (632)</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-500 000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-500 000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-3 505 146</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Materiál (633)</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-4 000 000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-11 300 000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Rutinná a štandardná údržba (635)</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401 968</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822 041</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-2 300 000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-2 300 000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1 155 874</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628 449 324</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694 637 502</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1 155 874</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628 449 324</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694 637 502</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855"/>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68"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7"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68" w:type="dxa"/>
            <w:tcBorders>
              <w:top w:val="nil"/>
              <w:left w:val="single" w:sz="8" w:space="0" w:color="auto"/>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Dopad na výdavky verejnej správy celkom</w:t>
            </w:r>
          </w:p>
        </w:tc>
        <w:tc>
          <w:tcPr>
            <w:tcW w:w="97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-3 598 032</w:t>
            </w:r>
          </w:p>
        </w:tc>
        <w:tc>
          <w:tcPr>
            <w:tcW w:w="105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-9 907 103</w:t>
            </w:r>
          </w:p>
        </w:tc>
        <w:tc>
          <w:tcPr>
            <w:tcW w:w="1158"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620 677 766</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683 860 798</w:t>
            </w:r>
          </w:p>
        </w:tc>
        <w:tc>
          <w:tcPr>
            <w:tcW w:w="943" w:type="dxa"/>
            <w:tcBorders>
              <w:top w:val="nil"/>
              <w:left w:val="nil"/>
              <w:bottom w:val="single" w:sz="8" w:space="0" w:color="auto"/>
              <w:right w:val="single" w:sz="8" w:space="0" w:color="auto"/>
            </w:tcBorders>
            <w:shd w:val="clear" w:color="000000" w:fill="BFBFBF"/>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rsidR="00FB7D52" w:rsidRDefault="00FB7D52" w:rsidP="007735A8">
      <w:pPr>
        <w:rPr>
          <w:rFonts w:ascii="Times New Roman" w:hAnsi="Times New Roman" w:cs="Verdana"/>
          <w:sz w:val="24"/>
          <w:szCs w:val="24"/>
        </w:rPr>
      </w:pPr>
    </w:p>
    <w:p w:rsidR="00FB7D52" w:rsidRPr="00863545" w:rsidRDefault="00FB7D52" w:rsidP="007F378A">
      <w:pPr>
        <w:spacing w:after="0"/>
        <w:jc w:val="right"/>
        <w:rPr>
          <w:rFonts w:ascii="Times New Roman" w:hAnsi="Times New Roman" w:cs="Verdana"/>
        </w:rPr>
      </w:pPr>
      <w:r w:rsidRPr="00863545">
        <w:rPr>
          <w:rFonts w:ascii="Times New Roman" w:eastAsia="Times New Roman" w:hAnsi="Times New Roman" w:cs="Times New Roman"/>
          <w:bCs/>
          <w:lang w:eastAsia="sk-SK"/>
        </w:rPr>
        <w:t>Ta</w:t>
      </w:r>
      <w:r w:rsidR="007F378A" w:rsidRPr="00863545">
        <w:rPr>
          <w:rFonts w:ascii="Times New Roman" w:eastAsia="Times New Roman" w:hAnsi="Times New Roman" w:cs="Times New Roman"/>
          <w:bCs/>
          <w:lang w:eastAsia="sk-SK"/>
        </w:rPr>
        <w:t>buľka č. 4D</w:t>
      </w:r>
      <w:r w:rsidRPr="00863545">
        <w:rPr>
          <w:rFonts w:ascii="Times New Roman" w:eastAsia="Times New Roman" w:hAnsi="Times New Roman" w:cs="Times New Roman"/>
          <w:bCs/>
          <w:lang w:eastAsia="sk-SK"/>
        </w:rPr>
        <w:t xml:space="preserve"> v eur</w:t>
      </w:r>
    </w:p>
    <w:tbl>
      <w:tblPr>
        <w:tblW w:w="9423" w:type="dxa"/>
        <w:tblCellMar>
          <w:left w:w="70" w:type="dxa"/>
          <w:right w:w="70" w:type="dxa"/>
        </w:tblCellMar>
        <w:tblLook w:val="04A0" w:firstRow="1" w:lastRow="0" w:firstColumn="1" w:lastColumn="0" w:noHBand="0" w:noVBand="1"/>
      </w:tblPr>
      <w:tblGrid>
        <w:gridCol w:w="4176"/>
        <w:gridCol w:w="979"/>
        <w:gridCol w:w="1059"/>
        <w:gridCol w:w="1147"/>
        <w:gridCol w:w="1134"/>
        <w:gridCol w:w="928"/>
      </w:tblGrid>
      <w:tr w:rsidR="00E67266" w:rsidRPr="00E67266" w:rsidTr="008159FF">
        <w:trPr>
          <w:trHeight w:val="270"/>
        </w:trPr>
        <w:tc>
          <w:tcPr>
            <w:tcW w:w="41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rozpočet Národné centrum zdravotníckych zariadení (v eurách)</w:t>
            </w:r>
          </w:p>
        </w:tc>
        <w:tc>
          <w:tcPr>
            <w:tcW w:w="4319" w:type="dxa"/>
            <w:gridSpan w:val="4"/>
            <w:tcBorders>
              <w:top w:val="single" w:sz="8" w:space="0" w:color="auto"/>
              <w:left w:val="nil"/>
              <w:bottom w:val="single" w:sz="8" w:space="0" w:color="auto"/>
              <w:right w:val="single" w:sz="8" w:space="0" w:color="000000"/>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rozpočet NCZI                                             </w:t>
            </w:r>
          </w:p>
        </w:tc>
        <w:tc>
          <w:tcPr>
            <w:tcW w:w="92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7266" w:rsidRPr="00E67266" w:rsidRDefault="00E67266" w:rsidP="00E67266">
            <w:pPr>
              <w:spacing w:after="0" w:line="240" w:lineRule="auto"/>
              <w:jc w:val="center"/>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poznámka</w:t>
            </w:r>
          </w:p>
        </w:tc>
      </w:tr>
      <w:tr w:rsidR="00E67266" w:rsidRPr="00E67266" w:rsidTr="008159FF">
        <w:trPr>
          <w:trHeight w:val="270"/>
        </w:trPr>
        <w:tc>
          <w:tcPr>
            <w:tcW w:w="4176"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7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2021</w:t>
            </w:r>
          </w:p>
        </w:tc>
        <w:tc>
          <w:tcPr>
            <w:tcW w:w="105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2022</w:t>
            </w:r>
          </w:p>
        </w:tc>
        <w:tc>
          <w:tcPr>
            <w:tcW w:w="114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2024</w:t>
            </w:r>
          </w:p>
        </w:tc>
        <w:tc>
          <w:tcPr>
            <w:tcW w:w="928"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p>
        </w:tc>
      </w:tr>
      <w:tr w:rsidR="00E67266" w:rsidRPr="00E67266" w:rsidTr="008159FF">
        <w:trPr>
          <w:trHeight w:val="27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45 000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90 000</w:t>
            </w:r>
          </w:p>
        </w:tc>
        <w:tc>
          <w:tcPr>
            <w:tcW w:w="92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 </w:t>
            </w:r>
          </w:p>
        </w:tc>
      </w:tr>
      <w:tr w:rsidR="00E67266" w:rsidRPr="00E67266" w:rsidTr="008159FF">
        <w:trPr>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Mzdy, platy, služobné príjmy a ostatné osobné vyrovnania (610)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78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27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8159FF"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w:t>
            </w:r>
            <w:r w:rsidR="00E67266" w:rsidRPr="00E67266">
              <w:rPr>
                <w:rFonts w:ascii="Arial Narrow" w:eastAsia="Times New Roman" w:hAnsi="Arial Narrow" w:cs="Arial"/>
                <w:sz w:val="20"/>
                <w:szCs w:val="20"/>
                <w:lang w:eastAsia="sk-SK"/>
              </w:rPr>
              <w:t xml:space="preserve"> a príspevok do poisťovní (620)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8159FF"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w:t>
            </w:r>
            <w:r w:rsidR="00E67266" w:rsidRPr="00E67266">
              <w:rPr>
                <w:rFonts w:ascii="Arial Narrow" w:eastAsia="Times New Roman" w:hAnsi="Arial Narrow" w:cs="Arial"/>
                <w:sz w:val="20"/>
                <w:szCs w:val="20"/>
                <w:lang w:eastAsia="sk-SK"/>
              </w:rPr>
              <w:t xml:space="preserve"> do zdravotných poisťovní (621+622+623)</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Sociálnej poisťovne (625)</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10 000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45 000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90 000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90 000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Energie, voda a komunikácie (632)</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Materiál (633)</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lastRenderedPageBreak/>
              <w:t>Rutinná a štandardná údržba (635)</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10 000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45 000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90 000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90 000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85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500 000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7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500 000</w:t>
            </w:r>
          </w:p>
        </w:tc>
        <w:tc>
          <w:tcPr>
            <w:tcW w:w="1059"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7"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76"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79"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59"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7"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8"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76" w:type="dxa"/>
            <w:tcBorders>
              <w:top w:val="nil"/>
              <w:left w:val="single" w:sz="8" w:space="0" w:color="auto"/>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Dopad na výdavky verejnej správy celkom</w:t>
            </w:r>
          </w:p>
        </w:tc>
        <w:tc>
          <w:tcPr>
            <w:tcW w:w="97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510 000</w:t>
            </w:r>
          </w:p>
        </w:tc>
        <w:tc>
          <w:tcPr>
            <w:tcW w:w="1059"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45 000</w:t>
            </w:r>
          </w:p>
        </w:tc>
        <w:tc>
          <w:tcPr>
            <w:tcW w:w="1147"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90 000</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90 000</w:t>
            </w:r>
          </w:p>
        </w:tc>
        <w:tc>
          <w:tcPr>
            <w:tcW w:w="928" w:type="dxa"/>
            <w:tcBorders>
              <w:top w:val="nil"/>
              <w:left w:val="nil"/>
              <w:bottom w:val="single" w:sz="8" w:space="0" w:color="auto"/>
              <w:right w:val="single" w:sz="8" w:space="0" w:color="auto"/>
            </w:tcBorders>
            <w:shd w:val="clear" w:color="000000" w:fill="BFBFBF"/>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rsidR="00FB7D52" w:rsidRDefault="00FB7D52" w:rsidP="007735A8">
      <w:pPr>
        <w:rPr>
          <w:rFonts w:ascii="Times New Roman" w:hAnsi="Times New Roman" w:cs="Verdana"/>
          <w:sz w:val="24"/>
          <w:szCs w:val="24"/>
        </w:rPr>
      </w:pPr>
    </w:p>
    <w:p w:rsidR="00C95FEE" w:rsidRPr="00863545" w:rsidRDefault="00C95FEE" w:rsidP="00863545">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4E v eur</w:t>
      </w:r>
    </w:p>
    <w:tbl>
      <w:tblPr>
        <w:tblW w:w="9415" w:type="dxa"/>
        <w:tblCellMar>
          <w:left w:w="70" w:type="dxa"/>
          <w:right w:w="70" w:type="dxa"/>
        </w:tblCellMar>
        <w:tblLook w:val="04A0" w:firstRow="1" w:lastRow="0" w:firstColumn="1" w:lastColumn="0" w:noHBand="0" w:noVBand="1"/>
      </w:tblPr>
      <w:tblGrid>
        <w:gridCol w:w="4180"/>
        <w:gridCol w:w="980"/>
        <w:gridCol w:w="1060"/>
        <w:gridCol w:w="1141"/>
        <w:gridCol w:w="1134"/>
        <w:gridCol w:w="920"/>
      </w:tblGrid>
      <w:tr w:rsidR="00E67266" w:rsidRPr="00E67266" w:rsidTr="008159FF">
        <w:trPr>
          <w:trHeight w:val="270"/>
        </w:trPr>
        <w:tc>
          <w:tcPr>
            <w:tcW w:w="41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rozpočet silové rezorty + FR SR (v eurách)</w:t>
            </w:r>
          </w:p>
        </w:tc>
        <w:tc>
          <w:tcPr>
            <w:tcW w:w="4315" w:type="dxa"/>
            <w:gridSpan w:val="4"/>
            <w:tcBorders>
              <w:top w:val="single" w:sz="8" w:space="0" w:color="auto"/>
              <w:left w:val="nil"/>
              <w:bottom w:val="single" w:sz="8" w:space="0" w:color="auto"/>
              <w:right w:val="single" w:sz="8" w:space="0" w:color="000000"/>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 xml:space="preserve">Vplyv na rozpočet silových zložiek a FR SR                                           </w:t>
            </w:r>
          </w:p>
        </w:tc>
        <w:tc>
          <w:tcPr>
            <w:tcW w:w="920"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67266" w:rsidRPr="00E67266" w:rsidRDefault="00E67266" w:rsidP="00E67266">
            <w:pPr>
              <w:spacing w:after="0" w:line="240" w:lineRule="auto"/>
              <w:jc w:val="center"/>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poznámka</w:t>
            </w:r>
          </w:p>
        </w:tc>
      </w:tr>
      <w:tr w:rsidR="00E67266" w:rsidRPr="00E67266" w:rsidTr="008159FF">
        <w:trPr>
          <w:trHeight w:val="270"/>
        </w:trPr>
        <w:tc>
          <w:tcPr>
            <w:tcW w:w="4180" w:type="dxa"/>
            <w:vMerge/>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p>
        </w:tc>
        <w:tc>
          <w:tcPr>
            <w:tcW w:w="980"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2021</w:t>
            </w:r>
          </w:p>
        </w:tc>
        <w:tc>
          <w:tcPr>
            <w:tcW w:w="1060"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2022</w:t>
            </w:r>
          </w:p>
        </w:tc>
        <w:tc>
          <w:tcPr>
            <w:tcW w:w="1141"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2023</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center"/>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2024</w:t>
            </w:r>
          </w:p>
        </w:tc>
        <w:tc>
          <w:tcPr>
            <w:tcW w:w="920" w:type="dxa"/>
            <w:tcBorders>
              <w:top w:val="single" w:sz="8" w:space="0" w:color="auto"/>
              <w:left w:val="single" w:sz="8" w:space="0" w:color="auto"/>
              <w:bottom w:val="single" w:sz="8" w:space="0" w:color="000000"/>
              <w:right w:val="single" w:sz="8" w:space="0" w:color="auto"/>
            </w:tcBorders>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p>
        </w:tc>
      </w:tr>
      <w:tr w:rsidR="00E67266" w:rsidRPr="00E67266" w:rsidTr="008159FF">
        <w:trPr>
          <w:trHeight w:val="27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1 830 000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266 846</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73 613</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 </w:t>
            </w:r>
          </w:p>
        </w:tc>
      </w:tr>
      <w:tr w:rsidR="00E67266" w:rsidRPr="00E67266" w:rsidTr="008159FF">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Mzdy, platy, služobné príjmy a ostatné osobné vyrovnania (610)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78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27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8159FF"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w:t>
            </w:r>
            <w:r w:rsidR="00E67266" w:rsidRPr="00E67266">
              <w:rPr>
                <w:rFonts w:ascii="Arial Narrow" w:eastAsia="Times New Roman" w:hAnsi="Arial Narrow" w:cs="Arial"/>
                <w:sz w:val="20"/>
                <w:szCs w:val="20"/>
                <w:lang w:eastAsia="sk-SK"/>
              </w:rPr>
              <w:t xml:space="preserve"> a príspevok do poisťovní (620)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8159FF"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w:t>
            </w:r>
            <w:r w:rsidR="00E67266" w:rsidRPr="00E67266">
              <w:rPr>
                <w:rFonts w:ascii="Arial Narrow" w:eastAsia="Times New Roman" w:hAnsi="Arial Narrow" w:cs="Arial"/>
                <w:sz w:val="20"/>
                <w:szCs w:val="20"/>
                <w:lang w:eastAsia="sk-SK"/>
              </w:rPr>
              <w:t xml:space="preserve"> do zdravotných poisťovní (621+622+623)</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sz w:val="20"/>
                <w:szCs w:val="20"/>
                <w:lang w:eastAsia="sk-SK"/>
              </w:rPr>
            </w:pPr>
            <w:r w:rsidRPr="00E67266">
              <w:rPr>
                <w:rFonts w:ascii="Arial Narrow" w:eastAsia="Times New Roman" w:hAnsi="Arial Narrow" w:cs="Arial"/>
                <w:i/>
                <w:i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Poistné do Sociálnej poisťovne (625)</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Tovary a služby (630)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1 830 000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266 846</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73 613</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Energie, voda a komunikácie (632)</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Materiál (633)</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i/>
                <w:iCs/>
                <w:color w:val="000000"/>
                <w:sz w:val="20"/>
                <w:szCs w:val="20"/>
                <w:lang w:eastAsia="sk-SK"/>
              </w:rPr>
            </w:pPr>
            <w:r w:rsidRPr="00E67266">
              <w:rPr>
                <w:rFonts w:ascii="Arial Narrow" w:eastAsia="Times New Roman" w:hAnsi="Arial Narrow" w:cs="Arial"/>
                <w:i/>
                <w:iCs/>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85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Splácanie úrokov a ostatné platby súvisiace s </w:t>
            </w:r>
            <w:r w:rsidRPr="00E67266">
              <w:rPr>
                <w:rFonts w:ascii="Arial Narrow" w:eastAsia="Times New Roman" w:hAnsi="Arial Narrow" w:cs="Arial"/>
                <w:lang w:eastAsia="sk-SK"/>
              </w:rPr>
              <w:t xml:space="preserve"> </w:t>
            </w:r>
            <w:r w:rsidRPr="00E67266">
              <w:rPr>
                <w:rFonts w:ascii="Arial Narrow" w:eastAsia="Times New Roman" w:hAnsi="Arial Narrow" w:cs="Arial"/>
                <w:sz w:val="20"/>
                <w:szCs w:val="20"/>
                <w:lang w:eastAsia="sk-SK"/>
              </w:rPr>
              <w:t>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Obstarávanie kapitálových aktív (710)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 xml:space="preserve">  Kapitálové transfery (720)</w:t>
            </w:r>
          </w:p>
        </w:tc>
        <w:tc>
          <w:tcPr>
            <w:tcW w:w="98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41"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1134" w:type="dxa"/>
            <w:tcBorders>
              <w:top w:val="nil"/>
              <w:left w:val="nil"/>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jc w:val="right"/>
              <w:rPr>
                <w:rFonts w:ascii="Arial Narrow" w:eastAsia="Times New Roman" w:hAnsi="Arial Narrow" w:cs="Arial"/>
                <w:sz w:val="20"/>
                <w:szCs w:val="20"/>
                <w:lang w:eastAsia="sk-SK"/>
              </w:rPr>
            </w:pPr>
            <w:r w:rsidRPr="00E67266">
              <w:rPr>
                <w:rFonts w:ascii="Arial Narrow" w:eastAsia="Times New Roman"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060"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41"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1134" w:type="dxa"/>
            <w:tcBorders>
              <w:top w:val="nil"/>
              <w:left w:val="nil"/>
              <w:bottom w:val="single" w:sz="8" w:space="0" w:color="auto"/>
              <w:right w:val="single" w:sz="8" w:space="0" w:color="auto"/>
            </w:tcBorders>
            <w:shd w:val="clear" w:color="000000" w:fill="FFFF99"/>
            <w:vAlign w:val="center"/>
            <w:hideMark/>
          </w:tcPr>
          <w:p w:rsidR="00E67266" w:rsidRPr="00E67266" w:rsidRDefault="00E67266" w:rsidP="00E67266">
            <w:pPr>
              <w:spacing w:after="0" w:line="240" w:lineRule="auto"/>
              <w:jc w:val="right"/>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r w:rsidR="00E67266" w:rsidRPr="00E67266" w:rsidTr="008159FF">
        <w:trPr>
          <w:trHeight w:val="330"/>
        </w:trPr>
        <w:tc>
          <w:tcPr>
            <w:tcW w:w="4180" w:type="dxa"/>
            <w:tcBorders>
              <w:top w:val="nil"/>
              <w:left w:val="single" w:sz="8" w:space="0" w:color="auto"/>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rPr>
                <w:rFonts w:ascii="Arial Narrow" w:eastAsia="Times New Roman" w:hAnsi="Arial Narrow" w:cs="Arial"/>
                <w:b/>
                <w:bCs/>
                <w:sz w:val="20"/>
                <w:szCs w:val="20"/>
                <w:lang w:eastAsia="sk-SK"/>
              </w:rPr>
            </w:pPr>
            <w:r w:rsidRPr="00E67266">
              <w:rPr>
                <w:rFonts w:ascii="Arial Narrow" w:eastAsia="Times New Roman" w:hAnsi="Arial Narrow" w:cs="Arial"/>
                <w:b/>
                <w:bCs/>
                <w:sz w:val="20"/>
                <w:szCs w:val="20"/>
                <w:lang w:eastAsia="sk-SK"/>
              </w:rPr>
              <w:t>Dopad na výdavky verejnej správy celkom</w:t>
            </w:r>
          </w:p>
        </w:tc>
        <w:tc>
          <w:tcPr>
            <w:tcW w:w="980"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1 830 000</w:t>
            </w:r>
          </w:p>
        </w:tc>
        <w:tc>
          <w:tcPr>
            <w:tcW w:w="1060"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266 846</w:t>
            </w:r>
          </w:p>
        </w:tc>
        <w:tc>
          <w:tcPr>
            <w:tcW w:w="1141"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73 613</w:t>
            </w:r>
          </w:p>
        </w:tc>
        <w:tc>
          <w:tcPr>
            <w:tcW w:w="1134" w:type="dxa"/>
            <w:tcBorders>
              <w:top w:val="nil"/>
              <w:left w:val="nil"/>
              <w:bottom w:val="single" w:sz="8" w:space="0" w:color="auto"/>
              <w:right w:val="single" w:sz="8" w:space="0" w:color="auto"/>
            </w:tcBorders>
            <w:shd w:val="clear" w:color="000000" w:fill="BFBFBF"/>
            <w:vAlign w:val="center"/>
            <w:hideMark/>
          </w:tcPr>
          <w:p w:rsidR="00E67266" w:rsidRPr="00E67266" w:rsidRDefault="00E67266" w:rsidP="00E67266">
            <w:pPr>
              <w:spacing w:after="0" w:line="240" w:lineRule="auto"/>
              <w:jc w:val="right"/>
              <w:rPr>
                <w:rFonts w:ascii="Arial Narrow" w:eastAsia="Times New Roman" w:hAnsi="Arial Narrow" w:cs="Arial"/>
                <w:b/>
                <w:bCs/>
                <w:color w:val="000000"/>
                <w:sz w:val="20"/>
                <w:szCs w:val="20"/>
                <w:lang w:eastAsia="sk-SK"/>
              </w:rPr>
            </w:pPr>
            <w:r w:rsidRPr="00E67266">
              <w:rPr>
                <w:rFonts w:ascii="Arial Narrow" w:eastAsia="Times New Roman" w:hAnsi="Arial Narrow" w:cs="Arial"/>
                <w:b/>
                <w:bCs/>
                <w:color w:val="000000"/>
                <w:sz w:val="20"/>
                <w:szCs w:val="20"/>
                <w:lang w:eastAsia="sk-SK"/>
              </w:rPr>
              <w:t>0</w:t>
            </w:r>
          </w:p>
        </w:tc>
        <w:tc>
          <w:tcPr>
            <w:tcW w:w="920" w:type="dxa"/>
            <w:tcBorders>
              <w:top w:val="nil"/>
              <w:left w:val="nil"/>
              <w:bottom w:val="single" w:sz="8" w:space="0" w:color="auto"/>
              <w:right w:val="single" w:sz="8" w:space="0" w:color="auto"/>
            </w:tcBorders>
            <w:shd w:val="clear" w:color="000000" w:fill="BFBFBF"/>
            <w:noWrap/>
            <w:vAlign w:val="center"/>
            <w:hideMark/>
          </w:tcPr>
          <w:p w:rsidR="00E67266" w:rsidRPr="00E67266" w:rsidRDefault="00E67266" w:rsidP="00E67266">
            <w:pPr>
              <w:spacing w:after="0" w:line="240" w:lineRule="auto"/>
              <w:rPr>
                <w:rFonts w:ascii="Arial Narrow" w:eastAsia="Times New Roman" w:hAnsi="Arial Narrow" w:cs="Arial"/>
                <w:sz w:val="24"/>
                <w:szCs w:val="24"/>
                <w:lang w:eastAsia="sk-SK"/>
              </w:rPr>
            </w:pPr>
            <w:r w:rsidRPr="00E67266">
              <w:rPr>
                <w:rFonts w:ascii="Arial Narrow" w:eastAsia="Times New Roman" w:hAnsi="Arial Narrow" w:cs="Arial"/>
                <w:sz w:val="24"/>
                <w:szCs w:val="24"/>
                <w:lang w:eastAsia="sk-SK"/>
              </w:rPr>
              <w:t> </w:t>
            </w:r>
          </w:p>
        </w:tc>
      </w:tr>
    </w:tbl>
    <w:p w:rsidR="00F90DCD" w:rsidRDefault="00F90DCD" w:rsidP="00F90DCD">
      <w:pPr>
        <w:rPr>
          <w:rFonts w:ascii="Times New Roman" w:hAnsi="Times New Roman" w:cs="Verdana"/>
          <w:sz w:val="24"/>
          <w:szCs w:val="24"/>
        </w:rPr>
      </w:pPr>
    </w:p>
    <w:p w:rsidR="00F90DCD" w:rsidRDefault="00F90DCD" w:rsidP="00F90DCD">
      <w:pPr>
        <w:rPr>
          <w:rFonts w:ascii="Times New Roman" w:hAnsi="Times New Roman" w:cs="Verdana"/>
          <w:sz w:val="24"/>
          <w:szCs w:val="24"/>
        </w:rPr>
      </w:pPr>
    </w:p>
    <w:p w:rsidR="00E47C9F" w:rsidRPr="00F90DCD" w:rsidRDefault="00E47C9F" w:rsidP="00F90DCD">
      <w:pPr>
        <w:rPr>
          <w:rFonts w:ascii="Times New Roman" w:hAnsi="Times New Roman" w:cs="Verdana"/>
          <w:sz w:val="24"/>
          <w:szCs w:val="24"/>
        </w:rPr>
        <w:sectPr w:rsidR="00E47C9F" w:rsidRPr="00F90DCD" w:rsidSect="00E47C9F">
          <w:pgSz w:w="11906" w:h="16838"/>
          <w:pgMar w:top="1418" w:right="1418" w:bottom="1418" w:left="1418" w:header="709" w:footer="709" w:gutter="0"/>
          <w:pgNumType w:start="1"/>
          <w:cols w:space="708"/>
          <w:docGrid w:linePitch="360"/>
        </w:sectPr>
      </w:pPr>
    </w:p>
    <w:p w:rsidR="00E47C9F" w:rsidRDefault="00E47C9F" w:rsidP="00E47C9F">
      <w:pPr>
        <w:tabs>
          <w:tab w:val="num" w:pos="1080"/>
        </w:tabs>
        <w:spacing w:after="0" w:line="240" w:lineRule="auto"/>
        <w:jc w:val="right"/>
        <w:rPr>
          <w:rFonts w:ascii="Times New Roman" w:eastAsia="Times New Roman" w:hAnsi="Times New Roman" w:cs="Times New Roman"/>
          <w:bCs/>
          <w:sz w:val="24"/>
          <w:szCs w:val="24"/>
          <w:lang w:eastAsia="sk-SK"/>
        </w:rPr>
      </w:pPr>
    </w:p>
    <w:p w:rsidR="00B733ED" w:rsidRDefault="00B733ED" w:rsidP="00B733ED">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p>
    <w:p w:rsidR="00E47C9F" w:rsidRDefault="00E47C9F" w:rsidP="007F378A">
      <w:pPr>
        <w:tabs>
          <w:tab w:val="left" w:pos="11382"/>
        </w:tabs>
      </w:pPr>
    </w:p>
    <w:p w:rsidR="007F378A" w:rsidRPr="00863545" w:rsidRDefault="00863545" w:rsidP="00863545">
      <w:pPr>
        <w:tabs>
          <w:tab w:val="left" w:pos="11382"/>
        </w:tabs>
        <w:spacing w:after="0"/>
        <w:ind w:right="1813"/>
        <w:jc w:val="center"/>
      </w:pPr>
      <w:r>
        <w:rPr>
          <w:rFonts w:ascii="Times New Roman" w:eastAsia="Times New Roman" w:hAnsi="Times New Roman" w:cs="Times New Roman"/>
          <w:bCs/>
          <w:lang w:eastAsia="sk-SK"/>
        </w:rPr>
        <w:t xml:space="preserve">                                                                                                                                                                                                 </w:t>
      </w:r>
      <w:r w:rsidR="007F378A" w:rsidRPr="00863545">
        <w:rPr>
          <w:rFonts w:ascii="Times New Roman" w:eastAsia="Times New Roman" w:hAnsi="Times New Roman" w:cs="Times New Roman"/>
          <w:bCs/>
          <w:lang w:eastAsia="sk-SK"/>
        </w:rPr>
        <w:t>Tabuľka č. 5</w:t>
      </w:r>
      <w:r w:rsidR="00AD678C">
        <w:rPr>
          <w:rFonts w:ascii="Times New Roman" w:eastAsia="Times New Roman" w:hAnsi="Times New Roman" w:cs="Times New Roman"/>
          <w:bCs/>
          <w:lang w:eastAsia="sk-SK"/>
        </w:rPr>
        <w:t>A</w:t>
      </w:r>
    </w:p>
    <w:tbl>
      <w:tblPr>
        <w:tblW w:w="12065" w:type="dxa"/>
        <w:tblInd w:w="-5" w:type="dxa"/>
        <w:tblCellMar>
          <w:left w:w="70" w:type="dxa"/>
          <w:right w:w="70" w:type="dxa"/>
        </w:tblCellMar>
        <w:tblLook w:val="04A0" w:firstRow="1" w:lastRow="0" w:firstColumn="1" w:lastColumn="0" w:noHBand="0" w:noVBand="1"/>
      </w:tblPr>
      <w:tblGrid>
        <w:gridCol w:w="5529"/>
        <w:gridCol w:w="1275"/>
        <w:gridCol w:w="1418"/>
        <w:gridCol w:w="1418"/>
        <w:gridCol w:w="1465"/>
        <w:gridCol w:w="960"/>
      </w:tblGrid>
      <w:tr w:rsidR="007F378A" w:rsidRPr="007F378A" w:rsidTr="007F378A">
        <w:trPr>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Zamestnanosť - Sociálna poisťovňa</w:t>
            </w:r>
          </w:p>
        </w:tc>
        <w:tc>
          <w:tcPr>
            <w:tcW w:w="5576" w:type="dxa"/>
            <w:gridSpan w:val="4"/>
            <w:tcBorders>
              <w:top w:val="single" w:sz="4" w:space="0" w:color="auto"/>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Vpl</w:t>
            </w:r>
            <w:r>
              <w:rPr>
                <w:rFonts w:ascii="Arial Narrow" w:eastAsia="Times New Roman" w:hAnsi="Arial Narrow" w:cs="Arial"/>
                <w:b/>
                <w:bCs/>
                <w:color w:val="000000"/>
                <w:sz w:val="20"/>
                <w:szCs w:val="20"/>
                <w:lang w:eastAsia="sk-SK"/>
              </w:rPr>
              <w:t>y</w:t>
            </w:r>
            <w:r w:rsidRPr="007F378A">
              <w:rPr>
                <w:rFonts w:ascii="Arial Narrow" w:eastAsia="Times New Roman" w:hAnsi="Arial Narrow" w:cs="Arial"/>
                <w:b/>
                <w:bCs/>
                <w:color w:val="000000"/>
                <w:sz w:val="20"/>
                <w:szCs w:val="20"/>
                <w:lang w:eastAsia="sk-SK"/>
              </w:rPr>
              <w:t>vy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rPr>
                <w:rFonts w:ascii="Arial Narrow" w:eastAsia="Times New Roman" w:hAnsi="Arial Narrow" w:cs="Arial"/>
                <w:color w:val="000000"/>
                <w:sz w:val="20"/>
                <w:szCs w:val="20"/>
                <w:lang w:eastAsia="sk-SK"/>
              </w:rPr>
            </w:pPr>
            <w:r w:rsidRPr="007F378A">
              <w:rPr>
                <w:rFonts w:ascii="Arial Narrow" w:eastAsia="Times New Roman" w:hAnsi="Arial Narrow" w:cs="Arial"/>
                <w:color w:val="000000"/>
                <w:sz w:val="20"/>
                <w:szCs w:val="20"/>
                <w:lang w:eastAsia="sk-SK"/>
              </w:rPr>
              <w:t>poznámka</w:t>
            </w:r>
          </w:p>
        </w:tc>
      </w:tr>
      <w:tr w:rsidR="007F378A" w:rsidRPr="007F378A" w:rsidTr="007F378A">
        <w:trPr>
          <w:trHeight w:val="25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p>
        </w:tc>
        <w:tc>
          <w:tcPr>
            <w:tcW w:w="1275" w:type="dxa"/>
            <w:tcBorders>
              <w:top w:val="nil"/>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2021</w:t>
            </w:r>
          </w:p>
        </w:tc>
        <w:tc>
          <w:tcPr>
            <w:tcW w:w="1418" w:type="dxa"/>
            <w:tcBorders>
              <w:top w:val="nil"/>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2022</w:t>
            </w:r>
          </w:p>
        </w:tc>
        <w:tc>
          <w:tcPr>
            <w:tcW w:w="1418" w:type="dxa"/>
            <w:tcBorders>
              <w:top w:val="nil"/>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2023</w:t>
            </w:r>
          </w:p>
        </w:tc>
        <w:tc>
          <w:tcPr>
            <w:tcW w:w="1465" w:type="dxa"/>
            <w:tcBorders>
              <w:top w:val="nil"/>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jc w:val="center"/>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2024</w:t>
            </w:r>
          </w:p>
        </w:tc>
        <w:tc>
          <w:tcPr>
            <w:tcW w:w="960" w:type="dxa"/>
            <w:tcBorders>
              <w:top w:val="nil"/>
              <w:left w:val="nil"/>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rPr>
                <w:rFonts w:ascii="Arial Narrow" w:eastAsia="Times New Roman" w:hAnsi="Arial Narrow" w:cs="Arial"/>
                <w:color w:val="000000"/>
                <w:sz w:val="20"/>
                <w:szCs w:val="20"/>
                <w:lang w:eastAsia="sk-SK"/>
              </w:rPr>
            </w:pPr>
            <w:r w:rsidRPr="007F378A">
              <w:rPr>
                <w:rFonts w:ascii="Arial Narrow" w:eastAsia="Times New Roman" w:hAnsi="Arial Narrow" w:cs="Arial"/>
                <w:color w:val="000000"/>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Počet zamestnancov celkom</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-7</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-307</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-307</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rsidTr="007F378A">
        <w:trPr>
          <w:trHeight w:val="2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Priemerný mzdový výdavkov (v eurách)</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1 500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1 000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1 000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nil"/>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000000" w:fill="A6A6A6"/>
            <w:noWrap/>
            <w:vAlign w:val="center"/>
            <w:hideMark/>
          </w:tcPr>
          <w:p w:rsidR="007F378A" w:rsidRPr="007F378A" w:rsidRDefault="007F378A" w:rsidP="007F378A">
            <w:pPr>
              <w:spacing w:after="0" w:line="240" w:lineRule="auto"/>
              <w:rPr>
                <w:rFonts w:ascii="Arial Narrow" w:eastAsia="Times New Roman" w:hAnsi="Arial Narrow" w:cs="Arial"/>
                <w:b/>
                <w:bCs/>
                <w:color w:val="000000"/>
                <w:sz w:val="20"/>
                <w:szCs w:val="20"/>
                <w:lang w:eastAsia="sk-SK"/>
              </w:rPr>
            </w:pPr>
            <w:r w:rsidRPr="007F378A">
              <w:rPr>
                <w:rFonts w:ascii="Arial Narrow" w:eastAsia="Times New Roman" w:hAnsi="Arial Narrow" w:cs="Arial"/>
                <w:b/>
                <w:bCs/>
                <w:color w:val="000000"/>
                <w:sz w:val="20"/>
                <w:szCs w:val="20"/>
                <w:lang w:eastAsia="sk-SK"/>
              </w:rPr>
              <w:t>Osobné výdavky celkom (v eurách)</w:t>
            </w:r>
          </w:p>
        </w:tc>
        <w:tc>
          <w:tcPr>
            <w:tcW w:w="1275" w:type="dxa"/>
            <w:tcBorders>
              <w:top w:val="nil"/>
              <w:left w:val="nil"/>
              <w:bottom w:val="nil"/>
              <w:right w:val="single" w:sz="4" w:space="0" w:color="auto"/>
            </w:tcBorders>
            <w:shd w:val="clear" w:color="000000" w:fill="A6A6A6"/>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nil"/>
              <w:right w:val="single" w:sz="4" w:space="0" w:color="auto"/>
            </w:tcBorders>
            <w:shd w:val="clear" w:color="000000" w:fill="A6A6A6"/>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-85 019</w:t>
            </w:r>
          </w:p>
        </w:tc>
        <w:tc>
          <w:tcPr>
            <w:tcW w:w="1418" w:type="dxa"/>
            <w:tcBorders>
              <w:top w:val="nil"/>
              <w:left w:val="nil"/>
              <w:bottom w:val="nil"/>
              <w:right w:val="single" w:sz="4" w:space="0" w:color="auto"/>
            </w:tcBorders>
            <w:shd w:val="clear" w:color="000000" w:fill="A6A6A6"/>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-4 971 558</w:t>
            </w:r>
          </w:p>
        </w:tc>
        <w:tc>
          <w:tcPr>
            <w:tcW w:w="1465" w:type="dxa"/>
            <w:tcBorders>
              <w:top w:val="nil"/>
              <w:left w:val="nil"/>
              <w:bottom w:val="nil"/>
              <w:right w:val="single" w:sz="4" w:space="0" w:color="auto"/>
            </w:tcBorders>
            <w:shd w:val="clear" w:color="000000" w:fill="A6A6A6"/>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-4 971 558</w:t>
            </w:r>
          </w:p>
        </w:tc>
        <w:tc>
          <w:tcPr>
            <w:tcW w:w="960" w:type="dxa"/>
            <w:tcBorders>
              <w:top w:val="single" w:sz="4" w:space="0" w:color="auto"/>
              <w:left w:val="nil"/>
              <w:bottom w:val="nil"/>
              <w:right w:val="single" w:sz="4" w:space="0" w:color="auto"/>
            </w:tcBorders>
            <w:shd w:val="clear" w:color="000000" w:fill="A6A6A6"/>
            <w:noWrap/>
            <w:vAlign w:val="bottom"/>
            <w:hideMark/>
          </w:tcPr>
          <w:p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Mzdy, platy, služobné príjmy a ostatné osobné vyrovnania (610)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-63 000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-3 684 000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-3 684 000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Poistné a príspevok do poisťovní (620)</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-22 019</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-1 287 558</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b/>
                <w:bCs/>
                <w:sz w:val="20"/>
                <w:szCs w:val="20"/>
                <w:lang w:eastAsia="sk-SK"/>
              </w:rPr>
            </w:pPr>
            <w:r w:rsidRPr="007F378A">
              <w:rPr>
                <w:rFonts w:ascii="Arial Narrow" w:eastAsia="Times New Roman" w:hAnsi="Arial Narrow" w:cs="Arial"/>
                <w:b/>
                <w:bCs/>
                <w:sz w:val="20"/>
                <w:szCs w:val="20"/>
                <w:lang w:eastAsia="sk-SK"/>
              </w:rPr>
              <w:t>-1 287 558</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Narrow" w:eastAsia="Times New Roman" w:hAnsi="Arial Narrow" w:cs="Arial"/>
                <w:i/>
                <w:iCs/>
                <w:sz w:val="20"/>
                <w:szCs w:val="20"/>
                <w:lang w:eastAsia="sk-SK"/>
              </w:rPr>
            </w:pPr>
            <w:r w:rsidRPr="007F378A">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jc w:val="right"/>
              <w:rPr>
                <w:rFonts w:ascii="Arial Narrow" w:eastAsia="Times New Roman" w:hAnsi="Arial Narrow" w:cs="Arial"/>
                <w:sz w:val="20"/>
                <w:szCs w:val="20"/>
                <w:lang w:eastAsia="sk-SK"/>
              </w:rPr>
            </w:pPr>
            <w:r w:rsidRPr="007F378A">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7F378A" w:rsidRDefault="007F378A" w:rsidP="007F378A">
            <w:pPr>
              <w:spacing w:after="0" w:line="240" w:lineRule="auto"/>
              <w:rPr>
                <w:rFonts w:ascii="Arial" w:eastAsia="Times New Roman" w:hAnsi="Arial" w:cs="Arial"/>
                <w:sz w:val="20"/>
                <w:szCs w:val="20"/>
                <w:lang w:eastAsia="sk-SK"/>
              </w:rPr>
            </w:pPr>
            <w:r w:rsidRPr="007F378A">
              <w:rPr>
                <w:rFonts w:ascii="Arial" w:eastAsia="Times New Roman" w:hAnsi="Arial" w:cs="Arial"/>
                <w:sz w:val="20"/>
                <w:szCs w:val="20"/>
                <w:lang w:eastAsia="sk-SK"/>
              </w:rPr>
              <w:t> </w:t>
            </w:r>
          </w:p>
        </w:tc>
      </w:tr>
    </w:tbl>
    <w:p w:rsidR="00392EC1" w:rsidRDefault="00392EC1"/>
    <w:sectPr w:rsidR="00392EC1" w:rsidSect="00B503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B2" w:rsidRDefault="007673B2" w:rsidP="00E47C9F">
      <w:pPr>
        <w:spacing w:after="0" w:line="240" w:lineRule="auto"/>
      </w:pPr>
      <w:r>
        <w:separator/>
      </w:r>
    </w:p>
  </w:endnote>
  <w:endnote w:type="continuationSeparator" w:id="0">
    <w:p w:rsidR="007673B2" w:rsidRDefault="007673B2" w:rsidP="00E4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B2" w:rsidRDefault="007673B2" w:rsidP="00E47C9F">
      <w:pPr>
        <w:spacing w:after="0" w:line="240" w:lineRule="auto"/>
      </w:pPr>
      <w:r>
        <w:separator/>
      </w:r>
    </w:p>
  </w:footnote>
  <w:footnote w:type="continuationSeparator" w:id="0">
    <w:p w:rsidR="007673B2" w:rsidRDefault="007673B2" w:rsidP="00E47C9F">
      <w:pPr>
        <w:spacing w:after="0" w:line="240" w:lineRule="auto"/>
      </w:pPr>
      <w:r>
        <w:continuationSeparator/>
      </w:r>
    </w:p>
  </w:footnote>
  <w:footnote w:id="1">
    <w:p w:rsidR="0003698E" w:rsidRDefault="00E67266">
      <w:r>
        <w:rPr>
          <w:rStyle w:val="Odkaznapoznmkupodiarou"/>
        </w:rPr>
        <w:footnoteRef/>
      </w:r>
      <w:r>
        <w:t xml:space="preserve"> </w:t>
      </w:r>
      <w:r w:rsidRPr="00E3225B">
        <w:rPr>
          <w:rFonts w:ascii="Times New Roman" w:hAnsi="Times New Roman"/>
          <w:bCs/>
          <w:sz w:val="18"/>
          <w:szCs w:val="18"/>
        </w:rPr>
        <w:t xml:space="preserve">Pri </w:t>
      </w:r>
      <w:r>
        <w:rPr>
          <w:rFonts w:ascii="Times New Roman" w:hAnsi="Times New Roman"/>
          <w:bCs/>
          <w:sz w:val="18"/>
          <w:szCs w:val="18"/>
        </w:rPr>
        <w:t xml:space="preserve">pôvodnej </w:t>
      </w:r>
      <w:r w:rsidRPr="00E3225B">
        <w:rPr>
          <w:rFonts w:ascii="Times New Roman" w:hAnsi="Times New Roman"/>
          <w:bCs/>
          <w:sz w:val="18"/>
          <w:szCs w:val="18"/>
        </w:rPr>
        <w:t xml:space="preserve">kvantifikácii finančných dopadov sa posudzoval každý typ poistného vzťahu samostatne. </w:t>
      </w:r>
      <w:r w:rsidRPr="00E3225B">
        <w:rPr>
          <w:rFonts w:ascii="Times New Roman" w:hAnsi="Times New Roman"/>
          <w:color w:val="000000"/>
          <w:sz w:val="18"/>
          <w:szCs w:val="18"/>
        </w:rPr>
        <w:t>V</w:t>
      </w:r>
      <w:r w:rsidRPr="00E3225B">
        <w:rPr>
          <w:rFonts w:ascii="Times New Roman" w:hAnsi="Times New Roman"/>
          <w:bCs/>
          <w:sz w:val="18"/>
          <w:szCs w:val="18"/>
        </w:rPr>
        <w:t> prípade, že poistenec v danom type poistného vzťahu presiahol maximálny ročný vymeriavací základ, bolo mu zastavené platenie poistného na sociálne poistenie. Ak mal poistenec viac typov poistných vzťahov, zistil sa u takéhoto poistenca v rámci ročného zúčtovania celkový vymeriavací základ, z ktorého bolo zaplatené poistné do jednotlivých fondov sociálneho poistenia. V prípade, že tento vymeriavací základ presiahol sumu maximálneho ročného vymeriavacieho základu, bolo tomuto poistencovi v rámci ročného zúčtovania vrátené poistné z jednotlivých druhov poistenia, na ktoré bol poistený.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97D"/>
    <w:multiLevelType w:val="hybridMultilevel"/>
    <w:tmpl w:val="11EE2F14"/>
    <w:lvl w:ilvl="0" w:tplc="D27680A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E31ED"/>
    <w:multiLevelType w:val="hybridMultilevel"/>
    <w:tmpl w:val="40186C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089F"/>
    <w:multiLevelType w:val="hybridMultilevel"/>
    <w:tmpl w:val="BFACCED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36E2A"/>
    <w:multiLevelType w:val="hybridMultilevel"/>
    <w:tmpl w:val="27D8FCE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A19A2"/>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C06389"/>
    <w:multiLevelType w:val="hybridMultilevel"/>
    <w:tmpl w:val="861AFE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5B86AA9"/>
    <w:multiLevelType w:val="hybridMultilevel"/>
    <w:tmpl w:val="09DE03D8"/>
    <w:lvl w:ilvl="0" w:tplc="CF9ABC4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A7F3500"/>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770C5"/>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79D3"/>
    <w:multiLevelType w:val="hybridMultilevel"/>
    <w:tmpl w:val="9CE21F74"/>
    <w:lvl w:ilvl="0" w:tplc="60CAA0E2">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2" w15:restartNumberingAfterBreak="0">
    <w:nsid w:val="2F0D5104"/>
    <w:multiLevelType w:val="hybridMultilevel"/>
    <w:tmpl w:val="AEAA512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B358EF"/>
    <w:multiLevelType w:val="hybridMultilevel"/>
    <w:tmpl w:val="0E985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12528"/>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652961"/>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5943B8"/>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223734"/>
    <w:multiLevelType w:val="hybridMultilevel"/>
    <w:tmpl w:val="7A2C8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45121A"/>
    <w:multiLevelType w:val="hybridMultilevel"/>
    <w:tmpl w:val="5CA4601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A42918"/>
    <w:multiLevelType w:val="hybridMultilevel"/>
    <w:tmpl w:val="EEB88B4C"/>
    <w:lvl w:ilvl="0" w:tplc="77E89A98">
      <w:start w:val="1"/>
      <w:numFmt w:val="lowerLetter"/>
      <w:lvlText w:val="%1)"/>
      <w:lvlJc w:val="left"/>
      <w:pPr>
        <w:ind w:left="360" w:hanging="360"/>
      </w:pPr>
      <w:rPr>
        <w:rFonts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C8823D4"/>
    <w:multiLevelType w:val="hybridMultilevel"/>
    <w:tmpl w:val="68E69D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79F1176"/>
    <w:multiLevelType w:val="hybridMultilevel"/>
    <w:tmpl w:val="0A54800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3" w15:restartNumberingAfterBreak="0">
    <w:nsid w:val="6D7B5BC8"/>
    <w:multiLevelType w:val="hybridMultilevel"/>
    <w:tmpl w:val="9C6202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A92747B"/>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18"/>
  </w:num>
  <w:num w:numId="5">
    <w:abstractNumId w:val="13"/>
  </w:num>
  <w:num w:numId="6">
    <w:abstractNumId w:val="1"/>
  </w:num>
  <w:num w:numId="7">
    <w:abstractNumId w:val="6"/>
  </w:num>
  <w:num w:numId="8">
    <w:abstractNumId w:val="7"/>
  </w:num>
  <w:num w:numId="9">
    <w:abstractNumId w:val="24"/>
  </w:num>
  <w:num w:numId="10">
    <w:abstractNumId w:val="20"/>
  </w:num>
  <w:num w:numId="11">
    <w:abstractNumId w:val="26"/>
  </w:num>
  <w:num w:numId="12">
    <w:abstractNumId w:val="11"/>
  </w:num>
  <w:num w:numId="13">
    <w:abstractNumId w:val="19"/>
  </w:num>
  <w:num w:numId="14">
    <w:abstractNumId w:val="5"/>
  </w:num>
  <w:num w:numId="15">
    <w:abstractNumId w:val="12"/>
  </w:num>
  <w:num w:numId="16">
    <w:abstractNumId w:val="4"/>
  </w:num>
  <w:num w:numId="17">
    <w:abstractNumId w:val="21"/>
  </w:num>
  <w:num w:numId="18">
    <w:abstractNumId w:val="17"/>
  </w:num>
  <w:num w:numId="19">
    <w:abstractNumId w:val="8"/>
  </w:num>
  <w:num w:numId="20">
    <w:abstractNumId w:val="16"/>
  </w:num>
  <w:num w:numId="21">
    <w:abstractNumId w:val="3"/>
  </w:num>
  <w:num w:numId="22">
    <w:abstractNumId w:val="25"/>
  </w:num>
  <w:num w:numId="23">
    <w:abstractNumId w:val="0"/>
  </w:num>
  <w:num w:numId="24">
    <w:abstractNumId w:val="22"/>
  </w:num>
  <w:num w:numId="25">
    <w:abstractNumId w:val="2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F"/>
    <w:rsid w:val="00012E7D"/>
    <w:rsid w:val="00026260"/>
    <w:rsid w:val="00035393"/>
    <w:rsid w:val="0003698E"/>
    <w:rsid w:val="00045F73"/>
    <w:rsid w:val="00053B69"/>
    <w:rsid w:val="00057447"/>
    <w:rsid w:val="00065664"/>
    <w:rsid w:val="00065D19"/>
    <w:rsid w:val="0009490C"/>
    <w:rsid w:val="000949D8"/>
    <w:rsid w:val="0009619C"/>
    <w:rsid w:val="000A09E0"/>
    <w:rsid w:val="000B3F18"/>
    <w:rsid w:val="000B48B1"/>
    <w:rsid w:val="000B5A21"/>
    <w:rsid w:val="000B5C0D"/>
    <w:rsid w:val="000C5CFF"/>
    <w:rsid w:val="000E3491"/>
    <w:rsid w:val="00117006"/>
    <w:rsid w:val="00121C82"/>
    <w:rsid w:val="00122FB4"/>
    <w:rsid w:val="001230BD"/>
    <w:rsid w:val="001259A7"/>
    <w:rsid w:val="001355BC"/>
    <w:rsid w:val="00136638"/>
    <w:rsid w:val="00154099"/>
    <w:rsid w:val="0016011F"/>
    <w:rsid w:val="00170476"/>
    <w:rsid w:val="001757E1"/>
    <w:rsid w:val="001844C1"/>
    <w:rsid w:val="001B00CD"/>
    <w:rsid w:val="001B1F79"/>
    <w:rsid w:val="001C64FD"/>
    <w:rsid w:val="001D3C48"/>
    <w:rsid w:val="001E6E4A"/>
    <w:rsid w:val="001F7169"/>
    <w:rsid w:val="00207EED"/>
    <w:rsid w:val="00227B06"/>
    <w:rsid w:val="00247ED6"/>
    <w:rsid w:val="00261E6D"/>
    <w:rsid w:val="00266FB9"/>
    <w:rsid w:val="00280D64"/>
    <w:rsid w:val="0028361B"/>
    <w:rsid w:val="002C0776"/>
    <w:rsid w:val="002C1476"/>
    <w:rsid w:val="002C5E86"/>
    <w:rsid w:val="002D2CE5"/>
    <w:rsid w:val="002E00AC"/>
    <w:rsid w:val="002E18B8"/>
    <w:rsid w:val="00301959"/>
    <w:rsid w:val="00302EFD"/>
    <w:rsid w:val="003045F3"/>
    <w:rsid w:val="00305DEB"/>
    <w:rsid w:val="00306254"/>
    <w:rsid w:val="0031742D"/>
    <w:rsid w:val="003179A9"/>
    <w:rsid w:val="00320D08"/>
    <w:rsid w:val="00325FF7"/>
    <w:rsid w:val="00331841"/>
    <w:rsid w:val="00356273"/>
    <w:rsid w:val="00363644"/>
    <w:rsid w:val="00374587"/>
    <w:rsid w:val="003767D8"/>
    <w:rsid w:val="00376963"/>
    <w:rsid w:val="00380166"/>
    <w:rsid w:val="0039079E"/>
    <w:rsid w:val="00392EC1"/>
    <w:rsid w:val="003A5874"/>
    <w:rsid w:val="003D26D6"/>
    <w:rsid w:val="00403BBB"/>
    <w:rsid w:val="0044326F"/>
    <w:rsid w:val="004516AD"/>
    <w:rsid w:val="00453509"/>
    <w:rsid w:val="00453E3F"/>
    <w:rsid w:val="00455564"/>
    <w:rsid w:val="00481E3B"/>
    <w:rsid w:val="00484436"/>
    <w:rsid w:val="004854DC"/>
    <w:rsid w:val="00492C2D"/>
    <w:rsid w:val="00497730"/>
    <w:rsid w:val="004A26BC"/>
    <w:rsid w:val="004C2740"/>
    <w:rsid w:val="004D3933"/>
    <w:rsid w:val="004F0FD8"/>
    <w:rsid w:val="004F1825"/>
    <w:rsid w:val="004F1C8E"/>
    <w:rsid w:val="004F35CD"/>
    <w:rsid w:val="00506350"/>
    <w:rsid w:val="00506756"/>
    <w:rsid w:val="00527B72"/>
    <w:rsid w:val="00530751"/>
    <w:rsid w:val="00546FAE"/>
    <w:rsid w:val="00551E4A"/>
    <w:rsid w:val="005610D5"/>
    <w:rsid w:val="00561388"/>
    <w:rsid w:val="00571808"/>
    <w:rsid w:val="00571A25"/>
    <w:rsid w:val="0057276F"/>
    <w:rsid w:val="005741D9"/>
    <w:rsid w:val="00577CF3"/>
    <w:rsid w:val="005810A3"/>
    <w:rsid w:val="00584200"/>
    <w:rsid w:val="00585375"/>
    <w:rsid w:val="00586C19"/>
    <w:rsid w:val="00590119"/>
    <w:rsid w:val="005A063B"/>
    <w:rsid w:val="005A12AB"/>
    <w:rsid w:val="005C04FE"/>
    <w:rsid w:val="005C14B6"/>
    <w:rsid w:val="005C5C14"/>
    <w:rsid w:val="005E0C01"/>
    <w:rsid w:val="005F3EF6"/>
    <w:rsid w:val="0060539B"/>
    <w:rsid w:val="006075BB"/>
    <w:rsid w:val="006656FA"/>
    <w:rsid w:val="006670AA"/>
    <w:rsid w:val="00674BE0"/>
    <w:rsid w:val="00676FA6"/>
    <w:rsid w:val="00685314"/>
    <w:rsid w:val="00693CEC"/>
    <w:rsid w:val="006A7C1E"/>
    <w:rsid w:val="006B6643"/>
    <w:rsid w:val="006C17A8"/>
    <w:rsid w:val="006C5856"/>
    <w:rsid w:val="006D25CF"/>
    <w:rsid w:val="006D3C9E"/>
    <w:rsid w:val="006F187A"/>
    <w:rsid w:val="006F2C58"/>
    <w:rsid w:val="00704176"/>
    <w:rsid w:val="00705127"/>
    <w:rsid w:val="00713B11"/>
    <w:rsid w:val="00720538"/>
    <w:rsid w:val="00725B63"/>
    <w:rsid w:val="00743E8B"/>
    <w:rsid w:val="00745B05"/>
    <w:rsid w:val="007475F8"/>
    <w:rsid w:val="00753AE7"/>
    <w:rsid w:val="00753D5F"/>
    <w:rsid w:val="00762E6A"/>
    <w:rsid w:val="007663D2"/>
    <w:rsid w:val="00766A6C"/>
    <w:rsid w:val="007673B2"/>
    <w:rsid w:val="007735A8"/>
    <w:rsid w:val="00773810"/>
    <w:rsid w:val="007770BB"/>
    <w:rsid w:val="007811C5"/>
    <w:rsid w:val="0078327F"/>
    <w:rsid w:val="0078677D"/>
    <w:rsid w:val="007924B8"/>
    <w:rsid w:val="007934A3"/>
    <w:rsid w:val="007A6481"/>
    <w:rsid w:val="007B02AE"/>
    <w:rsid w:val="007C36AA"/>
    <w:rsid w:val="007C7B62"/>
    <w:rsid w:val="007D282E"/>
    <w:rsid w:val="007F378A"/>
    <w:rsid w:val="007F69D9"/>
    <w:rsid w:val="0080025A"/>
    <w:rsid w:val="008042A9"/>
    <w:rsid w:val="00806408"/>
    <w:rsid w:val="008159FF"/>
    <w:rsid w:val="00820D1F"/>
    <w:rsid w:val="00821D5F"/>
    <w:rsid w:val="00863545"/>
    <w:rsid w:val="0086738F"/>
    <w:rsid w:val="00867937"/>
    <w:rsid w:val="008773B7"/>
    <w:rsid w:val="00887442"/>
    <w:rsid w:val="008A0472"/>
    <w:rsid w:val="008A3160"/>
    <w:rsid w:val="008A5B8B"/>
    <w:rsid w:val="008B1817"/>
    <w:rsid w:val="008C40CA"/>
    <w:rsid w:val="008D27D5"/>
    <w:rsid w:val="008D6DA5"/>
    <w:rsid w:val="008E4630"/>
    <w:rsid w:val="00904E3A"/>
    <w:rsid w:val="00907BE4"/>
    <w:rsid w:val="009338A6"/>
    <w:rsid w:val="009361A4"/>
    <w:rsid w:val="0093736A"/>
    <w:rsid w:val="00975B2C"/>
    <w:rsid w:val="00991566"/>
    <w:rsid w:val="009B3B22"/>
    <w:rsid w:val="009B56B2"/>
    <w:rsid w:val="009C11D6"/>
    <w:rsid w:val="009C7D41"/>
    <w:rsid w:val="009D6224"/>
    <w:rsid w:val="009D6510"/>
    <w:rsid w:val="009E07AC"/>
    <w:rsid w:val="009E09A8"/>
    <w:rsid w:val="009F514F"/>
    <w:rsid w:val="00A22F5D"/>
    <w:rsid w:val="00A40F77"/>
    <w:rsid w:val="00A52274"/>
    <w:rsid w:val="00A530F6"/>
    <w:rsid w:val="00A55FA8"/>
    <w:rsid w:val="00A816A2"/>
    <w:rsid w:val="00A956C2"/>
    <w:rsid w:val="00AB50E5"/>
    <w:rsid w:val="00AC24DC"/>
    <w:rsid w:val="00AC38CD"/>
    <w:rsid w:val="00AC419B"/>
    <w:rsid w:val="00AC6D8B"/>
    <w:rsid w:val="00AD0445"/>
    <w:rsid w:val="00AD0602"/>
    <w:rsid w:val="00AD2EBE"/>
    <w:rsid w:val="00AD678C"/>
    <w:rsid w:val="00AD7397"/>
    <w:rsid w:val="00AE4B8A"/>
    <w:rsid w:val="00B05D79"/>
    <w:rsid w:val="00B13819"/>
    <w:rsid w:val="00B13E64"/>
    <w:rsid w:val="00B244A5"/>
    <w:rsid w:val="00B3691A"/>
    <w:rsid w:val="00B4169F"/>
    <w:rsid w:val="00B503B3"/>
    <w:rsid w:val="00B733ED"/>
    <w:rsid w:val="00B73BF6"/>
    <w:rsid w:val="00B74017"/>
    <w:rsid w:val="00B82D38"/>
    <w:rsid w:val="00B8370A"/>
    <w:rsid w:val="00B83F45"/>
    <w:rsid w:val="00B94369"/>
    <w:rsid w:val="00BA5C7E"/>
    <w:rsid w:val="00BA5F87"/>
    <w:rsid w:val="00BB139D"/>
    <w:rsid w:val="00BC66DC"/>
    <w:rsid w:val="00BD1EB1"/>
    <w:rsid w:val="00BE3092"/>
    <w:rsid w:val="00BE32C8"/>
    <w:rsid w:val="00BF2F7A"/>
    <w:rsid w:val="00BF46E9"/>
    <w:rsid w:val="00BF72E6"/>
    <w:rsid w:val="00C064FE"/>
    <w:rsid w:val="00C135B2"/>
    <w:rsid w:val="00C1633C"/>
    <w:rsid w:val="00C23087"/>
    <w:rsid w:val="00C26CBD"/>
    <w:rsid w:val="00C36D15"/>
    <w:rsid w:val="00C44CDD"/>
    <w:rsid w:val="00C46133"/>
    <w:rsid w:val="00C51161"/>
    <w:rsid w:val="00C54FA3"/>
    <w:rsid w:val="00C626DA"/>
    <w:rsid w:val="00C633AE"/>
    <w:rsid w:val="00C65D4C"/>
    <w:rsid w:val="00C77987"/>
    <w:rsid w:val="00C909F3"/>
    <w:rsid w:val="00C95FEE"/>
    <w:rsid w:val="00C96405"/>
    <w:rsid w:val="00C9657E"/>
    <w:rsid w:val="00CA6CDC"/>
    <w:rsid w:val="00CB2A1D"/>
    <w:rsid w:val="00CC782A"/>
    <w:rsid w:val="00CE7994"/>
    <w:rsid w:val="00CF609D"/>
    <w:rsid w:val="00D30B73"/>
    <w:rsid w:val="00D35CA4"/>
    <w:rsid w:val="00D40191"/>
    <w:rsid w:val="00D42CEF"/>
    <w:rsid w:val="00D53DEE"/>
    <w:rsid w:val="00D607D8"/>
    <w:rsid w:val="00D75B37"/>
    <w:rsid w:val="00D8340B"/>
    <w:rsid w:val="00D8528A"/>
    <w:rsid w:val="00DB625D"/>
    <w:rsid w:val="00DB6EB2"/>
    <w:rsid w:val="00DC6AF5"/>
    <w:rsid w:val="00DF00AC"/>
    <w:rsid w:val="00DF2A1E"/>
    <w:rsid w:val="00E0143E"/>
    <w:rsid w:val="00E016EA"/>
    <w:rsid w:val="00E02476"/>
    <w:rsid w:val="00E143EB"/>
    <w:rsid w:val="00E2375E"/>
    <w:rsid w:val="00E2772D"/>
    <w:rsid w:val="00E31ABF"/>
    <w:rsid w:val="00E3225B"/>
    <w:rsid w:val="00E45AA9"/>
    <w:rsid w:val="00E47C9F"/>
    <w:rsid w:val="00E5214C"/>
    <w:rsid w:val="00E65D08"/>
    <w:rsid w:val="00E67266"/>
    <w:rsid w:val="00E70116"/>
    <w:rsid w:val="00E709BC"/>
    <w:rsid w:val="00E737AC"/>
    <w:rsid w:val="00E835D8"/>
    <w:rsid w:val="00EB26B9"/>
    <w:rsid w:val="00ED4864"/>
    <w:rsid w:val="00ED591E"/>
    <w:rsid w:val="00EF7B49"/>
    <w:rsid w:val="00F006B3"/>
    <w:rsid w:val="00F07188"/>
    <w:rsid w:val="00F0744A"/>
    <w:rsid w:val="00F11736"/>
    <w:rsid w:val="00F140E2"/>
    <w:rsid w:val="00F17EFD"/>
    <w:rsid w:val="00F3440B"/>
    <w:rsid w:val="00F378C4"/>
    <w:rsid w:val="00F5121A"/>
    <w:rsid w:val="00F51E5D"/>
    <w:rsid w:val="00F60A17"/>
    <w:rsid w:val="00F70C8A"/>
    <w:rsid w:val="00F90DCD"/>
    <w:rsid w:val="00F91B98"/>
    <w:rsid w:val="00FB6734"/>
    <w:rsid w:val="00FB7D52"/>
    <w:rsid w:val="00FC4AC0"/>
    <w:rsid w:val="00FE413F"/>
    <w:rsid w:val="00FE6546"/>
    <w:rsid w:val="00FF2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93585-EB33-4C1D-B485-FC93D2A8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7C9F"/>
    <w:pPr>
      <w:spacing w:after="200" w:line="276" w:lineRule="auto"/>
    </w:pPr>
    <w:rPr>
      <w:rFonts w:asciiTheme="minorHAnsi" w:hAnsiTheme="minorHAnsi" w:cstheme="minorBidi"/>
      <w:sz w:val="22"/>
      <w:szCs w:val="22"/>
    </w:rPr>
  </w:style>
  <w:style w:type="paragraph" w:styleId="Nadpis2">
    <w:name w:val="heading 2"/>
    <w:basedOn w:val="Normlny"/>
    <w:next w:val="Normlny"/>
    <w:link w:val="Nadpis2Char"/>
    <w:uiPriority w:val="9"/>
    <w:unhideWhenUsed/>
    <w:qFormat/>
    <w:rsid w:val="004F3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adpis2"/>
    <w:next w:val="Normlny"/>
    <w:link w:val="Nadpis3Char"/>
    <w:uiPriority w:val="9"/>
    <w:unhideWhenUsed/>
    <w:qFormat/>
    <w:rsid w:val="004F35CD"/>
    <w:pPr>
      <w:spacing w:before="200" w:line="240" w:lineRule="auto"/>
      <w:outlineLvl w:val="2"/>
    </w:pPr>
    <w:rPr>
      <w:rFonts w:ascii="Arial Black" w:hAnsi="Arial Black"/>
      <w:bCs/>
      <w:color w:val="C8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47C9F"/>
    <w:rPr>
      <w:rFonts w:eastAsia="Times New Roman"/>
      <w:sz w:val="20"/>
      <w:szCs w:val="20"/>
      <w:lang w:eastAsia="sk-SK"/>
    </w:rPr>
  </w:style>
  <w:style w:type="paragraph" w:styleId="Pta">
    <w:name w:val="footer"/>
    <w:basedOn w:val="Normlny"/>
    <w:link w:val="Pt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E47C9F"/>
    <w:rPr>
      <w:rFonts w:eastAsia="Times New Roman"/>
      <w:sz w:val="20"/>
      <w:szCs w:val="20"/>
      <w:lang w:eastAsia="sk-SK"/>
    </w:rPr>
  </w:style>
  <w:style w:type="character" w:styleId="slostrany">
    <w:name w:val="page number"/>
    <w:basedOn w:val="Predvolenpsmoodseku"/>
    <w:uiPriority w:val="99"/>
    <w:rsid w:val="00E47C9F"/>
    <w:rPr>
      <w:rFonts w:cs="Times New Roman"/>
    </w:rPr>
  </w:style>
  <w:style w:type="paragraph" w:styleId="Textbubliny">
    <w:name w:val="Balloon Text"/>
    <w:basedOn w:val="Normlny"/>
    <w:link w:val="TextbublinyChar"/>
    <w:uiPriority w:val="99"/>
    <w:semiHidden/>
    <w:unhideWhenUsed/>
    <w:rsid w:val="00E47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7C9F"/>
    <w:rPr>
      <w:rFonts w:ascii="Tahoma" w:hAnsi="Tahoma" w:cs="Tahoma"/>
      <w:sz w:val="16"/>
      <w:szCs w:val="16"/>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E47C9F"/>
    <w:pPr>
      <w:ind w:left="720"/>
      <w:contextualSpacing/>
    </w:pPr>
  </w:style>
  <w:style w:type="table" w:styleId="Mriekatabuky">
    <w:name w:val="Table Grid"/>
    <w:basedOn w:val="Normlnatabuka"/>
    <w:uiPriority w:val="59"/>
    <w:rsid w:val="00E47C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47C9F"/>
    <w:rPr>
      <w:sz w:val="16"/>
      <w:szCs w:val="16"/>
    </w:rPr>
  </w:style>
  <w:style w:type="paragraph" w:styleId="Textkomentra">
    <w:name w:val="annotation text"/>
    <w:basedOn w:val="Normlny"/>
    <w:link w:val="TextkomentraChar"/>
    <w:uiPriority w:val="99"/>
    <w:unhideWhenUsed/>
    <w:rsid w:val="00E47C9F"/>
    <w:pPr>
      <w:spacing w:line="240" w:lineRule="auto"/>
    </w:pPr>
    <w:rPr>
      <w:sz w:val="20"/>
      <w:szCs w:val="20"/>
    </w:rPr>
  </w:style>
  <w:style w:type="character" w:customStyle="1" w:styleId="TextkomentraChar">
    <w:name w:val="Text komentára Char"/>
    <w:basedOn w:val="Predvolenpsmoodseku"/>
    <w:link w:val="Textkomentra"/>
    <w:uiPriority w:val="99"/>
    <w:rsid w:val="00E47C9F"/>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E47C9F"/>
    <w:rPr>
      <w:b/>
      <w:bCs/>
    </w:rPr>
  </w:style>
  <w:style w:type="character" w:customStyle="1" w:styleId="PredmetkomentraChar">
    <w:name w:val="Predmet komentára Char"/>
    <w:basedOn w:val="TextkomentraChar"/>
    <w:link w:val="Predmetkomentra"/>
    <w:uiPriority w:val="99"/>
    <w:semiHidden/>
    <w:rsid w:val="00E47C9F"/>
    <w:rPr>
      <w:rFonts w:asciiTheme="minorHAnsi" w:hAnsiTheme="minorHAnsi" w:cstheme="minorBidi"/>
      <w:b/>
      <w:bCs/>
      <w:sz w:val="20"/>
      <w:szCs w:val="20"/>
    </w:rPr>
  </w:style>
  <w:style w:type="paragraph" w:styleId="Textpoznmkypodiarou">
    <w:name w:val="footnote text"/>
    <w:basedOn w:val="Normlny"/>
    <w:link w:val="TextpoznmkypodiarouChar"/>
    <w:uiPriority w:val="99"/>
    <w:unhideWhenUsed/>
    <w:qFormat/>
    <w:rsid w:val="00E47C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47C9F"/>
    <w:rPr>
      <w:rFonts w:asciiTheme="minorHAnsi" w:hAnsiTheme="minorHAnsi" w:cstheme="minorBidi"/>
      <w:sz w:val="20"/>
      <w:szCs w:val="20"/>
    </w:rPr>
  </w:style>
  <w:style w:type="character" w:styleId="Odkaznapoznmkupodiarou">
    <w:name w:val="footnote reference"/>
    <w:basedOn w:val="Predvolenpsmoodseku"/>
    <w:uiPriority w:val="99"/>
    <w:semiHidden/>
    <w:unhideWhenUsed/>
    <w:rsid w:val="00E47C9F"/>
    <w:rPr>
      <w:vertAlign w:val="superscript"/>
    </w:rPr>
  </w:style>
  <w:style w:type="character" w:styleId="Siln">
    <w:name w:val="Strong"/>
    <w:basedOn w:val="Predvolenpsmoodseku"/>
    <w:uiPriority w:val="22"/>
    <w:qFormat/>
    <w:rsid w:val="00E47C9F"/>
    <w:rPr>
      <w:b/>
      <w:bCs/>
    </w:r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E47C9F"/>
    <w:rPr>
      <w:rFonts w:asciiTheme="minorHAnsi" w:hAnsiTheme="minorHAnsi" w:cstheme="minorBidi"/>
      <w:sz w:val="22"/>
      <w:szCs w:val="22"/>
    </w:rPr>
  </w:style>
  <w:style w:type="character" w:customStyle="1" w:styleId="s4">
    <w:name w:val="s4"/>
    <w:rsid w:val="00E47C9F"/>
    <w:rPr>
      <w:rFonts w:ascii="TimesNewRomanPS-BoldMT" w:hAnsi="TimesNewRomanPS-BoldMT" w:hint="default"/>
      <w:b/>
      <w:bCs/>
      <w:i w:val="0"/>
      <w:iCs w:val="0"/>
      <w:sz w:val="17"/>
      <w:szCs w:val="17"/>
    </w:rPr>
  </w:style>
  <w:style w:type="character" w:styleId="Zstupntext">
    <w:name w:val="Placeholder Text"/>
    <w:basedOn w:val="Predvolenpsmoodseku"/>
    <w:uiPriority w:val="99"/>
    <w:semiHidden/>
    <w:rsid w:val="00E47C9F"/>
    <w:rPr>
      <w:rFonts w:ascii="Times New Roman" w:hAnsi="Times New Roman" w:cs="Times New Roman"/>
      <w:color w:val="000000"/>
    </w:rPr>
  </w:style>
  <w:style w:type="character" w:customStyle="1" w:styleId="Nadpis3Char">
    <w:name w:val="Nadpis 3 Char"/>
    <w:basedOn w:val="Predvolenpsmoodseku"/>
    <w:link w:val="Nadpis3"/>
    <w:uiPriority w:val="9"/>
    <w:rsid w:val="004F35CD"/>
    <w:rPr>
      <w:rFonts w:ascii="Arial Black" w:eastAsiaTheme="majorEastAsia" w:hAnsi="Arial Black" w:cstheme="majorBidi"/>
      <w:bCs/>
      <w:color w:val="C80000"/>
      <w:sz w:val="18"/>
      <w:szCs w:val="26"/>
    </w:rPr>
  </w:style>
  <w:style w:type="character" w:customStyle="1" w:styleId="Nadpis2Char">
    <w:name w:val="Nadpis 2 Char"/>
    <w:basedOn w:val="Predvolenpsmoodseku"/>
    <w:link w:val="Nadpis2"/>
    <w:uiPriority w:val="9"/>
    <w:rsid w:val="004F35CD"/>
    <w:rPr>
      <w:rFonts w:asciiTheme="majorHAnsi" w:eastAsiaTheme="majorEastAsia" w:hAnsiTheme="majorHAnsi" w:cstheme="majorBidi"/>
      <w:color w:val="365F91" w:themeColor="accent1" w:themeShade="BF"/>
      <w:sz w:val="26"/>
      <w:szCs w:val="26"/>
    </w:rPr>
  </w:style>
  <w:style w:type="paragraph" w:customStyle="1" w:styleId="NormlB">
    <w:name w:val="Normál (B)"/>
    <w:basedOn w:val="Normlny"/>
    <w:link w:val="NormlBChar"/>
    <w:qFormat/>
    <w:rsid w:val="00C909F3"/>
    <w:pPr>
      <w:spacing w:before="120" w:after="120"/>
      <w:jc w:val="both"/>
    </w:pPr>
    <w:rPr>
      <w:rFonts w:ascii="Arial" w:hAnsi="Arial"/>
      <w:b/>
      <w:color w:val="595959" w:themeColor="text1" w:themeTint="A6"/>
      <w:sz w:val="18"/>
    </w:rPr>
  </w:style>
  <w:style w:type="character" w:customStyle="1" w:styleId="NormlBChar">
    <w:name w:val="Normál (B) Char"/>
    <w:basedOn w:val="Predvolenpsmoodseku"/>
    <w:link w:val="NormlB"/>
    <w:rsid w:val="00C909F3"/>
    <w:rPr>
      <w:rFonts w:ascii="Arial" w:hAnsi="Arial" w:cstheme="minorBidi"/>
      <w:b/>
      <w:color w:val="595959" w:themeColor="text1" w:themeTint="A6"/>
      <w:sz w:val="18"/>
      <w:szCs w:val="22"/>
    </w:rPr>
  </w:style>
  <w:style w:type="character" w:styleId="PremennHTML">
    <w:name w:val="HTML Variable"/>
    <w:basedOn w:val="Predvolenpsmoodseku"/>
    <w:uiPriority w:val="99"/>
    <w:semiHidden/>
    <w:unhideWhenUsed/>
    <w:rsid w:val="000B48B1"/>
    <w:rPr>
      <w:i/>
      <w:iCs/>
    </w:rPr>
  </w:style>
  <w:style w:type="paragraph" w:styleId="Revzia">
    <w:name w:val="Revision"/>
    <w:hidden/>
    <w:uiPriority w:val="99"/>
    <w:semiHidden/>
    <w:rsid w:val="00AD678C"/>
    <w:rPr>
      <w:rFonts w:asciiTheme="minorHAnsi" w:hAnsiTheme="minorHAnsi" w:cstheme="minorBidi"/>
      <w:sz w:val="22"/>
      <w:szCs w:val="22"/>
    </w:rPr>
  </w:style>
  <w:style w:type="character" w:styleId="Hypertextovprepojenie">
    <w:name w:val="Hyperlink"/>
    <w:basedOn w:val="Predvolenpsmoodseku"/>
    <w:uiPriority w:val="99"/>
    <w:semiHidden/>
    <w:unhideWhenUsed/>
    <w:rsid w:val="00BA5C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35">
      <w:bodyDiv w:val="1"/>
      <w:marLeft w:val="0"/>
      <w:marRight w:val="0"/>
      <w:marTop w:val="0"/>
      <w:marBottom w:val="0"/>
      <w:divBdr>
        <w:top w:val="none" w:sz="0" w:space="0" w:color="auto"/>
        <w:left w:val="none" w:sz="0" w:space="0" w:color="auto"/>
        <w:bottom w:val="none" w:sz="0" w:space="0" w:color="auto"/>
        <w:right w:val="none" w:sz="0" w:space="0" w:color="auto"/>
      </w:divBdr>
    </w:div>
    <w:div w:id="36901860">
      <w:bodyDiv w:val="1"/>
      <w:marLeft w:val="0"/>
      <w:marRight w:val="0"/>
      <w:marTop w:val="0"/>
      <w:marBottom w:val="0"/>
      <w:divBdr>
        <w:top w:val="none" w:sz="0" w:space="0" w:color="auto"/>
        <w:left w:val="none" w:sz="0" w:space="0" w:color="auto"/>
        <w:bottom w:val="none" w:sz="0" w:space="0" w:color="auto"/>
        <w:right w:val="none" w:sz="0" w:space="0" w:color="auto"/>
      </w:divBdr>
    </w:div>
    <w:div w:id="67847377">
      <w:bodyDiv w:val="1"/>
      <w:marLeft w:val="0"/>
      <w:marRight w:val="0"/>
      <w:marTop w:val="0"/>
      <w:marBottom w:val="0"/>
      <w:divBdr>
        <w:top w:val="none" w:sz="0" w:space="0" w:color="auto"/>
        <w:left w:val="none" w:sz="0" w:space="0" w:color="auto"/>
        <w:bottom w:val="none" w:sz="0" w:space="0" w:color="auto"/>
        <w:right w:val="none" w:sz="0" w:space="0" w:color="auto"/>
      </w:divBdr>
    </w:div>
    <w:div w:id="74208343">
      <w:bodyDiv w:val="1"/>
      <w:marLeft w:val="0"/>
      <w:marRight w:val="0"/>
      <w:marTop w:val="0"/>
      <w:marBottom w:val="0"/>
      <w:divBdr>
        <w:top w:val="none" w:sz="0" w:space="0" w:color="auto"/>
        <w:left w:val="none" w:sz="0" w:space="0" w:color="auto"/>
        <w:bottom w:val="none" w:sz="0" w:space="0" w:color="auto"/>
        <w:right w:val="none" w:sz="0" w:space="0" w:color="auto"/>
      </w:divBdr>
    </w:div>
    <w:div w:id="125241764">
      <w:bodyDiv w:val="1"/>
      <w:marLeft w:val="0"/>
      <w:marRight w:val="0"/>
      <w:marTop w:val="0"/>
      <w:marBottom w:val="0"/>
      <w:divBdr>
        <w:top w:val="none" w:sz="0" w:space="0" w:color="auto"/>
        <w:left w:val="none" w:sz="0" w:space="0" w:color="auto"/>
        <w:bottom w:val="none" w:sz="0" w:space="0" w:color="auto"/>
        <w:right w:val="none" w:sz="0" w:space="0" w:color="auto"/>
      </w:divBdr>
    </w:div>
    <w:div w:id="187063243">
      <w:bodyDiv w:val="1"/>
      <w:marLeft w:val="0"/>
      <w:marRight w:val="0"/>
      <w:marTop w:val="0"/>
      <w:marBottom w:val="0"/>
      <w:divBdr>
        <w:top w:val="none" w:sz="0" w:space="0" w:color="auto"/>
        <w:left w:val="none" w:sz="0" w:space="0" w:color="auto"/>
        <w:bottom w:val="none" w:sz="0" w:space="0" w:color="auto"/>
        <w:right w:val="none" w:sz="0" w:space="0" w:color="auto"/>
      </w:divBdr>
    </w:div>
    <w:div w:id="212231445">
      <w:bodyDiv w:val="1"/>
      <w:marLeft w:val="0"/>
      <w:marRight w:val="0"/>
      <w:marTop w:val="0"/>
      <w:marBottom w:val="0"/>
      <w:divBdr>
        <w:top w:val="none" w:sz="0" w:space="0" w:color="auto"/>
        <w:left w:val="none" w:sz="0" w:space="0" w:color="auto"/>
        <w:bottom w:val="none" w:sz="0" w:space="0" w:color="auto"/>
        <w:right w:val="none" w:sz="0" w:space="0" w:color="auto"/>
      </w:divBdr>
    </w:div>
    <w:div w:id="255527186">
      <w:bodyDiv w:val="1"/>
      <w:marLeft w:val="0"/>
      <w:marRight w:val="0"/>
      <w:marTop w:val="0"/>
      <w:marBottom w:val="0"/>
      <w:divBdr>
        <w:top w:val="none" w:sz="0" w:space="0" w:color="auto"/>
        <w:left w:val="none" w:sz="0" w:space="0" w:color="auto"/>
        <w:bottom w:val="none" w:sz="0" w:space="0" w:color="auto"/>
        <w:right w:val="none" w:sz="0" w:space="0" w:color="auto"/>
      </w:divBdr>
    </w:div>
    <w:div w:id="262685833">
      <w:bodyDiv w:val="1"/>
      <w:marLeft w:val="0"/>
      <w:marRight w:val="0"/>
      <w:marTop w:val="0"/>
      <w:marBottom w:val="0"/>
      <w:divBdr>
        <w:top w:val="none" w:sz="0" w:space="0" w:color="auto"/>
        <w:left w:val="none" w:sz="0" w:space="0" w:color="auto"/>
        <w:bottom w:val="none" w:sz="0" w:space="0" w:color="auto"/>
        <w:right w:val="none" w:sz="0" w:space="0" w:color="auto"/>
      </w:divBdr>
    </w:div>
    <w:div w:id="265040164">
      <w:bodyDiv w:val="1"/>
      <w:marLeft w:val="0"/>
      <w:marRight w:val="0"/>
      <w:marTop w:val="0"/>
      <w:marBottom w:val="0"/>
      <w:divBdr>
        <w:top w:val="none" w:sz="0" w:space="0" w:color="auto"/>
        <w:left w:val="none" w:sz="0" w:space="0" w:color="auto"/>
        <w:bottom w:val="none" w:sz="0" w:space="0" w:color="auto"/>
        <w:right w:val="none" w:sz="0" w:space="0" w:color="auto"/>
      </w:divBdr>
    </w:div>
    <w:div w:id="293682229">
      <w:bodyDiv w:val="1"/>
      <w:marLeft w:val="0"/>
      <w:marRight w:val="0"/>
      <w:marTop w:val="0"/>
      <w:marBottom w:val="0"/>
      <w:divBdr>
        <w:top w:val="none" w:sz="0" w:space="0" w:color="auto"/>
        <w:left w:val="none" w:sz="0" w:space="0" w:color="auto"/>
        <w:bottom w:val="none" w:sz="0" w:space="0" w:color="auto"/>
        <w:right w:val="none" w:sz="0" w:space="0" w:color="auto"/>
      </w:divBdr>
    </w:div>
    <w:div w:id="338894175">
      <w:bodyDiv w:val="1"/>
      <w:marLeft w:val="0"/>
      <w:marRight w:val="0"/>
      <w:marTop w:val="0"/>
      <w:marBottom w:val="0"/>
      <w:divBdr>
        <w:top w:val="none" w:sz="0" w:space="0" w:color="auto"/>
        <w:left w:val="none" w:sz="0" w:space="0" w:color="auto"/>
        <w:bottom w:val="none" w:sz="0" w:space="0" w:color="auto"/>
        <w:right w:val="none" w:sz="0" w:space="0" w:color="auto"/>
      </w:divBdr>
    </w:div>
    <w:div w:id="390886524">
      <w:bodyDiv w:val="1"/>
      <w:marLeft w:val="0"/>
      <w:marRight w:val="0"/>
      <w:marTop w:val="0"/>
      <w:marBottom w:val="0"/>
      <w:divBdr>
        <w:top w:val="none" w:sz="0" w:space="0" w:color="auto"/>
        <w:left w:val="none" w:sz="0" w:space="0" w:color="auto"/>
        <w:bottom w:val="none" w:sz="0" w:space="0" w:color="auto"/>
        <w:right w:val="none" w:sz="0" w:space="0" w:color="auto"/>
      </w:divBdr>
    </w:div>
    <w:div w:id="404030001">
      <w:bodyDiv w:val="1"/>
      <w:marLeft w:val="0"/>
      <w:marRight w:val="0"/>
      <w:marTop w:val="0"/>
      <w:marBottom w:val="0"/>
      <w:divBdr>
        <w:top w:val="none" w:sz="0" w:space="0" w:color="auto"/>
        <w:left w:val="none" w:sz="0" w:space="0" w:color="auto"/>
        <w:bottom w:val="none" w:sz="0" w:space="0" w:color="auto"/>
        <w:right w:val="none" w:sz="0" w:space="0" w:color="auto"/>
      </w:divBdr>
    </w:div>
    <w:div w:id="452753718">
      <w:bodyDiv w:val="1"/>
      <w:marLeft w:val="0"/>
      <w:marRight w:val="0"/>
      <w:marTop w:val="0"/>
      <w:marBottom w:val="0"/>
      <w:divBdr>
        <w:top w:val="none" w:sz="0" w:space="0" w:color="auto"/>
        <w:left w:val="none" w:sz="0" w:space="0" w:color="auto"/>
        <w:bottom w:val="none" w:sz="0" w:space="0" w:color="auto"/>
        <w:right w:val="none" w:sz="0" w:space="0" w:color="auto"/>
      </w:divBdr>
    </w:div>
    <w:div w:id="488833897">
      <w:bodyDiv w:val="1"/>
      <w:marLeft w:val="0"/>
      <w:marRight w:val="0"/>
      <w:marTop w:val="0"/>
      <w:marBottom w:val="0"/>
      <w:divBdr>
        <w:top w:val="none" w:sz="0" w:space="0" w:color="auto"/>
        <w:left w:val="none" w:sz="0" w:space="0" w:color="auto"/>
        <w:bottom w:val="none" w:sz="0" w:space="0" w:color="auto"/>
        <w:right w:val="none" w:sz="0" w:space="0" w:color="auto"/>
      </w:divBdr>
    </w:div>
    <w:div w:id="509953976">
      <w:bodyDiv w:val="1"/>
      <w:marLeft w:val="0"/>
      <w:marRight w:val="0"/>
      <w:marTop w:val="0"/>
      <w:marBottom w:val="0"/>
      <w:divBdr>
        <w:top w:val="none" w:sz="0" w:space="0" w:color="auto"/>
        <w:left w:val="none" w:sz="0" w:space="0" w:color="auto"/>
        <w:bottom w:val="none" w:sz="0" w:space="0" w:color="auto"/>
        <w:right w:val="none" w:sz="0" w:space="0" w:color="auto"/>
      </w:divBdr>
    </w:div>
    <w:div w:id="541792645">
      <w:bodyDiv w:val="1"/>
      <w:marLeft w:val="0"/>
      <w:marRight w:val="0"/>
      <w:marTop w:val="0"/>
      <w:marBottom w:val="0"/>
      <w:divBdr>
        <w:top w:val="none" w:sz="0" w:space="0" w:color="auto"/>
        <w:left w:val="none" w:sz="0" w:space="0" w:color="auto"/>
        <w:bottom w:val="none" w:sz="0" w:space="0" w:color="auto"/>
        <w:right w:val="none" w:sz="0" w:space="0" w:color="auto"/>
      </w:divBdr>
    </w:div>
    <w:div w:id="618800007">
      <w:bodyDiv w:val="1"/>
      <w:marLeft w:val="0"/>
      <w:marRight w:val="0"/>
      <w:marTop w:val="0"/>
      <w:marBottom w:val="0"/>
      <w:divBdr>
        <w:top w:val="none" w:sz="0" w:space="0" w:color="auto"/>
        <w:left w:val="none" w:sz="0" w:space="0" w:color="auto"/>
        <w:bottom w:val="none" w:sz="0" w:space="0" w:color="auto"/>
        <w:right w:val="none" w:sz="0" w:space="0" w:color="auto"/>
      </w:divBdr>
    </w:div>
    <w:div w:id="647825839">
      <w:bodyDiv w:val="1"/>
      <w:marLeft w:val="0"/>
      <w:marRight w:val="0"/>
      <w:marTop w:val="0"/>
      <w:marBottom w:val="0"/>
      <w:divBdr>
        <w:top w:val="none" w:sz="0" w:space="0" w:color="auto"/>
        <w:left w:val="none" w:sz="0" w:space="0" w:color="auto"/>
        <w:bottom w:val="none" w:sz="0" w:space="0" w:color="auto"/>
        <w:right w:val="none" w:sz="0" w:space="0" w:color="auto"/>
      </w:divBdr>
    </w:div>
    <w:div w:id="652368180">
      <w:bodyDiv w:val="1"/>
      <w:marLeft w:val="0"/>
      <w:marRight w:val="0"/>
      <w:marTop w:val="0"/>
      <w:marBottom w:val="0"/>
      <w:divBdr>
        <w:top w:val="none" w:sz="0" w:space="0" w:color="auto"/>
        <w:left w:val="none" w:sz="0" w:space="0" w:color="auto"/>
        <w:bottom w:val="none" w:sz="0" w:space="0" w:color="auto"/>
        <w:right w:val="none" w:sz="0" w:space="0" w:color="auto"/>
      </w:divBdr>
    </w:div>
    <w:div w:id="710617840">
      <w:bodyDiv w:val="1"/>
      <w:marLeft w:val="0"/>
      <w:marRight w:val="0"/>
      <w:marTop w:val="0"/>
      <w:marBottom w:val="0"/>
      <w:divBdr>
        <w:top w:val="none" w:sz="0" w:space="0" w:color="auto"/>
        <w:left w:val="none" w:sz="0" w:space="0" w:color="auto"/>
        <w:bottom w:val="none" w:sz="0" w:space="0" w:color="auto"/>
        <w:right w:val="none" w:sz="0" w:space="0" w:color="auto"/>
      </w:divBdr>
    </w:div>
    <w:div w:id="713580774">
      <w:bodyDiv w:val="1"/>
      <w:marLeft w:val="0"/>
      <w:marRight w:val="0"/>
      <w:marTop w:val="0"/>
      <w:marBottom w:val="0"/>
      <w:divBdr>
        <w:top w:val="none" w:sz="0" w:space="0" w:color="auto"/>
        <w:left w:val="none" w:sz="0" w:space="0" w:color="auto"/>
        <w:bottom w:val="none" w:sz="0" w:space="0" w:color="auto"/>
        <w:right w:val="none" w:sz="0" w:space="0" w:color="auto"/>
      </w:divBdr>
    </w:div>
    <w:div w:id="764109432">
      <w:bodyDiv w:val="1"/>
      <w:marLeft w:val="0"/>
      <w:marRight w:val="0"/>
      <w:marTop w:val="0"/>
      <w:marBottom w:val="0"/>
      <w:divBdr>
        <w:top w:val="none" w:sz="0" w:space="0" w:color="auto"/>
        <w:left w:val="none" w:sz="0" w:space="0" w:color="auto"/>
        <w:bottom w:val="none" w:sz="0" w:space="0" w:color="auto"/>
        <w:right w:val="none" w:sz="0" w:space="0" w:color="auto"/>
      </w:divBdr>
    </w:div>
    <w:div w:id="843403078">
      <w:bodyDiv w:val="1"/>
      <w:marLeft w:val="0"/>
      <w:marRight w:val="0"/>
      <w:marTop w:val="0"/>
      <w:marBottom w:val="0"/>
      <w:divBdr>
        <w:top w:val="none" w:sz="0" w:space="0" w:color="auto"/>
        <w:left w:val="none" w:sz="0" w:space="0" w:color="auto"/>
        <w:bottom w:val="none" w:sz="0" w:space="0" w:color="auto"/>
        <w:right w:val="none" w:sz="0" w:space="0" w:color="auto"/>
      </w:divBdr>
    </w:div>
    <w:div w:id="916481537">
      <w:bodyDiv w:val="1"/>
      <w:marLeft w:val="0"/>
      <w:marRight w:val="0"/>
      <w:marTop w:val="0"/>
      <w:marBottom w:val="0"/>
      <w:divBdr>
        <w:top w:val="none" w:sz="0" w:space="0" w:color="auto"/>
        <w:left w:val="none" w:sz="0" w:space="0" w:color="auto"/>
        <w:bottom w:val="none" w:sz="0" w:space="0" w:color="auto"/>
        <w:right w:val="none" w:sz="0" w:space="0" w:color="auto"/>
      </w:divBdr>
    </w:div>
    <w:div w:id="972638544">
      <w:bodyDiv w:val="1"/>
      <w:marLeft w:val="0"/>
      <w:marRight w:val="0"/>
      <w:marTop w:val="0"/>
      <w:marBottom w:val="0"/>
      <w:divBdr>
        <w:top w:val="none" w:sz="0" w:space="0" w:color="auto"/>
        <w:left w:val="none" w:sz="0" w:space="0" w:color="auto"/>
        <w:bottom w:val="none" w:sz="0" w:space="0" w:color="auto"/>
        <w:right w:val="none" w:sz="0" w:space="0" w:color="auto"/>
      </w:divBdr>
    </w:div>
    <w:div w:id="975528091">
      <w:bodyDiv w:val="1"/>
      <w:marLeft w:val="0"/>
      <w:marRight w:val="0"/>
      <w:marTop w:val="0"/>
      <w:marBottom w:val="0"/>
      <w:divBdr>
        <w:top w:val="none" w:sz="0" w:space="0" w:color="auto"/>
        <w:left w:val="none" w:sz="0" w:space="0" w:color="auto"/>
        <w:bottom w:val="none" w:sz="0" w:space="0" w:color="auto"/>
        <w:right w:val="none" w:sz="0" w:space="0" w:color="auto"/>
      </w:divBdr>
    </w:div>
    <w:div w:id="1025330776">
      <w:bodyDiv w:val="1"/>
      <w:marLeft w:val="0"/>
      <w:marRight w:val="0"/>
      <w:marTop w:val="0"/>
      <w:marBottom w:val="0"/>
      <w:divBdr>
        <w:top w:val="none" w:sz="0" w:space="0" w:color="auto"/>
        <w:left w:val="none" w:sz="0" w:space="0" w:color="auto"/>
        <w:bottom w:val="none" w:sz="0" w:space="0" w:color="auto"/>
        <w:right w:val="none" w:sz="0" w:space="0" w:color="auto"/>
      </w:divBdr>
    </w:div>
    <w:div w:id="1051001803">
      <w:bodyDiv w:val="1"/>
      <w:marLeft w:val="0"/>
      <w:marRight w:val="0"/>
      <w:marTop w:val="0"/>
      <w:marBottom w:val="0"/>
      <w:divBdr>
        <w:top w:val="none" w:sz="0" w:space="0" w:color="auto"/>
        <w:left w:val="none" w:sz="0" w:space="0" w:color="auto"/>
        <w:bottom w:val="none" w:sz="0" w:space="0" w:color="auto"/>
        <w:right w:val="none" w:sz="0" w:space="0" w:color="auto"/>
      </w:divBdr>
    </w:div>
    <w:div w:id="1081951928">
      <w:bodyDiv w:val="1"/>
      <w:marLeft w:val="0"/>
      <w:marRight w:val="0"/>
      <w:marTop w:val="0"/>
      <w:marBottom w:val="0"/>
      <w:divBdr>
        <w:top w:val="none" w:sz="0" w:space="0" w:color="auto"/>
        <w:left w:val="none" w:sz="0" w:space="0" w:color="auto"/>
        <w:bottom w:val="none" w:sz="0" w:space="0" w:color="auto"/>
        <w:right w:val="none" w:sz="0" w:space="0" w:color="auto"/>
      </w:divBdr>
    </w:div>
    <w:div w:id="1109736627">
      <w:bodyDiv w:val="1"/>
      <w:marLeft w:val="0"/>
      <w:marRight w:val="0"/>
      <w:marTop w:val="0"/>
      <w:marBottom w:val="0"/>
      <w:divBdr>
        <w:top w:val="none" w:sz="0" w:space="0" w:color="auto"/>
        <w:left w:val="none" w:sz="0" w:space="0" w:color="auto"/>
        <w:bottom w:val="none" w:sz="0" w:space="0" w:color="auto"/>
        <w:right w:val="none" w:sz="0" w:space="0" w:color="auto"/>
      </w:divBdr>
    </w:div>
    <w:div w:id="1122266510">
      <w:bodyDiv w:val="1"/>
      <w:marLeft w:val="0"/>
      <w:marRight w:val="0"/>
      <w:marTop w:val="0"/>
      <w:marBottom w:val="0"/>
      <w:divBdr>
        <w:top w:val="none" w:sz="0" w:space="0" w:color="auto"/>
        <w:left w:val="none" w:sz="0" w:space="0" w:color="auto"/>
        <w:bottom w:val="none" w:sz="0" w:space="0" w:color="auto"/>
        <w:right w:val="none" w:sz="0" w:space="0" w:color="auto"/>
      </w:divBdr>
    </w:div>
    <w:div w:id="1146825128">
      <w:bodyDiv w:val="1"/>
      <w:marLeft w:val="0"/>
      <w:marRight w:val="0"/>
      <w:marTop w:val="0"/>
      <w:marBottom w:val="0"/>
      <w:divBdr>
        <w:top w:val="none" w:sz="0" w:space="0" w:color="auto"/>
        <w:left w:val="none" w:sz="0" w:space="0" w:color="auto"/>
        <w:bottom w:val="none" w:sz="0" w:space="0" w:color="auto"/>
        <w:right w:val="none" w:sz="0" w:space="0" w:color="auto"/>
      </w:divBdr>
    </w:div>
    <w:div w:id="1160998197">
      <w:bodyDiv w:val="1"/>
      <w:marLeft w:val="0"/>
      <w:marRight w:val="0"/>
      <w:marTop w:val="0"/>
      <w:marBottom w:val="0"/>
      <w:divBdr>
        <w:top w:val="none" w:sz="0" w:space="0" w:color="auto"/>
        <w:left w:val="none" w:sz="0" w:space="0" w:color="auto"/>
        <w:bottom w:val="none" w:sz="0" w:space="0" w:color="auto"/>
        <w:right w:val="none" w:sz="0" w:space="0" w:color="auto"/>
      </w:divBdr>
    </w:div>
    <w:div w:id="1180123559">
      <w:bodyDiv w:val="1"/>
      <w:marLeft w:val="0"/>
      <w:marRight w:val="0"/>
      <w:marTop w:val="0"/>
      <w:marBottom w:val="0"/>
      <w:divBdr>
        <w:top w:val="none" w:sz="0" w:space="0" w:color="auto"/>
        <w:left w:val="none" w:sz="0" w:space="0" w:color="auto"/>
        <w:bottom w:val="none" w:sz="0" w:space="0" w:color="auto"/>
        <w:right w:val="none" w:sz="0" w:space="0" w:color="auto"/>
      </w:divBdr>
    </w:div>
    <w:div w:id="1205099930">
      <w:bodyDiv w:val="1"/>
      <w:marLeft w:val="0"/>
      <w:marRight w:val="0"/>
      <w:marTop w:val="0"/>
      <w:marBottom w:val="0"/>
      <w:divBdr>
        <w:top w:val="none" w:sz="0" w:space="0" w:color="auto"/>
        <w:left w:val="none" w:sz="0" w:space="0" w:color="auto"/>
        <w:bottom w:val="none" w:sz="0" w:space="0" w:color="auto"/>
        <w:right w:val="none" w:sz="0" w:space="0" w:color="auto"/>
      </w:divBdr>
    </w:div>
    <w:div w:id="1246845610">
      <w:bodyDiv w:val="1"/>
      <w:marLeft w:val="0"/>
      <w:marRight w:val="0"/>
      <w:marTop w:val="0"/>
      <w:marBottom w:val="0"/>
      <w:divBdr>
        <w:top w:val="none" w:sz="0" w:space="0" w:color="auto"/>
        <w:left w:val="none" w:sz="0" w:space="0" w:color="auto"/>
        <w:bottom w:val="none" w:sz="0" w:space="0" w:color="auto"/>
        <w:right w:val="none" w:sz="0" w:space="0" w:color="auto"/>
      </w:divBdr>
    </w:div>
    <w:div w:id="1248884901">
      <w:bodyDiv w:val="1"/>
      <w:marLeft w:val="0"/>
      <w:marRight w:val="0"/>
      <w:marTop w:val="0"/>
      <w:marBottom w:val="0"/>
      <w:divBdr>
        <w:top w:val="none" w:sz="0" w:space="0" w:color="auto"/>
        <w:left w:val="none" w:sz="0" w:space="0" w:color="auto"/>
        <w:bottom w:val="none" w:sz="0" w:space="0" w:color="auto"/>
        <w:right w:val="none" w:sz="0" w:space="0" w:color="auto"/>
      </w:divBdr>
    </w:div>
    <w:div w:id="1265453488">
      <w:bodyDiv w:val="1"/>
      <w:marLeft w:val="0"/>
      <w:marRight w:val="0"/>
      <w:marTop w:val="0"/>
      <w:marBottom w:val="0"/>
      <w:divBdr>
        <w:top w:val="none" w:sz="0" w:space="0" w:color="auto"/>
        <w:left w:val="none" w:sz="0" w:space="0" w:color="auto"/>
        <w:bottom w:val="none" w:sz="0" w:space="0" w:color="auto"/>
        <w:right w:val="none" w:sz="0" w:space="0" w:color="auto"/>
      </w:divBdr>
    </w:div>
    <w:div w:id="1300915811">
      <w:bodyDiv w:val="1"/>
      <w:marLeft w:val="0"/>
      <w:marRight w:val="0"/>
      <w:marTop w:val="0"/>
      <w:marBottom w:val="0"/>
      <w:divBdr>
        <w:top w:val="none" w:sz="0" w:space="0" w:color="auto"/>
        <w:left w:val="none" w:sz="0" w:space="0" w:color="auto"/>
        <w:bottom w:val="none" w:sz="0" w:space="0" w:color="auto"/>
        <w:right w:val="none" w:sz="0" w:space="0" w:color="auto"/>
      </w:divBdr>
    </w:div>
    <w:div w:id="1320113190">
      <w:bodyDiv w:val="1"/>
      <w:marLeft w:val="0"/>
      <w:marRight w:val="0"/>
      <w:marTop w:val="0"/>
      <w:marBottom w:val="0"/>
      <w:divBdr>
        <w:top w:val="none" w:sz="0" w:space="0" w:color="auto"/>
        <w:left w:val="none" w:sz="0" w:space="0" w:color="auto"/>
        <w:bottom w:val="none" w:sz="0" w:space="0" w:color="auto"/>
        <w:right w:val="none" w:sz="0" w:space="0" w:color="auto"/>
      </w:divBdr>
    </w:div>
    <w:div w:id="1325165594">
      <w:bodyDiv w:val="1"/>
      <w:marLeft w:val="0"/>
      <w:marRight w:val="0"/>
      <w:marTop w:val="0"/>
      <w:marBottom w:val="0"/>
      <w:divBdr>
        <w:top w:val="none" w:sz="0" w:space="0" w:color="auto"/>
        <w:left w:val="none" w:sz="0" w:space="0" w:color="auto"/>
        <w:bottom w:val="none" w:sz="0" w:space="0" w:color="auto"/>
        <w:right w:val="none" w:sz="0" w:space="0" w:color="auto"/>
      </w:divBdr>
    </w:div>
    <w:div w:id="1354376274">
      <w:bodyDiv w:val="1"/>
      <w:marLeft w:val="0"/>
      <w:marRight w:val="0"/>
      <w:marTop w:val="0"/>
      <w:marBottom w:val="0"/>
      <w:divBdr>
        <w:top w:val="none" w:sz="0" w:space="0" w:color="auto"/>
        <w:left w:val="none" w:sz="0" w:space="0" w:color="auto"/>
        <w:bottom w:val="none" w:sz="0" w:space="0" w:color="auto"/>
        <w:right w:val="none" w:sz="0" w:space="0" w:color="auto"/>
      </w:divBdr>
    </w:div>
    <w:div w:id="1401095004">
      <w:bodyDiv w:val="1"/>
      <w:marLeft w:val="0"/>
      <w:marRight w:val="0"/>
      <w:marTop w:val="0"/>
      <w:marBottom w:val="0"/>
      <w:divBdr>
        <w:top w:val="none" w:sz="0" w:space="0" w:color="auto"/>
        <w:left w:val="none" w:sz="0" w:space="0" w:color="auto"/>
        <w:bottom w:val="none" w:sz="0" w:space="0" w:color="auto"/>
        <w:right w:val="none" w:sz="0" w:space="0" w:color="auto"/>
      </w:divBdr>
    </w:div>
    <w:div w:id="1495604239">
      <w:bodyDiv w:val="1"/>
      <w:marLeft w:val="0"/>
      <w:marRight w:val="0"/>
      <w:marTop w:val="0"/>
      <w:marBottom w:val="0"/>
      <w:divBdr>
        <w:top w:val="none" w:sz="0" w:space="0" w:color="auto"/>
        <w:left w:val="none" w:sz="0" w:space="0" w:color="auto"/>
        <w:bottom w:val="none" w:sz="0" w:space="0" w:color="auto"/>
        <w:right w:val="none" w:sz="0" w:space="0" w:color="auto"/>
      </w:divBdr>
    </w:div>
    <w:div w:id="1551649572">
      <w:bodyDiv w:val="1"/>
      <w:marLeft w:val="0"/>
      <w:marRight w:val="0"/>
      <w:marTop w:val="0"/>
      <w:marBottom w:val="0"/>
      <w:divBdr>
        <w:top w:val="none" w:sz="0" w:space="0" w:color="auto"/>
        <w:left w:val="none" w:sz="0" w:space="0" w:color="auto"/>
        <w:bottom w:val="none" w:sz="0" w:space="0" w:color="auto"/>
        <w:right w:val="none" w:sz="0" w:space="0" w:color="auto"/>
      </w:divBdr>
    </w:div>
    <w:div w:id="1579442374">
      <w:bodyDiv w:val="1"/>
      <w:marLeft w:val="0"/>
      <w:marRight w:val="0"/>
      <w:marTop w:val="0"/>
      <w:marBottom w:val="0"/>
      <w:divBdr>
        <w:top w:val="none" w:sz="0" w:space="0" w:color="auto"/>
        <w:left w:val="none" w:sz="0" w:space="0" w:color="auto"/>
        <w:bottom w:val="none" w:sz="0" w:space="0" w:color="auto"/>
        <w:right w:val="none" w:sz="0" w:space="0" w:color="auto"/>
      </w:divBdr>
    </w:div>
    <w:div w:id="1584486186">
      <w:bodyDiv w:val="1"/>
      <w:marLeft w:val="0"/>
      <w:marRight w:val="0"/>
      <w:marTop w:val="0"/>
      <w:marBottom w:val="0"/>
      <w:divBdr>
        <w:top w:val="none" w:sz="0" w:space="0" w:color="auto"/>
        <w:left w:val="none" w:sz="0" w:space="0" w:color="auto"/>
        <w:bottom w:val="none" w:sz="0" w:space="0" w:color="auto"/>
        <w:right w:val="none" w:sz="0" w:space="0" w:color="auto"/>
      </w:divBdr>
    </w:div>
    <w:div w:id="1602570315">
      <w:bodyDiv w:val="1"/>
      <w:marLeft w:val="0"/>
      <w:marRight w:val="0"/>
      <w:marTop w:val="0"/>
      <w:marBottom w:val="0"/>
      <w:divBdr>
        <w:top w:val="none" w:sz="0" w:space="0" w:color="auto"/>
        <w:left w:val="none" w:sz="0" w:space="0" w:color="auto"/>
        <w:bottom w:val="none" w:sz="0" w:space="0" w:color="auto"/>
        <w:right w:val="none" w:sz="0" w:space="0" w:color="auto"/>
      </w:divBdr>
    </w:div>
    <w:div w:id="1728455940">
      <w:bodyDiv w:val="1"/>
      <w:marLeft w:val="0"/>
      <w:marRight w:val="0"/>
      <w:marTop w:val="0"/>
      <w:marBottom w:val="0"/>
      <w:divBdr>
        <w:top w:val="none" w:sz="0" w:space="0" w:color="auto"/>
        <w:left w:val="none" w:sz="0" w:space="0" w:color="auto"/>
        <w:bottom w:val="none" w:sz="0" w:space="0" w:color="auto"/>
        <w:right w:val="none" w:sz="0" w:space="0" w:color="auto"/>
      </w:divBdr>
    </w:div>
    <w:div w:id="1742288514">
      <w:bodyDiv w:val="1"/>
      <w:marLeft w:val="0"/>
      <w:marRight w:val="0"/>
      <w:marTop w:val="0"/>
      <w:marBottom w:val="0"/>
      <w:divBdr>
        <w:top w:val="none" w:sz="0" w:space="0" w:color="auto"/>
        <w:left w:val="none" w:sz="0" w:space="0" w:color="auto"/>
        <w:bottom w:val="none" w:sz="0" w:space="0" w:color="auto"/>
        <w:right w:val="none" w:sz="0" w:space="0" w:color="auto"/>
      </w:divBdr>
    </w:div>
    <w:div w:id="1745032041">
      <w:bodyDiv w:val="1"/>
      <w:marLeft w:val="0"/>
      <w:marRight w:val="0"/>
      <w:marTop w:val="0"/>
      <w:marBottom w:val="0"/>
      <w:divBdr>
        <w:top w:val="none" w:sz="0" w:space="0" w:color="auto"/>
        <w:left w:val="none" w:sz="0" w:space="0" w:color="auto"/>
        <w:bottom w:val="none" w:sz="0" w:space="0" w:color="auto"/>
        <w:right w:val="none" w:sz="0" w:space="0" w:color="auto"/>
      </w:divBdr>
    </w:div>
    <w:div w:id="1761412254">
      <w:bodyDiv w:val="1"/>
      <w:marLeft w:val="0"/>
      <w:marRight w:val="0"/>
      <w:marTop w:val="0"/>
      <w:marBottom w:val="0"/>
      <w:divBdr>
        <w:top w:val="none" w:sz="0" w:space="0" w:color="auto"/>
        <w:left w:val="none" w:sz="0" w:space="0" w:color="auto"/>
        <w:bottom w:val="none" w:sz="0" w:space="0" w:color="auto"/>
        <w:right w:val="none" w:sz="0" w:space="0" w:color="auto"/>
      </w:divBdr>
    </w:div>
    <w:div w:id="1800298542">
      <w:bodyDiv w:val="1"/>
      <w:marLeft w:val="0"/>
      <w:marRight w:val="0"/>
      <w:marTop w:val="0"/>
      <w:marBottom w:val="0"/>
      <w:divBdr>
        <w:top w:val="none" w:sz="0" w:space="0" w:color="auto"/>
        <w:left w:val="none" w:sz="0" w:space="0" w:color="auto"/>
        <w:bottom w:val="none" w:sz="0" w:space="0" w:color="auto"/>
        <w:right w:val="none" w:sz="0" w:space="0" w:color="auto"/>
      </w:divBdr>
    </w:div>
    <w:div w:id="1803617682">
      <w:bodyDiv w:val="1"/>
      <w:marLeft w:val="0"/>
      <w:marRight w:val="0"/>
      <w:marTop w:val="0"/>
      <w:marBottom w:val="0"/>
      <w:divBdr>
        <w:top w:val="none" w:sz="0" w:space="0" w:color="auto"/>
        <w:left w:val="none" w:sz="0" w:space="0" w:color="auto"/>
        <w:bottom w:val="none" w:sz="0" w:space="0" w:color="auto"/>
        <w:right w:val="none" w:sz="0" w:space="0" w:color="auto"/>
      </w:divBdr>
    </w:div>
    <w:div w:id="1847939742">
      <w:bodyDiv w:val="1"/>
      <w:marLeft w:val="0"/>
      <w:marRight w:val="0"/>
      <w:marTop w:val="0"/>
      <w:marBottom w:val="0"/>
      <w:divBdr>
        <w:top w:val="none" w:sz="0" w:space="0" w:color="auto"/>
        <w:left w:val="none" w:sz="0" w:space="0" w:color="auto"/>
        <w:bottom w:val="none" w:sz="0" w:space="0" w:color="auto"/>
        <w:right w:val="none" w:sz="0" w:space="0" w:color="auto"/>
      </w:divBdr>
    </w:div>
    <w:div w:id="1848979949">
      <w:bodyDiv w:val="1"/>
      <w:marLeft w:val="0"/>
      <w:marRight w:val="0"/>
      <w:marTop w:val="0"/>
      <w:marBottom w:val="0"/>
      <w:divBdr>
        <w:top w:val="none" w:sz="0" w:space="0" w:color="auto"/>
        <w:left w:val="none" w:sz="0" w:space="0" w:color="auto"/>
        <w:bottom w:val="none" w:sz="0" w:space="0" w:color="auto"/>
        <w:right w:val="none" w:sz="0" w:space="0" w:color="auto"/>
      </w:divBdr>
    </w:div>
    <w:div w:id="1871793811">
      <w:bodyDiv w:val="1"/>
      <w:marLeft w:val="0"/>
      <w:marRight w:val="0"/>
      <w:marTop w:val="0"/>
      <w:marBottom w:val="0"/>
      <w:divBdr>
        <w:top w:val="none" w:sz="0" w:space="0" w:color="auto"/>
        <w:left w:val="none" w:sz="0" w:space="0" w:color="auto"/>
        <w:bottom w:val="none" w:sz="0" w:space="0" w:color="auto"/>
        <w:right w:val="none" w:sz="0" w:space="0" w:color="auto"/>
      </w:divBdr>
    </w:div>
    <w:div w:id="1906640557">
      <w:bodyDiv w:val="1"/>
      <w:marLeft w:val="0"/>
      <w:marRight w:val="0"/>
      <w:marTop w:val="0"/>
      <w:marBottom w:val="0"/>
      <w:divBdr>
        <w:top w:val="none" w:sz="0" w:space="0" w:color="auto"/>
        <w:left w:val="none" w:sz="0" w:space="0" w:color="auto"/>
        <w:bottom w:val="none" w:sz="0" w:space="0" w:color="auto"/>
        <w:right w:val="none" w:sz="0" w:space="0" w:color="auto"/>
      </w:divBdr>
    </w:div>
    <w:div w:id="1911885972">
      <w:bodyDiv w:val="1"/>
      <w:marLeft w:val="0"/>
      <w:marRight w:val="0"/>
      <w:marTop w:val="0"/>
      <w:marBottom w:val="0"/>
      <w:divBdr>
        <w:top w:val="none" w:sz="0" w:space="0" w:color="auto"/>
        <w:left w:val="none" w:sz="0" w:space="0" w:color="auto"/>
        <w:bottom w:val="none" w:sz="0" w:space="0" w:color="auto"/>
        <w:right w:val="none" w:sz="0" w:space="0" w:color="auto"/>
      </w:divBdr>
    </w:div>
    <w:div w:id="1930039131">
      <w:bodyDiv w:val="1"/>
      <w:marLeft w:val="0"/>
      <w:marRight w:val="0"/>
      <w:marTop w:val="0"/>
      <w:marBottom w:val="0"/>
      <w:divBdr>
        <w:top w:val="none" w:sz="0" w:space="0" w:color="auto"/>
        <w:left w:val="none" w:sz="0" w:space="0" w:color="auto"/>
        <w:bottom w:val="none" w:sz="0" w:space="0" w:color="auto"/>
        <w:right w:val="none" w:sz="0" w:space="0" w:color="auto"/>
      </w:divBdr>
    </w:div>
    <w:div w:id="1975478914">
      <w:bodyDiv w:val="1"/>
      <w:marLeft w:val="0"/>
      <w:marRight w:val="0"/>
      <w:marTop w:val="0"/>
      <w:marBottom w:val="0"/>
      <w:divBdr>
        <w:top w:val="none" w:sz="0" w:space="0" w:color="auto"/>
        <w:left w:val="none" w:sz="0" w:space="0" w:color="auto"/>
        <w:bottom w:val="none" w:sz="0" w:space="0" w:color="auto"/>
        <w:right w:val="none" w:sz="0" w:space="0" w:color="auto"/>
      </w:divBdr>
    </w:div>
    <w:div w:id="2003853158">
      <w:bodyDiv w:val="1"/>
      <w:marLeft w:val="0"/>
      <w:marRight w:val="0"/>
      <w:marTop w:val="0"/>
      <w:marBottom w:val="0"/>
      <w:divBdr>
        <w:top w:val="none" w:sz="0" w:space="0" w:color="auto"/>
        <w:left w:val="none" w:sz="0" w:space="0" w:color="auto"/>
        <w:bottom w:val="none" w:sz="0" w:space="0" w:color="auto"/>
        <w:right w:val="none" w:sz="0" w:space="0" w:color="auto"/>
      </w:divBdr>
    </w:div>
    <w:div w:id="2014524700">
      <w:bodyDiv w:val="1"/>
      <w:marLeft w:val="0"/>
      <w:marRight w:val="0"/>
      <w:marTop w:val="0"/>
      <w:marBottom w:val="0"/>
      <w:divBdr>
        <w:top w:val="none" w:sz="0" w:space="0" w:color="auto"/>
        <w:left w:val="none" w:sz="0" w:space="0" w:color="auto"/>
        <w:bottom w:val="none" w:sz="0" w:space="0" w:color="auto"/>
        <w:right w:val="none" w:sz="0" w:space="0" w:color="auto"/>
      </w:divBdr>
    </w:div>
    <w:div w:id="2025354264">
      <w:bodyDiv w:val="1"/>
      <w:marLeft w:val="0"/>
      <w:marRight w:val="0"/>
      <w:marTop w:val="0"/>
      <w:marBottom w:val="0"/>
      <w:divBdr>
        <w:top w:val="none" w:sz="0" w:space="0" w:color="auto"/>
        <w:left w:val="none" w:sz="0" w:space="0" w:color="auto"/>
        <w:bottom w:val="none" w:sz="0" w:space="0" w:color="auto"/>
        <w:right w:val="none" w:sz="0" w:space="0" w:color="auto"/>
      </w:divBdr>
    </w:div>
    <w:div w:id="2030639482">
      <w:bodyDiv w:val="1"/>
      <w:marLeft w:val="0"/>
      <w:marRight w:val="0"/>
      <w:marTop w:val="0"/>
      <w:marBottom w:val="0"/>
      <w:divBdr>
        <w:top w:val="none" w:sz="0" w:space="0" w:color="auto"/>
        <w:left w:val="none" w:sz="0" w:space="0" w:color="auto"/>
        <w:bottom w:val="none" w:sz="0" w:space="0" w:color="auto"/>
        <w:right w:val="none" w:sz="0" w:space="0" w:color="auto"/>
      </w:divBdr>
    </w:div>
    <w:div w:id="2119134678">
      <w:bodyDiv w:val="1"/>
      <w:marLeft w:val="0"/>
      <w:marRight w:val="0"/>
      <w:marTop w:val="0"/>
      <w:marBottom w:val="0"/>
      <w:divBdr>
        <w:top w:val="none" w:sz="0" w:space="0" w:color="auto"/>
        <w:left w:val="none" w:sz="0" w:space="0" w:color="auto"/>
        <w:bottom w:val="none" w:sz="0" w:space="0" w:color="auto"/>
        <w:right w:val="none" w:sz="0" w:space="0" w:color="auto"/>
      </w:divBdr>
    </w:div>
    <w:div w:id="21204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irri.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Hornáček, Vladimír, Mgr."/>
    <f:field ref="objcreatedat" par="" text="29.7.2021 15:41:55"/>
    <f:field ref="objchangedby" par="" text="Administrator, System"/>
    <f:field ref="objmodifiedat" par="" text="29.7.2021 15:41: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80E06D-2338-4596-8EE2-7421BE8D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8478</Words>
  <Characters>48326</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Varos Juraj</dc:creator>
  <cp:keywords/>
  <dc:description/>
  <cp:lastModifiedBy>Cebulakova Monika</cp:lastModifiedBy>
  <cp:revision>2</cp:revision>
  <dcterms:created xsi:type="dcterms:W3CDTF">2021-09-14T13:29:00Z</dcterms:created>
  <dcterms:modified xsi:type="dcterms:W3CDTF">2021-09-14T13:29:00Z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COO.2145.1000.3.4483537</vt:lpwstr>
  </property>
  <property fmtid="{D5CDD505-2E9C-101B-9397-08002B2CF9AE}" pid="152" name="FSC#FSCFOLIO@1.1001:docpropproject">
    <vt:lpwstr/>
  </property>
</Properties>
</file>