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E45019" w:rsidRDefault="00E45019">
      <w:pPr>
        <w:jc w:val="center"/>
        <w:divId w:val="76365201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125/2015 Z. z. o registri adries a o zmene a doplnení niektorých zákonov a ktorým sa menia a dopĺňajú niektoré zákony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E45019" w:rsidP="00E45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45019" w:rsidP="00E45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45019" w:rsidP="00E45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11 /6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45019" w:rsidP="00E45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45019" w:rsidP="00E45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45019" w:rsidRDefault="00E45019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E45019">
        <w:trPr>
          <w:divId w:val="101194939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(3o,3z)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45019">
        <w:trPr>
          <w:divId w:val="1011949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 (9o,9z)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019" w:rsidRDefault="00E450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E45019" w:rsidRDefault="00E45019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hlavné mesto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27c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27c ods. 2 písm. a) navrhujeme ustanoviť v znení: „(2) Priestupku sa dopustí vlastník budovy, ak a) Poruší povinnosť strpieť označenie budovy a lebo oplotenia názvom ulice alebo iného verejného priestranstva podľa § 2b ods. 6.“ Odôvodnenie: V rámci umiestňovania tabúľ s názvom ulice je oplotenie v mnohých prípadoch tak vysoké alebo nepriehľadné, že by nebolo označenie ulice (uličnú tabuľu) vidieť z ulice, ak by bolo umiestnené na budove. Z uvedeného dôvodu navrhujeme umiestňovať tabule s názvom ulice aj na oplotenie.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znenie na základe dohody.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hlavné mesto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článku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§2b ods. 6 zákona č. 369/1990 Zb. o obecnom zriadení navrhujeme za slovo „budovy“ doplniť slová „alebo oplotenia“. Odôvodnenie: V rámci umiestňovania tabúľ s názvom ulice je v častých prípadoch oplotenie tak vysoké alebo nepriehľadné, že by nebolo označenie ulice (uličnú tabuľu) vidieť z ulice, ak by bolo umiestnené na budove. Z uvedeného dôvodu navrhujeme umiestňovať tabule s názvom ulice aj na oplotenie.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znenie na základe dohody.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predmetnému materiálu č. SL-OLVS-2021/003336 zo dňa 28.07.2021 neuplatňujeme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III žiadame z návrhu zákona vypustiť. Predmetom zákona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vlastníctve bytov je úprava vzájomných vzťahov vlastníkov bytov a nebytových priestorov v rámci jedného bytového domu alebo nebytovej budovy, resp. správa týchto vlastnícky rozdelených budov. Predmetom tohto zákona nie je úprava povinností vlastníka budovy. Vlastníci bytov a nebytových priestorov sú povinní rešpektovať všetky povinnosti, ktoré vlastníkom nehnuteľností ukladajú osobitné predpisy. Preto nie je dôvod, aby bola povinnosť označovať byty a nebytové priestory v budove upravená zákonom o vlastníctve bytov, pretože uvedená povinnosť by sa mala týkať aj ostatných vlastníkov budov, v ktorých sa môžu nachádzať byty a nebytové priestory.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čl. I bode 2 § 3 ods. 5 časti vety za bodkočiarkou za slovo „názvu“ vložiť slovo „ulice“ (2x)).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7 (§ 6 ods. 9)</w:t>
            </w:r>
            <w:r>
              <w:rPr>
                <w:rFonts w:ascii="Times" w:hAnsi="Times" w:cs="Times"/>
                <w:sz w:val="25"/>
                <w:szCs w:val="25"/>
              </w:rPr>
              <w:br/>
              <w:t>Podľa navrhovaného ustanovenia je vlastník budovy povinný písomne oznámiť obci zmenu v číslovaní bytov a podlaží, s uvedením nového čísla bytu a čísla podlažia, na ktorom sa byt nachádza. Ani z dôvodovej správy však nevyplýva, prečo sa táto povinnosť netýka aj označovania nebytových priestorov. Pritom sa v čl. III návrhu zákona navrhuje aj označovanie nebytových priestorov. Vychádzajúc z cieľov navrhovanej právnej úpravy žiadame do tohto ustanovenia doplniť aj povinnosť označovania nebytových priestorov.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MF SR netrvá na pripomienke.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(ďalej len „doložka vplyvov“) je uvedený pozitívny aj negatívny rozpočtovo zabezpečený vplyv na rozpočet verejnej správy. V časti 10. Poznámky je uvedené, že náklady v odhadovanej výške 21 204 eur sú kryté rozpočtom Ministerstva vnútra SR. V rámci predbežného pripomienkového konania bola súčasťou materiálu aj Analýza vplyvov na rozpočet verejnej správy, na zamestnanosť vo verejnej správe a financovanie návrhu (ďalej len „analýza vplyvov“), avšak v rámci medzirezortného pripomienkového konania už súčasťou tohto materiálu nie je. Na základe identifikovaných vplyvov žiadame vypracovať analýzu vplyvov s kvantifikovaným negatívnym vplyvov a uvedeným rozpočtovým krytím v súlade s konštatovaním uvedeným v bode 10. Poznámky doložky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rámci predbežného pripomienkového konania Ministerstvo financií SR uplatnilo pripomienku týkajúcu sa uvedenia predmetnej sumy v časti Financovanie zabezpečené v rozpočte aj v riadku „v tom: za každý subjekt verejnej správy / program zvlášť“, pričom sme žiadali uviesť aj subjekt verejnej správy. V doložke vplyvov v časti 13. Stanovisko Komisie je pripomienka vyhodnotená ako akceptovaná. Upozorňujeme, že relevantnosť zapracovania pripomienky bude možné vyhodnotiť až po predložení analýzy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7 (§ 6 ods. 9)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navrhovaného ustanovenia žiadame vypustiť druhú a tretiu vetu. Ak osobitný predpis priznáva práva alebo ustanovuje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povinnosti vlastníkovi budovy, podľa § 25a ods. 2 zákona Národnej rady Slovenskej republiky č. 182/1993 Z. z. o vlastníctve bytov a nebytových priestorov v znení neskorších predpisov (ďalej len „zákon o vlastníctve bytov“), za vlastníka budovy sa pri domoch považujú všetci vlastníci bytov a nebytových priestorov v dome. Za ich uplatnenie alebo plnenie zodpovedá spoločenstvo alebo správca. Vlastník bytu alebo nebytového priestoru v dome je povinný umožniť spoločenstvu alebo správcovi uplatniť práva alebo plniť povinnosti, inak zodpovedá za tým vzniknutú škodu. Z uvedených dôvodov je táto právna úprava v návrhu zákona nadbytočná.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o vyznačenie negatívnych vplyvov a odznačenie žiadnych vplyvov na podnikateľské prostredie v Doložke vybraných vplyvov v časti 9. Vybrané vplyvy materiálu a o vypracovanie Analýzy vplyvov na podnikateľské prostredie s popisom a kvantifikáciou negatívnych vplyvov na podnikateľské prostredie. Zároveň žiadame predkladateľa o predloženie materiálu na rokovanie Stálej pracovnej komisie Legislatívnej rady vlády Slovenskej republiky na posudzovanie vybraných vplyvov na účely záverečného posúdenia vybraných vplyvov. Odôvodnenie: Materiál zakladá negatívne vplyvy na podnikateľské prostredie v Čl. I v bode 2. (...ak o určenie názvu požiada stavebník, zameranie geografickej osi ulice zabezpečí pred určením názvu tento stavebník), v bode 7. (...je vlastník budovy povinný písomne oznámiť obci zmenu v číslovaní bytov a podlaží, s uvedením nového čísla bytu a čísla podlažia, na ktorom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sa byt nachádza...) a v Čl. III (...„§ 25b Vlastník domu je povinný označiť viditeľne číslami vchody do bytov a nebytových priestorov v dome a toto označenie udržiavať v aktuálnom stave.). Podľa bodu 9. Jednotnej metodiky na posudzovanie vybraných vplyvov sa predkladajú Stálej pracovnej komisii Legislatívnej rady vlády Slovenskej republiky na posudzovanie vybraných vplyvov materiály, ktoré majú identifikovaný niektorý z vybraných vplyvov, alebo ktorých vybrané vplyvy sa významne zmenili podľa výsledkov MPK.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 odstránený dňa 6. 9. 2021. MV SR vyznačí pozitívny vplyv aj negatívny vplyv na podnikateľské prostredie. 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vplyvov: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o úpravu doložky vybraných vplyvov v zmysle odôvodnenia. ODÔVODNENIE: Predkladateľ nesprávne vyhodnotil vplyv na informatizáciu spoločnosti. V 10. bode doložky vybraných vplyvov a v odôvodnení neakceptovania zásadnej pripomienky vznesenej v rámci PPK (13. bod doložky vybraných vplyvov), predkladateľ okrem iného uvádza: „V súlade s metodikou nie je v rámci analýzy vplyvov na informatizáciu potrebné posudzovať rozvoj, ktorého cieľom budú drobné zmeny a modifikácie funkcionalít.“. Nakoľko však nie je nikde definované, čo sú „drobné zmeny“, môžeme iba vychádzať z nároku na finančné prostriedky na vykonanie „drobných zmien“, čo v tomto prípade znamená sumu 21 204,-€. Žiadame doplniť do doložky vybraných vplyvov „pozitívny“ vplyv na informatizáciu spoločnosti a vyplnenie analýzy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Doložku zlučiteľnosti odporúčame zosúladiť s prílohou č. 2 k Legislatívnym pravidlám vlády Slovenskej republiky, podľa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ktorej sa body 4 a 5 doložky nevypĺňajú, ak predmet návrhu zákona nie je v práve Európskej únie upravený.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vypustiť slová "mení a", keďže návrh zákona obsahuje iba doplnenia zákona Národnej rady Slovenskej republiky č. 182/1993 Z. z. o vlastníctve bytov a nebytových priestorov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bezpredmetná.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novelizačnému bodu 7 (§ 6 ods. 9)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zosúladiť pojmy „podlažie“ a „poschodie“, nakoľko sú tieto pojmy v právnych predpisoch SR používané nejednotne. Predkladaný návrh zákona používa pojem „podlažie“, naproti tomu zákon č. 182/1993 Z. z. o vlastníctve bytov a nebytových priestorov v znení neskorších predpisov ako aj zákon č. 162/1995 Z. z. o katastri nehnuteľností a o zápise vlastníckych a iných práv k nehnuteľnostiam (katastrálny zákon) v znení neskorších predpisov používa pojem „poschodie“. V prípade, že bude táto pripomienka akceptovaná, je potrebné tento pojem zohľadniť aj v iných stanovaniach zákona o registri adries.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vychádzal z platného stavebného zákona.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K vlastnému materiálu nad rámec predloženého návrhu zákona: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§ 6 ods. 7 zákona č. 125/2015 Z. z. o registri adries a o zmene a doplnení niektorých zákonov (ďalej len „zákon o registri adries“) na konci textu vložiť vetu, ktorá znie: „Obec alebo ministerstvo požiada Úrad jadrového dozoru Slovenskej republiky o písomný súhlas podľa predchádzajúcej vety.“. Odôvodnenie: z ustanovenia § 6 zákona o registri adries explicitne nevyplýva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povinnosť obce alebo ministerstva požiadať o písomný súhlas ÚJD SR pri zápise, zmene, vymazávaní alebo oprave údajov o stavbách jadrového zariadenia alebo stavbách súvisiacich s jadrovým zariadením v registri adries, resp. vyznačení adresných bodov a geografických osí ulíc. ÚJD SR v tejto súvislosti uplatnilo pripomienku aj v rámci pripomienkovania predbežnej informácie PI/2021/94 a v následnej emailovej komunikácií s Ministerstvom vnútra Slovenskej republiky. Pripomienka je zásadná.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Rozpor odstránený. Pripomienka čiastočne akceptovaná iným spôsobom.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K vlastnému materiálu nad rámec predloženého návrhu zákona: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§ 14 ods. 1 zákona o registri adries na konci textu vložiť vetu, ktorá znie: „Pri zápise do registra ministerstvo v súčinnosti s obcami zohľadní § 6 ods. 7 zákona.“. Odôvodnenie: z ustanovenia § 14 nevyplýva, že pri zápise budov, ktorým bolo určené súpisné číslo do 30. júna 2015 by mal byť, resp. bol zohľadnený § 6 ods. 7 zákona o registri adries. Ochrana údajov o stavbách jadrových zariadení a stavbách súvisiacich s jadrovým zariadením nachádzajúcich sa v areáli ohraničenom hranicami jadrového zariadenia súvisí s obmedzením prístupu verejnosti k informáciám o objektoch osobitnej dôležitosti a ďalších dôležitých objektoch. Uznesením vlády Slovenskej republiky č. 557 z 9. septembra 2020 k návrhu Aktualizácie zaradenia objektov obrannej infraštruktúry do kategórie objektov osobitnej dôležitosti alebo do kategórie ďalších dôležitých objektov na obranu štátu, spôsobu ich ochrany a obrany bola okrem iných predsedníčke Úradu jadrového dozoru Slovenskej republiky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uložená v bode B.1. úloha prijať opatrenia na zabezpečenie ochrany a obrany objektov obrannej infraštruktúry v stave bezpečnosti a v období krízovej situácie podľa schválenej aktualizácie zaradenia objektov do kategórie objektov osobitnej dôležitosti a do kategórie ďalších dôležitých objektov a spôsobu ich ochrany a obrany.“. Ochrana objektov osobitnej dôležitosti a ďalších dôležitých objektoch vyplýva zo zákona č. 319/2002 Z. z. o obrane Slovenskej republiky v znení neskorších predpisov. Nezverejňovanie informácií o jadrových zariadeniach je upravené tiež v § 11 ods. 1 písm. i) zákona č. 211/2000 Z. z. o slobodnom prístupe k informáciám a o zmene a doplnení niektorých zákonov (zákon o slobode informácií) v znení neskorších predpisov. ÚJD SR poukazuje na svoje kompetencie týkajúce sa okrem iného štátneho dozoru nad fyzickou ochranou jadrových zariadení a jadrových materiálov, prepravami jadrových materiálov, skladovaním jadrových materiálov a zárukami na jadrové materiály a s poukazom na utajované skutočnosti a/alebo citlivé informácie podľa § 3 ods. 16 a 17 zákona č. 541/2004 Z. z. o mierovom využívaní jadrovej energie (atómový zákon) a o zmene a doplnení niektorých zákonov v znení neskorších predpisov. Okrem vnútroštátnej legislatívy vyplývajú záväzky aj z medzinárodných zmlúv, ktorými sú najmä Medzinárodný dohovor o potláčaní činov jadrového terorizmu (zverejnený v Zbierke zákonov Slovenskej republiky pod č. 308/2007 Z. z.) a Dohovor o fyzickej ochrane jadrových materiálov (zverejnený v Zbierke zákonov Slovenskej republiky pod č. 329/2001 Z. z.) v znení Dodatku (zverejnený v Zbierke zákonov Slovenskej republiky pod č. 170/2016 Z. z.). Jadrové zariadenia sa v zmysle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zákona č. 72/2021 Z. z., ktorým sa mení a dopĺňa zákon č. 45/2011 Z. z. o kritickej infraštruktúre v znení neskorších predpisov a ktorým sa menia a dopĺňajú niektoré zákony stali prvkom kritickej infraštruktúry podľa zákona č. 45/2011 Z. z. o kritickej infraštruktúre v znení neskorších predpisov. ÚJD SR odporúča do budúcnosti zvážiť koordinovaný spôsob prístupu k evidovaniu, resp. neevidovaniu budov tvoriacich kritickú infraštruktúru v registri adries. Pripomienka je zásadná.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Rozpor odstránený. ÚJD SR ustúpil od pripomienky ako zásadnej. Prechodné ustanovenia a zrušovacie ustanovenia, ktoré nadobudli účinnosť, nie je možné novelizovať;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 je potrebné doplniť tento novelizačný bod, ktorým sa mení zákon č. 125/2015 Z. z.: V § 13 ods. 1 sa slová „všeobecný predpis o správnom konaní“ nahrádzajú slovami „správny poriadok“. Odôvodnenie: Je potrebné zapracovať túto legislatívno-technickú pripomienku. Na správny poriadok (zákon č. 71/1967 Zb.) je potrebné odkazovať pomocou jeho slovného označenia „správny poriadok“, čo explicitne vyplýva aj z bodov 8, 22.9 a 48 prílohy č. 1 k Legislatívnym pravidlám vlády SR. Pojem „všeobecný predpis o správnom konaní“ je nepresný, neurčitý, v rozpore s Legislatívnymi pravidlami vlády SR aj zaužívanou legislatívnou praxou, a preto by sa nemal používať. Súčasne sa tak prispeje k väčšej prehľadnosti a presnosti právneho poriadku.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novelizovaných ustanovení.</w:t>
            </w:r>
          </w:p>
        </w:tc>
      </w:tr>
      <w:tr w:rsidR="00E45019">
        <w:trPr>
          <w:divId w:val="71330661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III je potrebné doplniť tento novelizačný bod, ktorým sa mení zákon č. 182/1993 Z. z.: V § 7 ods. 11 sa slová „všeobecný predpis o správnom konaní“ nahrádzajú slovami „správny poriadok“. Odôvodnenie: Je potrebné zapracovať túto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legislatívno-technickú pripomienku. Na správny poriadok (zákon č. 71/1967 Zb.) je potrebné odkazovať pomocou jeho slovného označenia „správny poriadok“, čo explicitne vyplýva aj z bodov 8, 22.9 a 48 prílohy č. 1 k Legislatívnym pravidlám vlády SR. Pojem „všeobecný predpis o správnom konaní“ je nepresný, neurčitý, v rozpore s Legislatívnymi pravidlami vlády SR aj zaužívanou legislatívnou praxou, a preto by sa nemal používať. Súčasne sa tak prispeje k väčšej prehľadnosti a presnosti právneho poriadku.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019" w:rsidRDefault="00E450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novelizovaných ustanovení.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91" w:rsidRDefault="00806791" w:rsidP="000A67D5">
      <w:pPr>
        <w:spacing w:after="0" w:line="240" w:lineRule="auto"/>
      </w:pPr>
      <w:r>
        <w:separator/>
      </w:r>
    </w:p>
  </w:endnote>
  <w:endnote w:type="continuationSeparator" w:id="0">
    <w:p w:rsidR="00806791" w:rsidRDefault="0080679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91" w:rsidRDefault="00806791" w:rsidP="000A67D5">
      <w:pPr>
        <w:spacing w:after="0" w:line="240" w:lineRule="auto"/>
      </w:pPr>
      <w:r>
        <w:separator/>
      </w:r>
    </w:p>
  </w:footnote>
  <w:footnote w:type="continuationSeparator" w:id="0">
    <w:p w:rsidR="00806791" w:rsidRDefault="0080679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E0AD5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06791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45019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9.2021 10:59:24"/>
    <f:field ref="objchangedby" par="" text="Administrator, System"/>
    <f:field ref="objmodifiedat" par="" text="6.9.2021 10:59:2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2021-09-06T09:02:00Z</dcterms:created>
  <dcterms:modified xsi:type="dcterms:W3CDTF">2021-09-06T09:02:00Z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Slavomír Petrulák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125/2015 Z. z. o registri adries a o zmene a doplnení niektorých zákonov a ktorým sa menia a dopĺňajú niektoré zákony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vnútra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_x000d_
na mesiace jún až december 2021_x000d_
</vt:lpwstr>
  </property>
  <property fmtid="{D5CDD505-2E9C-101B-9397-08002B2CF9AE}" pid="22" name="FSC#SKEDITIONSLOVLEX@103.510:plnynazovpredpis">
    <vt:lpwstr> Zákon, ktorým sa mení a dopĺňa zákon č. 125/2015 Z. z. o registri adries a o zmene a doplnení niektorých zákonov a ktorým sa menia a dopĺňajú niektoré zákony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SL-OLVS-2021/003336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LP/2021/406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vnútra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vnútra Slovenskej republiky</vt:lpwstr>
  </property>
  <property fmtid="{D5CDD505-2E9C-101B-9397-08002B2CF9AE}" pid="141" name="FSC#SKEDITIONSLOVLEX@103.510:funkciaZodpPredAkuzativ">
    <vt:lpwstr>Ministra vnútra Slovenskej republiky</vt:lpwstr>
  </property>
  <property fmtid="{D5CDD505-2E9C-101B-9397-08002B2CF9AE}" pid="142" name="FSC#SKEDITIONSLOVLEX@103.510:funkciaZodpPredDativ">
    <vt:lpwstr>Ministrovi vnútra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Roman Mikulec_x000d_
minister vnútra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zákona,&amp;nbsp;ktorým sa mení a dopĺňa zákon č. 125/2015 Z. z. o&amp;nbsp;registri adries a&amp;nbsp;o&amp;nbsp;zmene a&amp;nbsp;doplnení niektorých zákonov a&amp;nbsp;ktorým sa menia a&amp;nbsp;dopĺňajú niektoré zákony sa predkladá podľa Plán</vt:lpwstr>
  </property>
  <property fmtid="{D5CDD505-2E9C-101B-9397-08002B2CF9AE}" pid="149" name="FSC#COOSYSTEM@1.1:Container">
    <vt:lpwstr>COO.2145.1000.3.4541133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6. 9. 2021</vt:lpwstr>
  </property>
</Properties>
</file>