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A5" w:rsidRPr="00C804E1" w:rsidRDefault="002027A5" w:rsidP="002027A5">
      <w:pPr>
        <w:pStyle w:val="Nzov"/>
      </w:pPr>
      <w:r w:rsidRPr="00C804E1">
        <w:t>DOLOŽKA ZLUČITEĽNOSTI</w:t>
      </w:r>
    </w:p>
    <w:p w:rsidR="002027A5" w:rsidRPr="00C804E1" w:rsidRDefault="00FE6825" w:rsidP="002027A5">
      <w:pPr>
        <w:pBdr>
          <w:bottom w:val="single" w:sz="6" w:space="1" w:color="auto"/>
        </w:pBdr>
        <w:jc w:val="center"/>
        <w:rPr>
          <w:bCs/>
        </w:rPr>
      </w:pPr>
      <w:r w:rsidRPr="00C804E1">
        <w:t>návrh</w:t>
      </w:r>
      <w:r w:rsidR="00983A87" w:rsidRPr="00C804E1">
        <w:t>u</w:t>
      </w:r>
      <w:r w:rsidRPr="00C804E1">
        <w:t xml:space="preserve"> zákona </w:t>
      </w:r>
      <w:r w:rsidR="002027A5" w:rsidRPr="00C804E1">
        <w:t>s</w:t>
      </w:r>
      <w:r w:rsidR="00DB515C" w:rsidRPr="00C804E1">
        <w:t> </w:t>
      </w:r>
      <w:r w:rsidR="002027A5" w:rsidRPr="00C804E1">
        <w:rPr>
          <w:bCs/>
        </w:rPr>
        <w:t>právom Európskej únie</w:t>
      </w:r>
    </w:p>
    <w:p w:rsidR="002027A5" w:rsidRPr="00C804E1" w:rsidRDefault="002027A5" w:rsidP="002027A5">
      <w:pPr>
        <w:jc w:val="center"/>
        <w:rPr>
          <w:b/>
        </w:rPr>
      </w:pPr>
    </w:p>
    <w:p w:rsidR="002027A5" w:rsidRPr="00C804E1" w:rsidRDefault="009D53A6" w:rsidP="00CE1C89">
      <w:pPr>
        <w:numPr>
          <w:ilvl w:val="0"/>
          <w:numId w:val="1"/>
        </w:numPr>
        <w:spacing w:after="120"/>
        <w:jc w:val="both"/>
      </w:pPr>
      <w:r w:rsidRPr="00C804E1">
        <w:rPr>
          <w:b/>
        </w:rPr>
        <w:t>Navrhovate</w:t>
      </w:r>
      <w:r w:rsidR="002027A5" w:rsidRPr="00C804E1">
        <w:rPr>
          <w:b/>
        </w:rPr>
        <w:t xml:space="preserve">ľ </w:t>
      </w:r>
      <w:r w:rsidR="007C54A7" w:rsidRPr="00C804E1">
        <w:rPr>
          <w:b/>
        </w:rPr>
        <w:t>zákona</w:t>
      </w:r>
      <w:r w:rsidR="002027A5" w:rsidRPr="00C804E1">
        <w:rPr>
          <w:b/>
        </w:rPr>
        <w:t>:</w:t>
      </w:r>
    </w:p>
    <w:p w:rsidR="002027A5" w:rsidRPr="00C804E1" w:rsidRDefault="006C5142" w:rsidP="002027A5">
      <w:pPr>
        <w:ind w:firstLine="425"/>
        <w:jc w:val="both"/>
      </w:pPr>
      <w:r w:rsidRPr="00C804E1">
        <w:t>Vláda</w:t>
      </w:r>
      <w:r w:rsidR="002027A5" w:rsidRPr="00C804E1">
        <w:t xml:space="preserve"> Slovenskej republiky</w:t>
      </w:r>
      <w:r w:rsidR="00890794" w:rsidRPr="00C804E1">
        <w:t>.</w:t>
      </w:r>
    </w:p>
    <w:p w:rsidR="002027A5" w:rsidRPr="00C804E1" w:rsidRDefault="002027A5" w:rsidP="002027A5">
      <w:pPr>
        <w:jc w:val="both"/>
        <w:rPr>
          <w:b/>
        </w:rPr>
      </w:pPr>
    </w:p>
    <w:p w:rsidR="002027A5" w:rsidRPr="00C804E1" w:rsidRDefault="002027A5" w:rsidP="00CE1C89">
      <w:pPr>
        <w:numPr>
          <w:ilvl w:val="0"/>
          <w:numId w:val="1"/>
        </w:numPr>
        <w:spacing w:after="120"/>
        <w:jc w:val="both"/>
        <w:rPr>
          <w:b/>
        </w:rPr>
      </w:pPr>
      <w:r w:rsidRPr="00C804E1">
        <w:rPr>
          <w:b/>
        </w:rPr>
        <w:t xml:space="preserve">Názov návrhu </w:t>
      </w:r>
      <w:r w:rsidR="007C54A7" w:rsidRPr="00C804E1">
        <w:rPr>
          <w:b/>
        </w:rPr>
        <w:t>zákon</w:t>
      </w:r>
      <w:r w:rsidR="00C71E1D" w:rsidRPr="00C804E1">
        <w:rPr>
          <w:b/>
        </w:rPr>
        <w:t>a</w:t>
      </w:r>
      <w:r w:rsidRPr="00C804E1">
        <w:rPr>
          <w:b/>
        </w:rPr>
        <w:t>:</w:t>
      </w:r>
    </w:p>
    <w:p w:rsidR="002027A5" w:rsidRPr="00C804E1" w:rsidRDefault="00FE6825" w:rsidP="000A1208">
      <w:pPr>
        <w:ind w:left="425"/>
        <w:jc w:val="both"/>
      </w:pPr>
      <w:r w:rsidRPr="00C804E1">
        <w:t>Návrh zákona, ktorým sa mení a dopĺňa zákon č. 523/2004 Z. z. o rozpočtových pravidlách verejnej správy a o zmene a doplnení niektorých zákonov v znení neskorších predpisov</w:t>
      </w:r>
      <w:r w:rsidR="00777BC7" w:rsidRPr="00C804E1">
        <w:t>.</w:t>
      </w:r>
    </w:p>
    <w:p w:rsidR="002027A5" w:rsidRPr="00C804E1" w:rsidRDefault="002027A5" w:rsidP="002027A5">
      <w:pPr>
        <w:jc w:val="both"/>
        <w:rPr>
          <w:b/>
        </w:rPr>
      </w:pPr>
    </w:p>
    <w:p w:rsidR="005108DC" w:rsidRPr="00C804E1" w:rsidRDefault="002027A5" w:rsidP="00F84DFC">
      <w:pPr>
        <w:numPr>
          <w:ilvl w:val="0"/>
          <w:numId w:val="1"/>
        </w:numPr>
        <w:spacing w:after="120"/>
        <w:jc w:val="both"/>
        <w:rPr>
          <w:b/>
        </w:rPr>
      </w:pPr>
      <w:r w:rsidRPr="00C804E1">
        <w:rPr>
          <w:b/>
        </w:rPr>
        <w:t>Pr</w:t>
      </w:r>
      <w:r w:rsidR="00F84DFC" w:rsidRPr="00C804E1">
        <w:rPr>
          <w:b/>
        </w:rPr>
        <w:t xml:space="preserve">edmet návrhu </w:t>
      </w:r>
      <w:r w:rsidR="007C54A7" w:rsidRPr="00C804E1">
        <w:rPr>
          <w:b/>
        </w:rPr>
        <w:t>zákon</w:t>
      </w:r>
      <w:r w:rsidR="00C71E1D" w:rsidRPr="00C804E1">
        <w:rPr>
          <w:b/>
        </w:rPr>
        <w:t>a</w:t>
      </w:r>
      <w:r w:rsidR="00F84DFC" w:rsidRPr="00C804E1">
        <w:rPr>
          <w:b/>
        </w:rPr>
        <w:t xml:space="preserve"> </w:t>
      </w:r>
      <w:r w:rsidR="005108DC" w:rsidRPr="00C804E1">
        <w:rPr>
          <w:b/>
        </w:rPr>
        <w:t>je upraven</w:t>
      </w:r>
      <w:r w:rsidR="00F84DFC" w:rsidRPr="00C804E1">
        <w:rPr>
          <w:b/>
        </w:rPr>
        <w:t>ý</w:t>
      </w:r>
      <w:r w:rsidR="005108DC" w:rsidRPr="00C804E1">
        <w:rPr>
          <w:b/>
        </w:rPr>
        <w:t xml:space="preserve"> v práve Európskej únie</w:t>
      </w:r>
      <w:r w:rsidR="005108DC" w:rsidRPr="00C804E1">
        <w:t>:</w:t>
      </w:r>
    </w:p>
    <w:p w:rsidR="005108DC" w:rsidRPr="00C804E1" w:rsidRDefault="00F84DFC" w:rsidP="005108DC">
      <w:pPr>
        <w:pStyle w:val="Zkladntext"/>
        <w:spacing w:before="120"/>
        <w:ind w:left="357"/>
        <w:rPr>
          <w:b/>
        </w:rPr>
      </w:pPr>
      <w:r w:rsidRPr="00C804E1">
        <w:rPr>
          <w:b/>
        </w:rPr>
        <w:t>a)</w:t>
      </w:r>
      <w:r w:rsidR="005108DC" w:rsidRPr="00C804E1">
        <w:rPr>
          <w:b/>
        </w:rPr>
        <w:t xml:space="preserve"> Primárne právo: </w:t>
      </w:r>
    </w:p>
    <w:p w:rsidR="005108DC" w:rsidRPr="00C804E1" w:rsidRDefault="005108DC" w:rsidP="005108DC">
      <w:pPr>
        <w:pStyle w:val="Zkladntext"/>
        <w:numPr>
          <w:ilvl w:val="0"/>
          <w:numId w:val="22"/>
        </w:numPr>
        <w:jc w:val="both"/>
      </w:pPr>
      <w:r w:rsidRPr="00C804E1">
        <w:t>čl. 3, 121, 126, čl. 310 až 325 Zmluvy o fungovaní Európskej únie</w:t>
      </w:r>
      <w:r w:rsidR="00F84DFC" w:rsidRPr="00C804E1">
        <w:t xml:space="preserve"> (</w:t>
      </w:r>
      <w:r w:rsidR="00F84DFC" w:rsidRPr="00C804E1">
        <w:rPr>
          <w:rStyle w:val="awspan1"/>
          <w:color w:val="auto"/>
        </w:rPr>
        <w:t>Ú. v. EÚ C 202, 7.6.2016) v platnom znení</w:t>
      </w:r>
      <w:r w:rsidR="00F84DFC" w:rsidRPr="00C804E1">
        <w:t>,</w:t>
      </w:r>
    </w:p>
    <w:p w:rsidR="005108DC" w:rsidRPr="00C804E1" w:rsidRDefault="005108DC" w:rsidP="005108DC">
      <w:pPr>
        <w:pStyle w:val="Zkladntext"/>
        <w:numPr>
          <w:ilvl w:val="0"/>
          <w:numId w:val="22"/>
        </w:numPr>
        <w:jc w:val="both"/>
      </w:pPr>
      <w:r w:rsidRPr="00C804E1">
        <w:t>čl. 16 a 17 Zmluvy o Európskej únii</w:t>
      </w:r>
      <w:r w:rsidR="00F84DFC" w:rsidRPr="00C804E1">
        <w:t xml:space="preserve"> (</w:t>
      </w:r>
      <w:r w:rsidR="00F84DFC" w:rsidRPr="00C804E1">
        <w:rPr>
          <w:rStyle w:val="awspan1"/>
          <w:color w:val="auto"/>
        </w:rPr>
        <w:t>Ú. v. EÚ C 202, 7.6.2016) v platnom znení</w:t>
      </w:r>
      <w:r w:rsidR="00F84DFC" w:rsidRPr="00C804E1">
        <w:t>,</w:t>
      </w:r>
    </w:p>
    <w:p w:rsidR="005108DC" w:rsidRPr="00C804E1" w:rsidRDefault="005108DC" w:rsidP="005108DC">
      <w:pPr>
        <w:pStyle w:val="Zkladntext"/>
        <w:numPr>
          <w:ilvl w:val="0"/>
          <w:numId w:val="18"/>
        </w:numPr>
        <w:jc w:val="both"/>
      </w:pPr>
      <w:r w:rsidRPr="00C804E1">
        <w:t>Protokol (č.12) o postupe pri nadmernom deficite pripojený k Zmluve o fungovaní Európskej únie a Zmluve o Európskej únii</w:t>
      </w:r>
      <w:r w:rsidR="00F84DFC" w:rsidRPr="00C804E1">
        <w:t xml:space="preserve"> (</w:t>
      </w:r>
      <w:r w:rsidR="00F84DFC" w:rsidRPr="00C804E1">
        <w:rPr>
          <w:rStyle w:val="awspan1"/>
          <w:color w:val="auto"/>
        </w:rPr>
        <w:t>Ú. v. EÚ C 202, 7.6.2016) v platnom znení</w:t>
      </w:r>
      <w:r w:rsidRPr="00C804E1">
        <w:t>.</w:t>
      </w:r>
    </w:p>
    <w:p w:rsidR="00F84DFC" w:rsidRPr="00C804E1" w:rsidRDefault="00F84DFC" w:rsidP="00F84DFC">
      <w:pPr>
        <w:pStyle w:val="Zarkazkladnhotextu"/>
        <w:spacing w:after="120"/>
        <w:ind w:left="369"/>
      </w:pPr>
      <w:r w:rsidRPr="00C804E1">
        <w:rPr>
          <w:b/>
          <w:bCs w:val="0"/>
          <w:iCs/>
        </w:rPr>
        <w:t xml:space="preserve">b) </w:t>
      </w:r>
      <w:r w:rsidR="005108DC" w:rsidRPr="00C804E1">
        <w:rPr>
          <w:b/>
          <w:bCs w:val="0"/>
          <w:iCs/>
        </w:rPr>
        <w:t>Sekundárne právo</w:t>
      </w:r>
      <w:r w:rsidRPr="00C804E1">
        <w:rPr>
          <w:b/>
          <w:bCs w:val="0"/>
          <w:iCs/>
        </w:rPr>
        <w:t>:</w:t>
      </w:r>
    </w:p>
    <w:p w:rsidR="00BF20E5" w:rsidRPr="00C804E1" w:rsidRDefault="00BF20E5" w:rsidP="005108DC">
      <w:pPr>
        <w:numPr>
          <w:ilvl w:val="0"/>
          <w:numId w:val="3"/>
        </w:numPr>
        <w:tabs>
          <w:tab w:val="clear" w:pos="900"/>
          <w:tab w:val="num" w:pos="426"/>
        </w:tabs>
        <w:autoSpaceDE w:val="0"/>
        <w:autoSpaceDN w:val="0"/>
        <w:adjustRightInd w:val="0"/>
        <w:spacing w:before="120" w:after="120"/>
        <w:ind w:left="369" w:hanging="369"/>
        <w:jc w:val="both"/>
        <w:rPr>
          <w:bCs/>
          <w:iCs/>
        </w:rPr>
      </w:pPr>
      <w:r w:rsidRPr="00C804E1">
        <w:rPr>
          <w:shd w:val="clear" w:color="auto" w:fill="FFFFFF"/>
        </w:rPr>
        <w:t>smernica Rady 2011/85/EÚ z  8. novembra 2011 o požiadavkách na rozpočtové rámce členských štátov (</w:t>
      </w:r>
      <w:r w:rsidRPr="00C804E1">
        <w:rPr>
          <w:iCs/>
          <w:shd w:val="clear" w:color="auto" w:fill="FFFFFF"/>
        </w:rPr>
        <w:t xml:space="preserve">Ú. v. EÚ L 306, 23.11.2011), </w:t>
      </w:r>
      <w:r w:rsidRPr="00C804E1">
        <w:rPr>
          <w:rStyle w:val="Zvraznenie"/>
          <w:i w:val="0"/>
          <w:shd w:val="clear" w:color="auto" w:fill="FFFFFF"/>
        </w:rPr>
        <w:t>gestor: MF SR,</w:t>
      </w:r>
    </w:p>
    <w:p w:rsidR="00434CE2" w:rsidRPr="00C804E1" w:rsidRDefault="00434CE2" w:rsidP="005108DC">
      <w:pPr>
        <w:numPr>
          <w:ilvl w:val="0"/>
          <w:numId w:val="3"/>
        </w:numPr>
        <w:tabs>
          <w:tab w:val="clear" w:pos="900"/>
          <w:tab w:val="num" w:pos="426"/>
        </w:tabs>
        <w:autoSpaceDE w:val="0"/>
        <w:autoSpaceDN w:val="0"/>
        <w:adjustRightInd w:val="0"/>
        <w:spacing w:before="120" w:after="120"/>
        <w:ind w:left="369" w:hanging="369"/>
        <w:jc w:val="both"/>
        <w:rPr>
          <w:bCs/>
          <w:iCs/>
        </w:rPr>
      </w:pPr>
      <w:r w:rsidRPr="00C804E1">
        <w:rPr>
          <w:shd w:val="clear" w:color="auto" w:fill="FFFFFF"/>
        </w:rPr>
        <w:t xml:space="preserve">nariadenie Rady (EÚ, </w:t>
      </w:r>
      <w:proofErr w:type="spellStart"/>
      <w:r w:rsidRPr="00C804E1">
        <w:rPr>
          <w:shd w:val="clear" w:color="auto" w:fill="FFFFFF"/>
        </w:rPr>
        <w:t>Euratom</w:t>
      </w:r>
      <w:proofErr w:type="spellEnd"/>
      <w:r w:rsidRPr="00C804E1">
        <w:rPr>
          <w:shd w:val="clear" w:color="auto" w:fill="FFFFFF"/>
        </w:rPr>
        <w:t xml:space="preserve">) </w:t>
      </w:r>
      <w:r w:rsidRPr="00C804E1">
        <w:rPr>
          <w:u w:val="single"/>
          <w:shd w:val="clear" w:color="auto" w:fill="FFFFFF"/>
        </w:rPr>
        <w:t>2021/768</w:t>
      </w:r>
      <w:r w:rsidRPr="00C804E1">
        <w:rPr>
          <w:shd w:val="clear" w:color="auto" w:fill="FFFFFF"/>
        </w:rPr>
        <w:t xml:space="preserve"> z 30. apríla 2021, ktorým sa stanovujú vykonávacie opatrenia týkajúce sa systému vlastných zdrojov Európskej únie a zrušuje nariadenie (EÚ, </w:t>
      </w:r>
      <w:proofErr w:type="spellStart"/>
      <w:r w:rsidRPr="00C804E1">
        <w:rPr>
          <w:shd w:val="clear" w:color="auto" w:fill="FFFFFF"/>
        </w:rPr>
        <w:t>Euratom</w:t>
      </w:r>
      <w:proofErr w:type="spellEnd"/>
      <w:r w:rsidRPr="00C804E1">
        <w:rPr>
          <w:shd w:val="clear" w:color="auto" w:fill="FFFFFF"/>
        </w:rPr>
        <w:t>) č. 608/2014 (</w:t>
      </w:r>
      <w:r w:rsidRPr="00C804E1">
        <w:rPr>
          <w:iCs/>
          <w:shd w:val="clear" w:color="auto" w:fill="FFFFFF"/>
        </w:rPr>
        <w:t>Ú. v. EÚ L 165, 11.5.2021),</w:t>
      </w:r>
      <w:r w:rsidR="00722B46" w:rsidRPr="00C804E1">
        <w:rPr>
          <w:iCs/>
          <w:shd w:val="clear" w:color="auto" w:fill="FFFFFF"/>
        </w:rPr>
        <w:t xml:space="preserve"> gestor: </w:t>
      </w:r>
      <w:r w:rsidR="00A10848">
        <w:rPr>
          <w:iCs/>
          <w:shd w:val="clear" w:color="auto" w:fill="FFFFFF"/>
        </w:rPr>
        <w:t>gestor zatiaľ nebol určený</w:t>
      </w:r>
      <w:r w:rsidR="00722B46" w:rsidRPr="00C804E1">
        <w:rPr>
          <w:iCs/>
          <w:shd w:val="clear" w:color="auto" w:fill="FFFFFF"/>
        </w:rPr>
        <w:t>,</w:t>
      </w:r>
    </w:p>
    <w:p w:rsidR="00F84DFC" w:rsidRPr="00C804E1" w:rsidRDefault="00F84DFC" w:rsidP="005108DC">
      <w:pPr>
        <w:numPr>
          <w:ilvl w:val="0"/>
          <w:numId w:val="3"/>
        </w:numPr>
        <w:tabs>
          <w:tab w:val="clear" w:pos="900"/>
          <w:tab w:val="num" w:pos="426"/>
        </w:tabs>
        <w:autoSpaceDE w:val="0"/>
        <w:autoSpaceDN w:val="0"/>
        <w:adjustRightInd w:val="0"/>
        <w:spacing w:before="120" w:after="120"/>
        <w:ind w:left="369" w:hanging="369"/>
        <w:jc w:val="both"/>
        <w:rPr>
          <w:bCs/>
          <w:iCs/>
        </w:rPr>
      </w:pPr>
      <w:r w:rsidRPr="00C804E1">
        <w:rPr>
          <w:shd w:val="clear" w:color="auto" w:fill="FFFFFF"/>
        </w:rPr>
        <w:t xml:space="preserve">nariadenie Európskeho parlamentu a Rady (EÚ, </w:t>
      </w:r>
      <w:proofErr w:type="spellStart"/>
      <w:r w:rsidRPr="00C804E1">
        <w:rPr>
          <w:shd w:val="clear" w:color="auto" w:fill="FFFFFF"/>
        </w:rPr>
        <w:t>Euratom</w:t>
      </w:r>
      <w:proofErr w:type="spellEnd"/>
      <w:r w:rsidRPr="00C804E1">
        <w:rPr>
          <w:shd w:val="clear" w:color="auto" w:fill="FFFFFF"/>
        </w:rPr>
        <w:t xml:space="preserve">) </w:t>
      </w:r>
      <w:r w:rsidRPr="00C804E1">
        <w:rPr>
          <w:u w:val="single"/>
          <w:shd w:val="clear" w:color="auto" w:fill="FFFFFF"/>
        </w:rPr>
        <w:t>2018/1046</w:t>
      </w:r>
      <w:r w:rsidRPr="00C804E1">
        <w:rPr>
          <w:shd w:val="clear" w:color="auto" w:fill="FFFFFF"/>
        </w:rPr>
        <w:t xml:space="preserve"> z 18. júla 2018 o rozpočtových pravidlách, ktoré sa vzťahujú na všeobecný rozpočet Únie, o zmene nariadení (EÚ) č. 1296/2013, (EÚ) č. 1301/2013, (EÚ) č. 1303/2013, (EÚ) č. 1304/2013, (EÚ) č. 1309/2013, (EÚ) č. 1316/2013, (EÚ) č. 223/2014, (EÚ) č. 283/2014 a rozhodnutia č. 541/2014/EÚ a o zrušení nariadenia (EÚ, </w:t>
      </w:r>
      <w:proofErr w:type="spellStart"/>
      <w:r w:rsidRPr="00C804E1">
        <w:rPr>
          <w:shd w:val="clear" w:color="auto" w:fill="FFFFFF"/>
        </w:rPr>
        <w:t>Euratom</w:t>
      </w:r>
      <w:proofErr w:type="spellEnd"/>
      <w:r w:rsidRPr="00C804E1">
        <w:rPr>
          <w:shd w:val="clear" w:color="auto" w:fill="FFFFFF"/>
        </w:rPr>
        <w:t>) č. 966/2012 (</w:t>
      </w:r>
      <w:r w:rsidRPr="00C804E1">
        <w:rPr>
          <w:iCs/>
          <w:shd w:val="clear" w:color="auto" w:fill="FFFFFF"/>
        </w:rPr>
        <w:t>Ú. v. EÚ L 193, 30.7.2018), gestor: MF SR,</w:t>
      </w:r>
    </w:p>
    <w:p w:rsidR="00050567" w:rsidRPr="00C804E1" w:rsidRDefault="00050567" w:rsidP="00050567">
      <w:pPr>
        <w:numPr>
          <w:ilvl w:val="0"/>
          <w:numId w:val="3"/>
        </w:numPr>
        <w:tabs>
          <w:tab w:val="clear" w:pos="900"/>
          <w:tab w:val="num" w:pos="426"/>
        </w:tabs>
        <w:autoSpaceDE w:val="0"/>
        <w:autoSpaceDN w:val="0"/>
        <w:adjustRightInd w:val="0"/>
        <w:spacing w:before="120" w:after="120"/>
        <w:ind w:left="369" w:hanging="369"/>
        <w:jc w:val="both"/>
        <w:rPr>
          <w:bCs/>
          <w:iCs/>
        </w:rPr>
      </w:pPr>
      <w:r w:rsidRPr="00C804E1">
        <w:rPr>
          <w:bCs/>
        </w:rPr>
        <w:t xml:space="preserve">nariadenie Rady (EÚ, </w:t>
      </w:r>
      <w:proofErr w:type="spellStart"/>
      <w:r w:rsidRPr="00C804E1">
        <w:rPr>
          <w:bCs/>
        </w:rPr>
        <w:t>Euratom</w:t>
      </w:r>
      <w:proofErr w:type="spellEnd"/>
      <w:r w:rsidRPr="00C804E1">
        <w:rPr>
          <w:bCs/>
        </w:rPr>
        <w:t xml:space="preserve">) č. </w:t>
      </w:r>
      <w:r w:rsidRPr="00C804E1">
        <w:rPr>
          <w:bCs/>
          <w:u w:val="single"/>
        </w:rPr>
        <w:t>609/2014</w:t>
      </w:r>
      <w:r w:rsidRPr="00C804E1">
        <w:rPr>
          <w:bCs/>
        </w:rPr>
        <w:t xml:space="preserve"> z 26. mája 2014 o metódach a postupe sprístupňovania tradičných vlastných zdrojov a vlastného zdroja založeného na DPH a HND a o opatreniach na zabezpečenie požiadaviek na pokladničnú hotovosť (prepracované znenie) (</w:t>
      </w:r>
      <w:r w:rsidRPr="00C804E1">
        <w:rPr>
          <w:bCs/>
          <w:iCs/>
        </w:rPr>
        <w:t xml:space="preserve">Ú. v. EÚ L 168, 7.6.2014) </w:t>
      </w:r>
      <w:r w:rsidRPr="00C804E1">
        <w:rPr>
          <w:iCs/>
          <w:shd w:val="clear" w:color="auto" w:fill="FFFFFF"/>
        </w:rPr>
        <w:t>v platnom znení, gestor: MF SR,</w:t>
      </w:r>
    </w:p>
    <w:p w:rsidR="005108DC" w:rsidRPr="00C804E1" w:rsidRDefault="005108DC" w:rsidP="005108DC">
      <w:pPr>
        <w:numPr>
          <w:ilvl w:val="0"/>
          <w:numId w:val="3"/>
        </w:numPr>
        <w:tabs>
          <w:tab w:val="clear" w:pos="900"/>
          <w:tab w:val="num" w:pos="426"/>
        </w:tabs>
        <w:autoSpaceDE w:val="0"/>
        <w:autoSpaceDN w:val="0"/>
        <w:adjustRightInd w:val="0"/>
        <w:spacing w:before="120" w:after="120"/>
        <w:ind w:left="369" w:hanging="369"/>
        <w:jc w:val="both"/>
        <w:rPr>
          <w:bCs/>
          <w:iCs/>
        </w:rPr>
      </w:pPr>
      <w:r w:rsidRPr="00C804E1">
        <w:t xml:space="preserve">nariadenie </w:t>
      </w:r>
      <w:r w:rsidRPr="00C804E1">
        <w:rPr>
          <w:bCs/>
          <w:iCs/>
        </w:rPr>
        <w:t xml:space="preserve">Európskeho parlamentu a Rady (EÚ) č. </w:t>
      </w:r>
      <w:r w:rsidRPr="00C804E1">
        <w:rPr>
          <w:bCs/>
          <w:iCs/>
          <w:u w:val="single"/>
        </w:rPr>
        <w:t>472/2013</w:t>
      </w:r>
      <w:r w:rsidRPr="00C804E1">
        <w:rPr>
          <w:bCs/>
          <w:iCs/>
        </w:rPr>
        <w:t xml:space="preserve"> z 21. mája 2013 o sprísnení hospodárskeho a rozpočtového dohľadu nad členskými štátmi v eurozóne, ktoré majú závažné ťažkosti v súvislosti so svojou finančnou stabilitou, alebo im takéto ťažkosti hrozia (Ú. v. EÚ L 140, 27.5. 2013),</w:t>
      </w:r>
      <w:r w:rsidR="008C2C91" w:rsidRPr="00C804E1">
        <w:rPr>
          <w:bCs/>
          <w:iCs/>
        </w:rPr>
        <w:t xml:space="preserve"> </w:t>
      </w:r>
      <w:r w:rsidR="008C2C91" w:rsidRPr="00C804E1">
        <w:rPr>
          <w:iCs/>
          <w:shd w:val="clear" w:color="auto" w:fill="FFFFFF"/>
        </w:rPr>
        <w:t>gestor: MF SR,</w:t>
      </w:r>
    </w:p>
    <w:p w:rsidR="005108DC" w:rsidRPr="00C804E1" w:rsidRDefault="005108DC" w:rsidP="005108DC">
      <w:pPr>
        <w:pStyle w:val="Zkladntext"/>
        <w:numPr>
          <w:ilvl w:val="0"/>
          <w:numId w:val="35"/>
        </w:numPr>
        <w:spacing w:after="240"/>
        <w:ind w:left="340" w:hanging="340"/>
        <w:jc w:val="both"/>
      </w:pPr>
      <w:r w:rsidRPr="00C804E1">
        <w:t xml:space="preserve">nariadenie  Európskeho parlamentu a Rady (EÚ) č. </w:t>
      </w:r>
      <w:r w:rsidRPr="00C804E1">
        <w:rPr>
          <w:u w:val="single"/>
        </w:rPr>
        <w:t>473/2013</w:t>
      </w:r>
      <w:r w:rsidRPr="00C804E1">
        <w:t xml:space="preserve"> z 21. mája 2013 o spoločných ustanoveniach o monitorovaní a posudzovaní návrhov rozpočtových plánov a zabezpečení nápravy nadmerného deficitu členských štátov v eurozóne (</w:t>
      </w:r>
      <w:r w:rsidRPr="00C804E1">
        <w:rPr>
          <w:iCs/>
        </w:rPr>
        <w:t>Ú. v. EÚ L 140, 27.5. 2013),</w:t>
      </w:r>
      <w:r w:rsidR="008C2C91" w:rsidRPr="00C804E1">
        <w:rPr>
          <w:iCs/>
        </w:rPr>
        <w:t xml:space="preserve"> </w:t>
      </w:r>
      <w:r w:rsidR="008C2C91" w:rsidRPr="00C804E1">
        <w:rPr>
          <w:iCs/>
          <w:shd w:val="clear" w:color="auto" w:fill="FFFFFF"/>
        </w:rPr>
        <w:t>gestor: MF SR,</w:t>
      </w:r>
    </w:p>
    <w:p w:rsidR="00A85C81" w:rsidRPr="00C804E1" w:rsidRDefault="00A85C81" w:rsidP="005108DC">
      <w:pPr>
        <w:pStyle w:val="Zkladntext"/>
        <w:numPr>
          <w:ilvl w:val="0"/>
          <w:numId w:val="35"/>
        </w:numPr>
        <w:spacing w:after="240"/>
        <w:ind w:left="340" w:hanging="340"/>
        <w:jc w:val="both"/>
      </w:pPr>
      <w:r w:rsidRPr="00C804E1">
        <w:rPr>
          <w:shd w:val="clear" w:color="auto" w:fill="FFFFFF"/>
        </w:rPr>
        <w:t>nariadenie Európskeho parlamentu a Rady (EÚ) č. </w:t>
      </w:r>
      <w:r w:rsidRPr="00C804E1">
        <w:rPr>
          <w:u w:val="single"/>
          <w:shd w:val="clear" w:color="auto" w:fill="FFFFFF"/>
        </w:rPr>
        <w:t>549/2013</w:t>
      </w:r>
      <w:r w:rsidRPr="00C804E1">
        <w:rPr>
          <w:shd w:val="clear" w:color="auto" w:fill="FFFFFF"/>
        </w:rPr>
        <w:t xml:space="preserve"> z  21. mája 2013 o európskom systéme národných a regionálnych účtov v Európskej únii (</w:t>
      </w:r>
      <w:r w:rsidRPr="00C804E1">
        <w:rPr>
          <w:iCs/>
          <w:shd w:val="clear" w:color="auto" w:fill="FFFFFF"/>
          <w:lang w:eastAsia="sk-SK"/>
        </w:rPr>
        <w:t xml:space="preserve">Ú. v. EÚ L 174, 26.6.2013) </w:t>
      </w:r>
      <w:r w:rsidRPr="00C804E1">
        <w:rPr>
          <w:iCs/>
          <w:shd w:val="clear" w:color="auto" w:fill="FFFFFF"/>
        </w:rPr>
        <w:t xml:space="preserve">v platnom znení, gestor: MF SR, </w:t>
      </w:r>
      <w:r w:rsidRPr="00C804E1">
        <w:rPr>
          <w:iCs/>
          <w:shd w:val="clear" w:color="auto" w:fill="FFFFFF"/>
          <w:lang w:eastAsia="sk-SK"/>
        </w:rPr>
        <w:t xml:space="preserve"> </w:t>
      </w:r>
    </w:p>
    <w:p w:rsidR="007228D5" w:rsidRPr="00C804E1" w:rsidRDefault="007228D5" w:rsidP="00050567">
      <w:pPr>
        <w:pStyle w:val="Zkladntext"/>
        <w:numPr>
          <w:ilvl w:val="0"/>
          <w:numId w:val="35"/>
        </w:numPr>
        <w:spacing w:after="240"/>
        <w:ind w:left="340" w:hanging="340"/>
        <w:jc w:val="both"/>
      </w:pPr>
      <w:r w:rsidRPr="00C804E1">
        <w:lastRenderedPageBreak/>
        <w:t xml:space="preserve">nariadenie Rady (ES) č. </w:t>
      </w:r>
      <w:r w:rsidRPr="00C804E1">
        <w:rPr>
          <w:u w:val="single"/>
        </w:rPr>
        <w:t>479/2009</w:t>
      </w:r>
      <w:r w:rsidRPr="00C804E1">
        <w:t xml:space="preserve"> z 25. mája 2009 o uplatňovaní Protokolu o postupe pri nadmernom schodku, ktorý tvorí prílohu Zmluvy o založení Európskeho spoločenstva (kodifikované znenie) (Ú.</w:t>
      </w:r>
      <w:r w:rsidR="00AF255A" w:rsidRPr="00C804E1">
        <w:t xml:space="preserve"> </w:t>
      </w:r>
      <w:r w:rsidRPr="00C804E1">
        <w:t xml:space="preserve">v. EÚ L 145, 10.6. 2009) v platnom znení, </w:t>
      </w:r>
      <w:r w:rsidRPr="00C804E1">
        <w:rPr>
          <w:iCs/>
        </w:rPr>
        <w:t>gestor: MF SR, ŠÚ SR,</w:t>
      </w:r>
    </w:p>
    <w:p w:rsidR="00E37D8A" w:rsidRPr="00C804E1" w:rsidRDefault="00E37D8A" w:rsidP="00E37D8A">
      <w:pPr>
        <w:pStyle w:val="Zkladntext"/>
        <w:numPr>
          <w:ilvl w:val="0"/>
          <w:numId w:val="35"/>
        </w:numPr>
        <w:spacing w:after="240"/>
        <w:ind w:left="340" w:hanging="340"/>
        <w:jc w:val="both"/>
      </w:pPr>
      <w:r w:rsidRPr="00C804E1">
        <w:rPr>
          <w:rStyle w:val="Zvraznenie"/>
          <w:i w:val="0"/>
        </w:rPr>
        <w:t xml:space="preserve">rozhodnutie Rady z 7. júna 2007 </w:t>
      </w:r>
      <w:r w:rsidRPr="00C804E1">
        <w:t xml:space="preserve">o systéme vlastných zdrojov Európskych spoločenstiev </w:t>
      </w:r>
      <w:r w:rsidR="00F5305C" w:rsidRPr="00C804E1">
        <w:t>(</w:t>
      </w:r>
      <w:r w:rsidR="00F5305C" w:rsidRPr="00C804E1">
        <w:rPr>
          <w:rStyle w:val="Zvraznenie"/>
          <w:i w:val="0"/>
          <w:u w:val="single"/>
        </w:rPr>
        <w:t xml:space="preserve">2007/436/ES, </w:t>
      </w:r>
      <w:proofErr w:type="spellStart"/>
      <w:r w:rsidR="00F5305C" w:rsidRPr="00C804E1">
        <w:rPr>
          <w:rStyle w:val="Zvraznenie"/>
          <w:i w:val="0"/>
          <w:u w:val="single"/>
        </w:rPr>
        <w:t>Euratom</w:t>
      </w:r>
      <w:proofErr w:type="spellEnd"/>
      <w:r w:rsidR="00F5305C" w:rsidRPr="00C804E1">
        <w:rPr>
          <w:rStyle w:val="Zvraznenie"/>
          <w:i w:val="0"/>
        </w:rPr>
        <w:t xml:space="preserve">) </w:t>
      </w:r>
      <w:r w:rsidRPr="00C804E1">
        <w:t>(Ú. v. EÚ L 163, 23.6.2007),</w:t>
      </w:r>
      <w:r w:rsidR="001E48C2" w:rsidRPr="00C804E1">
        <w:t xml:space="preserve"> gestor: MF SR,</w:t>
      </w:r>
    </w:p>
    <w:p w:rsidR="001E48C2" w:rsidRPr="00C804E1" w:rsidRDefault="001E48C2" w:rsidP="00840132">
      <w:pPr>
        <w:pStyle w:val="Zkladntext"/>
        <w:numPr>
          <w:ilvl w:val="0"/>
          <w:numId w:val="35"/>
        </w:numPr>
        <w:spacing w:after="240"/>
        <w:ind w:left="340" w:hanging="340"/>
        <w:jc w:val="both"/>
      </w:pPr>
      <w:r w:rsidRPr="00C804E1">
        <w:t>nariadenie Európskeho Parlamentu a Rady (ES) č. </w:t>
      </w:r>
      <w:r w:rsidRPr="00C804E1">
        <w:rPr>
          <w:u w:val="single"/>
        </w:rPr>
        <w:t>501/2004</w:t>
      </w:r>
      <w:r w:rsidRPr="00C804E1">
        <w:t xml:space="preserve"> z 10. marca 2004 o štvrťročných finančných účtoch verejnej správy (</w:t>
      </w:r>
      <w:r w:rsidRPr="00C804E1">
        <w:rPr>
          <w:iCs/>
        </w:rPr>
        <w:t xml:space="preserve">Ú. v. EÚ L 81, 19.3.2004; </w:t>
      </w:r>
      <w:r w:rsidRPr="00C804E1">
        <w:t>Mimoriadne vydanie Ú. v. EÚ, kap. 10</w:t>
      </w:r>
      <w:r w:rsidRPr="00C804E1">
        <w:rPr>
          <w:rStyle w:val="Zvraznenie"/>
          <w:i w:val="0"/>
        </w:rPr>
        <w:t>/ zv. 5) v platnom znení,</w:t>
      </w:r>
      <w:r w:rsidR="00A76646" w:rsidRPr="00C804E1">
        <w:rPr>
          <w:rStyle w:val="Zvraznenie"/>
          <w:i w:val="0"/>
        </w:rPr>
        <w:t xml:space="preserve"> </w:t>
      </w:r>
      <w:r w:rsidR="00A76646" w:rsidRPr="00C804E1">
        <w:rPr>
          <w:rStyle w:val="Zvraznenie"/>
          <w:i w:val="0"/>
          <w:iCs w:val="0"/>
        </w:rPr>
        <w:t xml:space="preserve">gestor: </w:t>
      </w:r>
      <w:r w:rsidR="00E23E96" w:rsidRPr="00C804E1">
        <w:rPr>
          <w:rStyle w:val="Zvraznenie"/>
          <w:i w:val="0"/>
          <w:iCs w:val="0"/>
        </w:rPr>
        <w:t>MF SR</w:t>
      </w:r>
      <w:r w:rsidR="00A76646" w:rsidRPr="00C804E1">
        <w:rPr>
          <w:rStyle w:val="Zvraznenie"/>
          <w:i w:val="0"/>
          <w:iCs w:val="0"/>
        </w:rPr>
        <w:t>,</w:t>
      </w:r>
    </w:p>
    <w:p w:rsidR="000D13E6" w:rsidRPr="00C804E1" w:rsidRDefault="000D13E6" w:rsidP="000D13E6">
      <w:pPr>
        <w:pStyle w:val="Zkladntext"/>
        <w:numPr>
          <w:ilvl w:val="0"/>
          <w:numId w:val="24"/>
        </w:numPr>
        <w:jc w:val="both"/>
        <w:rPr>
          <w:rStyle w:val="Zvraznenie"/>
          <w:i w:val="0"/>
          <w:iCs w:val="0"/>
        </w:rPr>
      </w:pPr>
      <w:r w:rsidRPr="00C804E1">
        <w:t>nariadenie Rady (ES) č. </w:t>
      </w:r>
      <w:r w:rsidRPr="00C804E1">
        <w:rPr>
          <w:u w:val="single"/>
        </w:rPr>
        <w:t>1466/97</w:t>
      </w:r>
      <w:r w:rsidRPr="00C804E1">
        <w:t xml:space="preserve"> zo 7. júla 1997 o posilnení dohľadu nad stavmi rozpočtov a o dohľade nad hospodárskymi politikami a ich koordinácii (</w:t>
      </w:r>
      <w:r w:rsidRPr="00C804E1">
        <w:rPr>
          <w:iCs/>
        </w:rPr>
        <w:t xml:space="preserve">Ú. v. ES L 209, 2.8.1997; </w:t>
      </w:r>
      <w:r w:rsidRPr="00C804E1">
        <w:t xml:space="preserve">Mimoriadne vydanie Ú. v. EÚ, kap.10/zv. 1) v platnom znení, </w:t>
      </w:r>
      <w:r w:rsidRPr="00C804E1">
        <w:rPr>
          <w:rStyle w:val="Zvraznenie"/>
          <w:i w:val="0"/>
          <w:iCs w:val="0"/>
        </w:rPr>
        <w:t xml:space="preserve">gestor: </w:t>
      </w:r>
      <w:r w:rsidR="00E23E96" w:rsidRPr="00C804E1">
        <w:rPr>
          <w:rStyle w:val="Zvraznenie"/>
          <w:i w:val="0"/>
          <w:iCs w:val="0"/>
        </w:rPr>
        <w:t>MF SR</w:t>
      </w:r>
      <w:r w:rsidRPr="00C804E1">
        <w:rPr>
          <w:rStyle w:val="Zvraznenie"/>
          <w:i w:val="0"/>
          <w:iCs w:val="0"/>
        </w:rPr>
        <w:t>,</w:t>
      </w:r>
    </w:p>
    <w:p w:rsidR="000D13E6" w:rsidRPr="00C804E1" w:rsidRDefault="000D13E6" w:rsidP="000D13E6">
      <w:pPr>
        <w:pStyle w:val="Zkladntext0"/>
        <w:widowControl/>
        <w:numPr>
          <w:ilvl w:val="0"/>
          <w:numId w:val="24"/>
        </w:numPr>
        <w:snapToGrid/>
        <w:spacing w:after="80"/>
        <w:jc w:val="both"/>
        <w:rPr>
          <w:color w:val="auto"/>
          <w:szCs w:val="24"/>
        </w:rPr>
      </w:pPr>
      <w:r w:rsidRPr="00C804E1">
        <w:rPr>
          <w:color w:val="auto"/>
          <w:szCs w:val="24"/>
        </w:rPr>
        <w:t xml:space="preserve">nariadenie Rady (ES) č. </w:t>
      </w:r>
      <w:r w:rsidRPr="00C804E1">
        <w:rPr>
          <w:color w:val="auto"/>
          <w:szCs w:val="24"/>
          <w:u w:val="single"/>
        </w:rPr>
        <w:t>1467/97</w:t>
      </w:r>
      <w:r w:rsidRPr="00C804E1">
        <w:rPr>
          <w:color w:val="auto"/>
          <w:szCs w:val="24"/>
        </w:rPr>
        <w:t xml:space="preserve"> zo 7. júla 1997 o urýchľovaní a objasňovaní vykonania postupu pri nadmernom schodku (</w:t>
      </w:r>
      <w:r w:rsidRPr="00C804E1">
        <w:rPr>
          <w:iCs/>
          <w:color w:val="auto"/>
          <w:szCs w:val="24"/>
        </w:rPr>
        <w:t xml:space="preserve">Ú. v. ES L 209, 2.8.1997; </w:t>
      </w:r>
      <w:r w:rsidRPr="00C804E1">
        <w:rPr>
          <w:color w:val="auto"/>
          <w:szCs w:val="24"/>
        </w:rPr>
        <w:t xml:space="preserve">Mimoriadne vydanie Ú. v. EÚ, kap.10/zv. 1) v platnom znení, </w:t>
      </w:r>
      <w:r w:rsidRPr="00C804E1">
        <w:rPr>
          <w:rStyle w:val="Zvraznenie"/>
          <w:i w:val="0"/>
          <w:iCs w:val="0"/>
          <w:color w:val="auto"/>
          <w:szCs w:val="24"/>
        </w:rPr>
        <w:t>gestor:</w:t>
      </w:r>
      <w:r w:rsidR="00E23E96" w:rsidRPr="00C804E1">
        <w:rPr>
          <w:rStyle w:val="Zvraznenie"/>
          <w:i w:val="0"/>
          <w:iCs w:val="0"/>
          <w:color w:val="auto"/>
          <w:szCs w:val="24"/>
        </w:rPr>
        <w:t xml:space="preserve"> MF SR</w:t>
      </w:r>
      <w:r w:rsidRPr="00C804E1">
        <w:rPr>
          <w:rStyle w:val="Zvraznenie"/>
          <w:i w:val="0"/>
          <w:iCs w:val="0"/>
          <w:color w:val="auto"/>
          <w:szCs w:val="24"/>
        </w:rPr>
        <w:t>,</w:t>
      </w:r>
    </w:p>
    <w:p w:rsidR="000D13E6" w:rsidRPr="00C804E1" w:rsidRDefault="000D13E6" w:rsidP="000D13E6">
      <w:pPr>
        <w:pStyle w:val="Zkladntext"/>
        <w:numPr>
          <w:ilvl w:val="0"/>
          <w:numId w:val="24"/>
        </w:numPr>
        <w:tabs>
          <w:tab w:val="num" w:pos="709"/>
        </w:tabs>
        <w:jc w:val="both"/>
        <w:rPr>
          <w:rStyle w:val="Zvraznenie"/>
          <w:i w:val="0"/>
          <w:iCs w:val="0"/>
        </w:rPr>
      </w:pPr>
      <w:r w:rsidRPr="00C804E1">
        <w:t xml:space="preserve">nariadenie Rady (ES) č. </w:t>
      </w:r>
      <w:r w:rsidRPr="00C804E1">
        <w:rPr>
          <w:u w:val="single"/>
        </w:rPr>
        <w:t>2223/96</w:t>
      </w:r>
      <w:r w:rsidRPr="00C804E1">
        <w:t xml:space="preserve"> z 25. júna 1996 o Európskom systéme národných a regionálnych účtov v spoločenstve (</w:t>
      </w:r>
      <w:r w:rsidRPr="00C804E1">
        <w:rPr>
          <w:iCs/>
        </w:rPr>
        <w:t xml:space="preserve">Ú. v. ES L 310, 30. 11. 1996; </w:t>
      </w:r>
      <w:r w:rsidRPr="00C804E1">
        <w:t>Mimoriadne vydanie Ú. v. EÚ, kap.10</w:t>
      </w:r>
      <w:r w:rsidRPr="00C804E1">
        <w:rPr>
          <w:rStyle w:val="Zvraznenie"/>
          <w:i w:val="0"/>
          <w:iCs w:val="0"/>
        </w:rPr>
        <w:t xml:space="preserve">/ zv. 2) </w:t>
      </w:r>
      <w:r w:rsidRPr="00C804E1">
        <w:t>v platnom znení</w:t>
      </w:r>
      <w:r w:rsidRPr="00C804E1">
        <w:rPr>
          <w:rStyle w:val="Zvraznenie"/>
          <w:i w:val="0"/>
          <w:iCs w:val="0"/>
        </w:rPr>
        <w:t xml:space="preserve">, gestor: </w:t>
      </w:r>
      <w:r w:rsidR="00E23E96" w:rsidRPr="00C804E1">
        <w:rPr>
          <w:rStyle w:val="Zvraznenie"/>
          <w:i w:val="0"/>
          <w:iCs w:val="0"/>
        </w:rPr>
        <w:t>MF SR</w:t>
      </w:r>
      <w:r w:rsidRPr="00C804E1">
        <w:rPr>
          <w:rStyle w:val="Zvraznenie"/>
          <w:i w:val="0"/>
          <w:iCs w:val="0"/>
        </w:rPr>
        <w:t xml:space="preserve">, </w:t>
      </w:r>
    </w:p>
    <w:p w:rsidR="000D13E6" w:rsidRPr="00C804E1" w:rsidRDefault="00CA72C2" w:rsidP="005108DC">
      <w:pPr>
        <w:pStyle w:val="Normlnywebov8"/>
        <w:numPr>
          <w:ilvl w:val="0"/>
          <w:numId w:val="24"/>
        </w:numPr>
        <w:spacing w:before="0" w:after="80"/>
        <w:ind w:right="70"/>
        <w:jc w:val="both"/>
        <w:rPr>
          <w:sz w:val="24"/>
          <w:szCs w:val="24"/>
        </w:rPr>
      </w:pPr>
      <w:r w:rsidRPr="00C804E1">
        <w:rPr>
          <w:sz w:val="24"/>
          <w:szCs w:val="24"/>
        </w:rPr>
        <w:t xml:space="preserve">nariadenie Rady (ES, </w:t>
      </w:r>
      <w:proofErr w:type="spellStart"/>
      <w:r w:rsidRPr="00C804E1">
        <w:rPr>
          <w:sz w:val="24"/>
          <w:szCs w:val="24"/>
        </w:rPr>
        <w:t>Euratom</w:t>
      </w:r>
      <w:proofErr w:type="spellEnd"/>
      <w:r w:rsidRPr="00C804E1">
        <w:rPr>
          <w:sz w:val="24"/>
          <w:szCs w:val="24"/>
        </w:rPr>
        <w:t xml:space="preserve">) č. </w:t>
      </w:r>
      <w:r w:rsidRPr="00C804E1">
        <w:rPr>
          <w:sz w:val="24"/>
          <w:szCs w:val="24"/>
          <w:u w:val="single"/>
        </w:rPr>
        <w:t>2988/95</w:t>
      </w:r>
      <w:r w:rsidRPr="00C804E1">
        <w:rPr>
          <w:sz w:val="24"/>
          <w:szCs w:val="24"/>
        </w:rPr>
        <w:t xml:space="preserve"> z 18. decembra 1995 o ochrane finančných záujmov Európskych spoločenstiev (Ú. v. ES L 312, 23.12.1995; Mimoriadne vydanie Ú. v. EÚ, kap. 1/zv. 1), gestor: </w:t>
      </w:r>
      <w:r w:rsidR="00E23E96" w:rsidRPr="00C804E1">
        <w:rPr>
          <w:sz w:val="24"/>
          <w:szCs w:val="24"/>
        </w:rPr>
        <w:t>MF SR.</w:t>
      </w:r>
    </w:p>
    <w:p w:rsidR="005108DC" w:rsidRPr="00C804E1" w:rsidRDefault="005108DC" w:rsidP="005108DC">
      <w:pPr>
        <w:pStyle w:val="Zkladntext"/>
        <w:spacing w:after="0"/>
        <w:jc w:val="both"/>
      </w:pPr>
    </w:p>
    <w:p w:rsidR="005108DC" w:rsidRPr="00C804E1" w:rsidRDefault="00CA72C2" w:rsidP="00CA72C2">
      <w:pPr>
        <w:pStyle w:val="Zkladntext"/>
        <w:numPr>
          <w:ilvl w:val="0"/>
          <w:numId w:val="36"/>
        </w:numPr>
        <w:jc w:val="both"/>
        <w:rPr>
          <w:b/>
        </w:rPr>
      </w:pPr>
      <w:r w:rsidRPr="00C804E1">
        <w:rPr>
          <w:b/>
        </w:rPr>
        <w:t>J</w:t>
      </w:r>
      <w:r w:rsidR="005108DC" w:rsidRPr="00C804E1">
        <w:rPr>
          <w:b/>
        </w:rPr>
        <w:t>udikatúr</w:t>
      </w:r>
      <w:r w:rsidRPr="00C804E1">
        <w:rPr>
          <w:b/>
        </w:rPr>
        <w:t>a</w:t>
      </w:r>
      <w:r w:rsidR="005108DC" w:rsidRPr="00C804E1">
        <w:rPr>
          <w:b/>
        </w:rPr>
        <w:t xml:space="preserve"> Súdneho dvora Európskej únie:</w:t>
      </w:r>
    </w:p>
    <w:p w:rsidR="005108DC" w:rsidRPr="00C804E1" w:rsidRDefault="005108DC" w:rsidP="005108DC">
      <w:pPr>
        <w:pStyle w:val="Zkladntext0"/>
        <w:widowControl/>
        <w:numPr>
          <w:ilvl w:val="0"/>
          <w:numId w:val="28"/>
        </w:numPr>
        <w:snapToGrid/>
        <w:spacing w:after="120"/>
        <w:jc w:val="both"/>
        <w:rPr>
          <w:color w:val="auto"/>
          <w:szCs w:val="24"/>
        </w:rPr>
      </w:pPr>
      <w:r w:rsidRPr="00C804E1">
        <w:rPr>
          <w:color w:val="auto"/>
          <w:szCs w:val="24"/>
        </w:rPr>
        <w:t>rozhodnutie Súdneho dvora vo veci C - 27/04, E</w:t>
      </w:r>
      <w:r w:rsidRPr="00C804E1">
        <w:rPr>
          <w:bCs/>
          <w:color w:val="auto"/>
          <w:szCs w:val="24"/>
        </w:rPr>
        <w:t xml:space="preserve">K </w:t>
      </w:r>
      <w:r w:rsidRPr="00C804E1">
        <w:rPr>
          <w:color w:val="auto"/>
          <w:szCs w:val="24"/>
        </w:rPr>
        <w:t xml:space="preserve">v. </w:t>
      </w:r>
      <w:r w:rsidRPr="00C804E1">
        <w:rPr>
          <w:bCs/>
          <w:color w:val="auto"/>
          <w:szCs w:val="24"/>
        </w:rPr>
        <w:t>Rada EÚ</w:t>
      </w:r>
      <w:r w:rsidRPr="00C804E1">
        <w:rPr>
          <w:color w:val="auto"/>
          <w:szCs w:val="24"/>
        </w:rPr>
        <w:t>, [2004].</w:t>
      </w:r>
    </w:p>
    <w:p w:rsidR="00101A9B" w:rsidRPr="00C804E1" w:rsidRDefault="00101A9B" w:rsidP="00101A9B">
      <w:pPr>
        <w:pStyle w:val="Zkladntext0"/>
        <w:widowControl/>
        <w:snapToGrid/>
        <w:spacing w:after="120"/>
        <w:ind w:left="360"/>
        <w:jc w:val="both"/>
        <w:rPr>
          <w:color w:val="auto"/>
          <w:szCs w:val="24"/>
          <w:u w:val="single"/>
        </w:rPr>
      </w:pPr>
      <w:r w:rsidRPr="00C804E1">
        <w:rPr>
          <w:color w:val="auto"/>
          <w:szCs w:val="24"/>
          <w:u w:val="single"/>
        </w:rPr>
        <w:t>Výrok rozhodnutia:</w:t>
      </w:r>
    </w:p>
    <w:p w:rsidR="00101A9B" w:rsidRPr="00C804E1" w:rsidRDefault="00101A9B" w:rsidP="00101A9B">
      <w:pPr>
        <w:pStyle w:val="c08dispositif"/>
        <w:tabs>
          <w:tab w:val="left" w:pos="709"/>
        </w:tabs>
        <w:spacing w:after="240" w:afterAutospacing="0"/>
        <w:ind w:left="426"/>
        <w:jc w:val="both"/>
        <w:rPr>
          <w:bCs/>
          <w:color w:val="000000"/>
        </w:rPr>
      </w:pPr>
      <w:r w:rsidRPr="00C804E1">
        <w:rPr>
          <w:bCs/>
          <w:color w:val="000000"/>
        </w:rPr>
        <w:t>1</w:t>
      </w:r>
      <w:r w:rsidR="00F85DAE" w:rsidRPr="00C804E1">
        <w:rPr>
          <w:bCs/>
          <w:color w:val="000000"/>
        </w:rPr>
        <w:t>.</w:t>
      </w:r>
      <w:r w:rsidRPr="00C804E1">
        <w:rPr>
          <w:bCs/>
          <w:color w:val="000000"/>
        </w:rPr>
        <w:t>      Žaloba Komisie Európskych spoločenstiev v časti, v ktorej sa navrhuje zrušenie neprijatia opatrení v požadovanej forme Radou Európskych spoločenstiev obsiahnutých v odporúčaniach Komisie na základe článku 104 ods. 8 a 9 ES, je neprípustná.</w:t>
      </w:r>
    </w:p>
    <w:p w:rsidR="00101A9B" w:rsidRPr="00C804E1" w:rsidRDefault="00101A9B" w:rsidP="00101A9B">
      <w:pPr>
        <w:pStyle w:val="c08dispositif"/>
        <w:spacing w:after="240" w:afterAutospacing="0"/>
        <w:ind w:left="426"/>
        <w:jc w:val="both"/>
        <w:rPr>
          <w:bCs/>
          <w:color w:val="000000"/>
        </w:rPr>
      </w:pPr>
      <w:r w:rsidRPr="00C804E1">
        <w:rPr>
          <w:bCs/>
          <w:color w:val="000000"/>
        </w:rPr>
        <w:t>2</w:t>
      </w:r>
      <w:r w:rsidR="00F85DAE" w:rsidRPr="00C804E1">
        <w:rPr>
          <w:bCs/>
          <w:color w:val="000000"/>
        </w:rPr>
        <w:t>.</w:t>
      </w:r>
      <w:r w:rsidRPr="00C804E1">
        <w:rPr>
          <w:bCs/>
          <w:color w:val="000000"/>
        </w:rPr>
        <w:t>      Závery Rady z 25. novembra 2003 prijaté voči Francúzskej republike a voči Spolkovej republike Nemecko sú zrušené v časti, v ktorej obsahujú rozhodnutie o prerušení konania o nadmernom deficite, a v časti, v ktorej obsahujú rozhodnutie, ktorým sa menia odporúčania prijaté skôr Radou v súlade s článkom 104 ods. 7 ES.</w:t>
      </w:r>
    </w:p>
    <w:p w:rsidR="005108DC" w:rsidRPr="00C804E1" w:rsidRDefault="005108DC" w:rsidP="005108DC">
      <w:pPr>
        <w:pStyle w:val="Zkladntext"/>
        <w:spacing w:after="0"/>
        <w:ind w:left="425"/>
      </w:pPr>
    </w:p>
    <w:p w:rsidR="005108DC" w:rsidRPr="00C804E1" w:rsidRDefault="005108DC" w:rsidP="005108DC">
      <w:pPr>
        <w:numPr>
          <w:ilvl w:val="0"/>
          <w:numId w:val="1"/>
        </w:numPr>
        <w:spacing w:after="120"/>
        <w:jc w:val="both"/>
        <w:rPr>
          <w:b/>
        </w:rPr>
      </w:pPr>
      <w:r w:rsidRPr="00C804E1">
        <w:rPr>
          <w:b/>
        </w:rPr>
        <w:t>Záväzky Slovenskej republiky vo vzťahu k Európskej únii:</w:t>
      </w:r>
    </w:p>
    <w:p w:rsidR="005108DC" w:rsidRPr="00C804E1" w:rsidRDefault="005108DC" w:rsidP="005108DC">
      <w:pPr>
        <w:pStyle w:val="Zkladntext"/>
        <w:numPr>
          <w:ilvl w:val="1"/>
          <w:numId w:val="1"/>
        </w:numPr>
        <w:tabs>
          <w:tab w:val="clear" w:pos="397"/>
          <w:tab w:val="left" w:pos="360"/>
        </w:tabs>
        <w:ind w:left="426"/>
        <w:jc w:val="both"/>
      </w:pPr>
      <w:r w:rsidRPr="00C804E1">
        <w:t xml:space="preserve">Lehota na </w:t>
      </w:r>
      <w:r w:rsidR="00C62B89" w:rsidRPr="00C804E1">
        <w:t xml:space="preserve">prebratie </w:t>
      </w:r>
      <w:r w:rsidR="00BF20E5" w:rsidRPr="00C804E1">
        <w:t>smernice 2011/85/EÚ bola stanovená do 31.12. 2013</w:t>
      </w:r>
      <w:r w:rsidRPr="00C804E1">
        <w:t>.</w:t>
      </w:r>
    </w:p>
    <w:p w:rsidR="00A10848" w:rsidRPr="00A10848" w:rsidRDefault="00A10848" w:rsidP="00BF20E5">
      <w:pPr>
        <w:pStyle w:val="Zarkazkladnhotextu2"/>
        <w:numPr>
          <w:ilvl w:val="1"/>
          <w:numId w:val="1"/>
        </w:numPr>
        <w:spacing w:after="240"/>
        <w:ind w:left="425"/>
        <w:jc w:val="both"/>
        <w:rPr>
          <w:color w:val="auto"/>
          <w:szCs w:val="24"/>
        </w:rPr>
      </w:pPr>
      <w:r>
        <w:rPr>
          <w:color w:val="auto"/>
          <w:szCs w:val="24"/>
        </w:rPr>
        <w:t>Proti Slovenskej republike nebolo začaté konanie v rámci EÚ Pilot, ani nebol začatý postup Európskej kom</w:t>
      </w:r>
      <w:bookmarkStart w:id="0" w:name="_GoBack"/>
      <w:bookmarkEnd w:id="0"/>
      <w:r>
        <w:rPr>
          <w:color w:val="auto"/>
          <w:szCs w:val="24"/>
        </w:rPr>
        <w:t>isie a ani nebolo začaté konanie o porušení Zmluvy o fungovaní Európskej únie podľa čl. 258 až 260.</w:t>
      </w:r>
    </w:p>
    <w:p w:rsidR="00BF20E5" w:rsidRPr="00C804E1" w:rsidRDefault="00BF20E5" w:rsidP="00BF20E5">
      <w:pPr>
        <w:pStyle w:val="Zarkazkladnhotextu2"/>
        <w:numPr>
          <w:ilvl w:val="1"/>
          <w:numId w:val="1"/>
        </w:numPr>
        <w:spacing w:after="240"/>
        <w:ind w:left="425"/>
        <w:jc w:val="both"/>
        <w:rPr>
          <w:color w:val="auto"/>
          <w:szCs w:val="24"/>
        </w:rPr>
      </w:pPr>
      <w:r w:rsidRPr="00C804E1">
        <w:rPr>
          <w:szCs w:val="24"/>
          <w:lang w:eastAsia="cs-CZ"/>
        </w:rPr>
        <w:t xml:space="preserve">Smernica 2011/85/EÚ bola prebratá do ústavného zákona </w:t>
      </w:r>
      <w:r w:rsidRPr="00C804E1">
        <w:rPr>
          <w:bCs/>
          <w:szCs w:val="24"/>
        </w:rPr>
        <w:t>č. 493/2011 Z. z. o rozpočtovej zodpovednosti, do zákona č</w:t>
      </w:r>
      <w:r w:rsidRPr="00C804E1">
        <w:rPr>
          <w:szCs w:val="24"/>
        </w:rPr>
        <w:t xml:space="preserve">. 523/2004 Z. z. o rozpočtových pravidlách verejnej správy a o zmene a doplnení niektorých zákonov v znení neskorších predpisov, do zákona č. 583/2004 Z. z. o rozpočtových pravidlách územnej samosprávy a o zmene a doplnení niektorých zákonov v znení neskorších predpisov, do zákona č. 511/2011 Z. z. o štátnom </w:t>
      </w:r>
      <w:r w:rsidRPr="00C804E1">
        <w:rPr>
          <w:szCs w:val="24"/>
        </w:rPr>
        <w:lastRenderedPageBreak/>
        <w:t>rozpočte na rok 2012</w:t>
      </w:r>
      <w:r w:rsidR="007600F3" w:rsidRPr="00C804E1">
        <w:rPr>
          <w:szCs w:val="24"/>
        </w:rPr>
        <w:t>,</w:t>
      </w:r>
      <w:r w:rsidRPr="00C804E1">
        <w:rPr>
          <w:szCs w:val="24"/>
          <w:lang w:eastAsia="cs-CZ"/>
        </w:rPr>
        <w:t> do opatrenia MF SR č</w:t>
      </w:r>
      <w:r w:rsidRPr="00C804E1">
        <w:rPr>
          <w:szCs w:val="24"/>
        </w:rPr>
        <w:t>. MF/21513/2012-31, ktorým sa ustanovuje usporiadanie, obsahové vymedzenie, spôsob, termín a miesto predkladania informácií z účtovníctva a údajov potrebných na účely hodnotenia plnenia rozpočtu verejnej správy v znení neskorších predpisov</w:t>
      </w:r>
      <w:r w:rsidR="007600F3" w:rsidRPr="00C804E1">
        <w:rPr>
          <w:szCs w:val="24"/>
        </w:rPr>
        <w:t>, do opatrenia MF SR č. MF/017353/2017-352, ktorým sa ustanovuje usporiadanie, obsahové vymedzenie, spôsob, termín a miesto predkladania informácií z účtovníctva a údajov potrebných na účely hodnotenia plnenia rozpočtu verejnej správy a do Vybraných pravidiel pre rozpočtové rámce (príručka)</w:t>
      </w:r>
      <w:r w:rsidRPr="00C804E1">
        <w:rPr>
          <w:color w:val="auto"/>
          <w:szCs w:val="24"/>
        </w:rPr>
        <w:t>.</w:t>
      </w:r>
    </w:p>
    <w:p w:rsidR="005108DC" w:rsidRPr="00C804E1" w:rsidRDefault="00F85DAE" w:rsidP="005108DC">
      <w:pPr>
        <w:numPr>
          <w:ilvl w:val="0"/>
          <w:numId w:val="1"/>
        </w:numPr>
        <w:spacing w:after="120"/>
        <w:jc w:val="both"/>
        <w:rPr>
          <w:b/>
        </w:rPr>
      </w:pPr>
      <w:r w:rsidRPr="00C804E1">
        <w:rPr>
          <w:b/>
        </w:rPr>
        <w:t xml:space="preserve">Návrh zákona je zlučiteľný </w:t>
      </w:r>
      <w:r w:rsidR="005108DC" w:rsidRPr="00C804E1">
        <w:rPr>
          <w:b/>
        </w:rPr>
        <w:t>s právom Európskej únie:</w:t>
      </w:r>
    </w:p>
    <w:p w:rsidR="0016551C" w:rsidRPr="00CA72C2" w:rsidRDefault="005108DC" w:rsidP="005108DC">
      <w:pPr>
        <w:spacing w:after="120"/>
        <w:ind w:left="360"/>
        <w:jc w:val="both"/>
        <w:rPr>
          <w:bCs/>
        </w:rPr>
      </w:pPr>
      <w:r w:rsidRPr="00C804E1">
        <w:rPr>
          <w:bCs/>
        </w:rPr>
        <w:t xml:space="preserve"> Úpln</w:t>
      </w:r>
      <w:r w:rsidR="00F85DAE" w:rsidRPr="00C804E1">
        <w:rPr>
          <w:bCs/>
        </w:rPr>
        <w:t>e</w:t>
      </w:r>
      <w:r w:rsidRPr="00C804E1">
        <w:rPr>
          <w:bCs/>
        </w:rPr>
        <w:t>.</w:t>
      </w:r>
    </w:p>
    <w:p w:rsidR="0016551C" w:rsidRPr="00CA72C2" w:rsidRDefault="0016551C" w:rsidP="005108DC">
      <w:pPr>
        <w:spacing w:after="120"/>
        <w:ind w:left="360"/>
        <w:jc w:val="both"/>
        <w:rPr>
          <w:b/>
        </w:rPr>
      </w:pPr>
    </w:p>
    <w:p w:rsidR="005108DC" w:rsidRPr="00CA72C2" w:rsidRDefault="005108DC" w:rsidP="005108DC">
      <w:pPr>
        <w:spacing w:after="120"/>
        <w:ind w:left="425"/>
        <w:jc w:val="both"/>
        <w:rPr>
          <w:b/>
        </w:rPr>
      </w:pPr>
    </w:p>
    <w:sectPr w:rsidR="005108DC" w:rsidRPr="00CA72C2" w:rsidSect="000B0FC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3in;height:3in" o:bullet="t">
        <v:imagedata r:id="rId1" o:title=""/>
      </v:shape>
    </w:pict>
  </w:numPicBullet>
  <w:numPicBullet w:numPicBulletId="1">
    <w:pict>
      <v:shape id="_x0000_i1159" type="#_x0000_t75" style="width:3in;height:3in" o:bullet="t">
        <v:imagedata r:id="rId2" o:title=""/>
      </v:shape>
    </w:pict>
  </w:numPicBullet>
  <w:numPicBullet w:numPicBulletId="2">
    <w:pict>
      <v:shape id="_x0000_i1160" type="#_x0000_t75" style="width:3in;height:3in" o:bullet="t">
        <v:imagedata r:id="rId3" o:title=""/>
      </v:shape>
    </w:pict>
  </w:numPicBullet>
  <w:numPicBullet w:numPicBulletId="3">
    <w:pict>
      <v:shape id="_x0000_i1161" type="#_x0000_t75" style="width:3in;height:3in" o:bullet="t">
        <v:imagedata r:id="rId4" o:title=""/>
      </v:shape>
    </w:pict>
  </w:numPicBullet>
  <w:numPicBullet w:numPicBulletId="4">
    <w:pict>
      <v:shape id="_x0000_i1162" type="#_x0000_t75" style="width:3in;height:3in" o:bullet="t">
        <v:imagedata r:id="rId5" o:title=""/>
      </v:shape>
    </w:pict>
  </w:numPicBullet>
  <w:numPicBullet w:numPicBulletId="5">
    <w:pict>
      <v:shape id="_x0000_i1163" type="#_x0000_t75" style="width:3in;height:3in" o:bullet="t">
        <v:imagedata r:id="rId6" o:title=""/>
      </v:shape>
    </w:pict>
  </w:numPicBullet>
  <w:abstractNum w:abstractNumId="0" w15:restartNumberingAfterBreak="0">
    <w:nsid w:val="03324A75"/>
    <w:multiLevelType w:val="multilevel"/>
    <w:tmpl w:val="2976140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2148"/>
    <w:multiLevelType w:val="multilevel"/>
    <w:tmpl w:val="ECBECC8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06EBA"/>
    <w:multiLevelType w:val="hybridMultilevel"/>
    <w:tmpl w:val="0D1C2994"/>
    <w:lvl w:ilvl="0" w:tplc="FFFFFFFF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3" w15:restartNumberingAfterBreak="0">
    <w:nsid w:val="0EDA7801"/>
    <w:multiLevelType w:val="multilevel"/>
    <w:tmpl w:val="0DC0EBF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4B0749"/>
    <w:multiLevelType w:val="hybridMultilevel"/>
    <w:tmpl w:val="236AF06C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5752E6"/>
    <w:multiLevelType w:val="hybridMultilevel"/>
    <w:tmpl w:val="24123060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97698"/>
    <w:multiLevelType w:val="multilevel"/>
    <w:tmpl w:val="2976140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33F14"/>
    <w:multiLevelType w:val="multilevel"/>
    <w:tmpl w:val="319ECB8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1860DE"/>
    <w:multiLevelType w:val="hybridMultilevel"/>
    <w:tmpl w:val="F9107764"/>
    <w:lvl w:ilvl="0" w:tplc="12301746">
      <w:start w:val="1"/>
      <w:numFmt w:val="decimal"/>
      <w:lvlText w:val="%1."/>
      <w:lvlJc w:val="left"/>
      <w:pPr>
        <w:ind w:left="786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9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6" w:hanging="180"/>
      </w:pPr>
      <w:rPr>
        <w:rFonts w:cs="Times New Roman"/>
      </w:rPr>
    </w:lvl>
  </w:abstractNum>
  <w:abstractNum w:abstractNumId="9" w15:restartNumberingAfterBreak="0">
    <w:nsid w:val="1D3F2D1F"/>
    <w:multiLevelType w:val="hybridMultilevel"/>
    <w:tmpl w:val="A56A78AC"/>
    <w:lvl w:ilvl="0" w:tplc="041B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73DEB"/>
    <w:multiLevelType w:val="hybridMultilevel"/>
    <w:tmpl w:val="4BF68AAA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9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6" w:hanging="180"/>
      </w:pPr>
      <w:rPr>
        <w:rFonts w:cs="Times New Roman"/>
      </w:rPr>
    </w:lvl>
  </w:abstractNum>
  <w:abstractNum w:abstractNumId="11" w15:restartNumberingAfterBreak="0">
    <w:nsid w:val="20157C28"/>
    <w:multiLevelType w:val="hybridMultilevel"/>
    <w:tmpl w:val="B01EDA46"/>
    <w:lvl w:ilvl="0" w:tplc="63FA039C">
      <w:start w:val="3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2" w15:restartNumberingAfterBreak="0">
    <w:nsid w:val="21EE63B4"/>
    <w:multiLevelType w:val="multilevel"/>
    <w:tmpl w:val="5EB837A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2223042"/>
    <w:multiLevelType w:val="hybridMultilevel"/>
    <w:tmpl w:val="115C54FE"/>
    <w:lvl w:ilvl="0" w:tplc="041B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4" w15:restartNumberingAfterBreak="0">
    <w:nsid w:val="2E6C1B35"/>
    <w:multiLevelType w:val="multilevel"/>
    <w:tmpl w:val="D4D0EF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F05D2"/>
    <w:multiLevelType w:val="hybridMultilevel"/>
    <w:tmpl w:val="D4D0EF36"/>
    <w:lvl w:ilvl="0" w:tplc="C60C32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86970"/>
    <w:multiLevelType w:val="hybridMultilevel"/>
    <w:tmpl w:val="5A7E2F36"/>
    <w:lvl w:ilvl="0" w:tplc="768E8086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5264C"/>
    <w:multiLevelType w:val="multilevel"/>
    <w:tmpl w:val="5C14D0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C9D0143"/>
    <w:multiLevelType w:val="hybridMultilevel"/>
    <w:tmpl w:val="E48C6456"/>
    <w:lvl w:ilvl="0" w:tplc="D7705E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FEA4444"/>
    <w:multiLevelType w:val="multilevel"/>
    <w:tmpl w:val="0DC0EBF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0BB08A6"/>
    <w:multiLevelType w:val="hybridMultilevel"/>
    <w:tmpl w:val="1FB241BC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3D512F3"/>
    <w:multiLevelType w:val="multilevel"/>
    <w:tmpl w:val="5C14D0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977230B"/>
    <w:multiLevelType w:val="multilevel"/>
    <w:tmpl w:val="0EAE70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23" w15:restartNumberingAfterBreak="0">
    <w:nsid w:val="52850394"/>
    <w:multiLevelType w:val="hybridMultilevel"/>
    <w:tmpl w:val="7C60E610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040DF"/>
    <w:multiLevelType w:val="hybridMultilevel"/>
    <w:tmpl w:val="D90E8EFC"/>
    <w:lvl w:ilvl="0" w:tplc="768E8086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C19FA"/>
    <w:multiLevelType w:val="multilevel"/>
    <w:tmpl w:val="5EB837A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79422B0"/>
    <w:multiLevelType w:val="multilevel"/>
    <w:tmpl w:val="DE0E418E"/>
    <w:lvl w:ilvl="0">
      <w:start w:val="6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76DD5"/>
    <w:multiLevelType w:val="multilevel"/>
    <w:tmpl w:val="ECBECC8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54E81"/>
    <w:multiLevelType w:val="hybridMultilevel"/>
    <w:tmpl w:val="6660FC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9B77D4"/>
    <w:multiLevelType w:val="multilevel"/>
    <w:tmpl w:val="4FC83E9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30" w15:restartNumberingAfterBreak="0">
    <w:nsid w:val="60084D96"/>
    <w:multiLevelType w:val="hybridMultilevel"/>
    <w:tmpl w:val="62A4C0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D94119F"/>
    <w:multiLevelType w:val="multilevel"/>
    <w:tmpl w:val="4AC4B6B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F096F74"/>
    <w:multiLevelType w:val="hybridMultilevel"/>
    <w:tmpl w:val="78D4D806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84D43"/>
    <w:multiLevelType w:val="hybridMultilevel"/>
    <w:tmpl w:val="890E4C4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72FB5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35" w15:restartNumberingAfterBreak="0">
    <w:nsid w:val="7CF6472E"/>
    <w:multiLevelType w:val="hybridMultilevel"/>
    <w:tmpl w:val="DE0E418E"/>
    <w:lvl w:ilvl="0" w:tplc="3E24467A">
      <w:start w:val="6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9"/>
  </w:num>
  <w:num w:numId="4">
    <w:abstractNumId w:val="30"/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4"/>
  </w:num>
  <w:num w:numId="10">
    <w:abstractNumId w:val="6"/>
  </w:num>
  <w:num w:numId="11">
    <w:abstractNumId w:val="35"/>
  </w:num>
  <w:num w:numId="12">
    <w:abstractNumId w:val="12"/>
  </w:num>
  <w:num w:numId="13">
    <w:abstractNumId w:val="19"/>
  </w:num>
  <w:num w:numId="14">
    <w:abstractNumId w:val="3"/>
  </w:num>
  <w:num w:numId="15">
    <w:abstractNumId w:val="25"/>
  </w:num>
  <w:num w:numId="16">
    <w:abstractNumId w:val="21"/>
  </w:num>
  <w:num w:numId="17">
    <w:abstractNumId w:val="26"/>
  </w:num>
  <w:num w:numId="18">
    <w:abstractNumId w:val="32"/>
  </w:num>
  <w:num w:numId="19">
    <w:abstractNumId w:val="0"/>
  </w:num>
  <w:num w:numId="20">
    <w:abstractNumId w:val="15"/>
  </w:num>
  <w:num w:numId="21">
    <w:abstractNumId w:val="1"/>
  </w:num>
  <w:num w:numId="22">
    <w:abstractNumId w:val="5"/>
  </w:num>
  <w:num w:numId="23">
    <w:abstractNumId w:val="27"/>
  </w:num>
  <w:num w:numId="24">
    <w:abstractNumId w:val="23"/>
  </w:num>
  <w:num w:numId="25">
    <w:abstractNumId w:val="14"/>
  </w:num>
  <w:num w:numId="26">
    <w:abstractNumId w:val="33"/>
  </w:num>
  <w:num w:numId="27">
    <w:abstractNumId w:val="17"/>
  </w:num>
  <w:num w:numId="28">
    <w:abstractNumId w:val="31"/>
  </w:num>
  <w:num w:numId="29">
    <w:abstractNumId w:val="2"/>
  </w:num>
  <w:num w:numId="30">
    <w:abstractNumId w:val="24"/>
  </w:num>
  <w:num w:numId="31">
    <w:abstractNumId w:val="16"/>
  </w:num>
  <w:num w:numId="32">
    <w:abstractNumId w:val="7"/>
  </w:num>
  <w:num w:numId="33">
    <w:abstractNumId w:val="22"/>
  </w:num>
  <w:num w:numId="34">
    <w:abstractNumId w:val="8"/>
  </w:num>
  <w:num w:numId="35">
    <w:abstractNumId w:val="1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250D2"/>
    <w:rsid w:val="0000039C"/>
    <w:rsid w:val="000129B4"/>
    <w:rsid w:val="00025EB1"/>
    <w:rsid w:val="00041973"/>
    <w:rsid w:val="00050567"/>
    <w:rsid w:val="000571E4"/>
    <w:rsid w:val="0006214B"/>
    <w:rsid w:val="000652EA"/>
    <w:rsid w:val="00077F55"/>
    <w:rsid w:val="000A1208"/>
    <w:rsid w:val="000B0FC8"/>
    <w:rsid w:val="000B1A4A"/>
    <w:rsid w:val="000D13E6"/>
    <w:rsid w:val="000D4666"/>
    <w:rsid w:val="000E0B40"/>
    <w:rsid w:val="000E1E4C"/>
    <w:rsid w:val="000E4523"/>
    <w:rsid w:val="000E4533"/>
    <w:rsid w:val="00101A9B"/>
    <w:rsid w:val="00110DE1"/>
    <w:rsid w:val="00114285"/>
    <w:rsid w:val="00126E67"/>
    <w:rsid w:val="00143CF9"/>
    <w:rsid w:val="0016551C"/>
    <w:rsid w:val="001671D7"/>
    <w:rsid w:val="00170AC0"/>
    <w:rsid w:val="00173B37"/>
    <w:rsid w:val="00173EE7"/>
    <w:rsid w:val="001A67B5"/>
    <w:rsid w:val="001B208E"/>
    <w:rsid w:val="001B466A"/>
    <w:rsid w:val="001D24A1"/>
    <w:rsid w:val="001D67D5"/>
    <w:rsid w:val="001D7243"/>
    <w:rsid w:val="001E2B22"/>
    <w:rsid w:val="001E48C2"/>
    <w:rsid w:val="002027A5"/>
    <w:rsid w:val="002045C3"/>
    <w:rsid w:val="00250F4C"/>
    <w:rsid w:val="00261283"/>
    <w:rsid w:val="0026143F"/>
    <w:rsid w:val="00285631"/>
    <w:rsid w:val="002864FD"/>
    <w:rsid w:val="0029716C"/>
    <w:rsid w:val="002A1045"/>
    <w:rsid w:val="002B752A"/>
    <w:rsid w:val="002D276C"/>
    <w:rsid w:val="002D2D98"/>
    <w:rsid w:val="003144B4"/>
    <w:rsid w:val="00355D9F"/>
    <w:rsid w:val="003A1B35"/>
    <w:rsid w:val="003C1C11"/>
    <w:rsid w:val="003C21FE"/>
    <w:rsid w:val="00414ADA"/>
    <w:rsid w:val="00421668"/>
    <w:rsid w:val="00430F89"/>
    <w:rsid w:val="00431621"/>
    <w:rsid w:val="00434CE2"/>
    <w:rsid w:val="00435D33"/>
    <w:rsid w:val="004439DC"/>
    <w:rsid w:val="00447DAC"/>
    <w:rsid w:val="00454A3D"/>
    <w:rsid w:val="0045509E"/>
    <w:rsid w:val="0046444F"/>
    <w:rsid w:val="00466888"/>
    <w:rsid w:val="00473984"/>
    <w:rsid w:val="00476127"/>
    <w:rsid w:val="004A420E"/>
    <w:rsid w:val="004B0E16"/>
    <w:rsid w:val="004B6824"/>
    <w:rsid w:val="004C6048"/>
    <w:rsid w:val="004D2419"/>
    <w:rsid w:val="004D35EC"/>
    <w:rsid w:val="004D398F"/>
    <w:rsid w:val="004F6400"/>
    <w:rsid w:val="00500296"/>
    <w:rsid w:val="00504BF9"/>
    <w:rsid w:val="005104AC"/>
    <w:rsid w:val="005108DC"/>
    <w:rsid w:val="005113A5"/>
    <w:rsid w:val="00512966"/>
    <w:rsid w:val="005160C2"/>
    <w:rsid w:val="005206E9"/>
    <w:rsid w:val="00522403"/>
    <w:rsid w:val="00536260"/>
    <w:rsid w:val="00547742"/>
    <w:rsid w:val="00554AB6"/>
    <w:rsid w:val="005613A8"/>
    <w:rsid w:val="00562EFA"/>
    <w:rsid w:val="00565B0E"/>
    <w:rsid w:val="005710E7"/>
    <w:rsid w:val="00575183"/>
    <w:rsid w:val="005751FC"/>
    <w:rsid w:val="005779FD"/>
    <w:rsid w:val="005901BA"/>
    <w:rsid w:val="005A16E3"/>
    <w:rsid w:val="005B04BB"/>
    <w:rsid w:val="005B19A3"/>
    <w:rsid w:val="005B416D"/>
    <w:rsid w:val="005B4C7A"/>
    <w:rsid w:val="005B6FB8"/>
    <w:rsid w:val="005C26EF"/>
    <w:rsid w:val="005E16AC"/>
    <w:rsid w:val="005E5A8E"/>
    <w:rsid w:val="005F6684"/>
    <w:rsid w:val="00612452"/>
    <w:rsid w:val="0063228F"/>
    <w:rsid w:val="00636FBE"/>
    <w:rsid w:val="00643CC8"/>
    <w:rsid w:val="00661F82"/>
    <w:rsid w:val="00670D59"/>
    <w:rsid w:val="00676395"/>
    <w:rsid w:val="00690CD5"/>
    <w:rsid w:val="006927D1"/>
    <w:rsid w:val="006A5C6D"/>
    <w:rsid w:val="006B0A62"/>
    <w:rsid w:val="006C3192"/>
    <w:rsid w:val="006C4B53"/>
    <w:rsid w:val="006C5142"/>
    <w:rsid w:val="006C79C5"/>
    <w:rsid w:val="006F5CBD"/>
    <w:rsid w:val="006F6949"/>
    <w:rsid w:val="00712949"/>
    <w:rsid w:val="007228D5"/>
    <w:rsid w:val="00722B46"/>
    <w:rsid w:val="00731D7B"/>
    <w:rsid w:val="007441AD"/>
    <w:rsid w:val="007571BD"/>
    <w:rsid w:val="007600F3"/>
    <w:rsid w:val="00774AE0"/>
    <w:rsid w:val="007751DE"/>
    <w:rsid w:val="00777BC7"/>
    <w:rsid w:val="007A40CB"/>
    <w:rsid w:val="007C54A7"/>
    <w:rsid w:val="007C6633"/>
    <w:rsid w:val="007D7210"/>
    <w:rsid w:val="00804690"/>
    <w:rsid w:val="00810816"/>
    <w:rsid w:val="00813957"/>
    <w:rsid w:val="00824E82"/>
    <w:rsid w:val="00825818"/>
    <w:rsid w:val="00825F35"/>
    <w:rsid w:val="00834403"/>
    <w:rsid w:val="00837478"/>
    <w:rsid w:val="00840132"/>
    <w:rsid w:val="00847373"/>
    <w:rsid w:val="00856107"/>
    <w:rsid w:val="00890794"/>
    <w:rsid w:val="008A1B17"/>
    <w:rsid w:val="008A2A96"/>
    <w:rsid w:val="008B2C1A"/>
    <w:rsid w:val="008B5CD0"/>
    <w:rsid w:val="008B7619"/>
    <w:rsid w:val="008C2C91"/>
    <w:rsid w:val="008C5A0E"/>
    <w:rsid w:val="008C6A2C"/>
    <w:rsid w:val="008C7DE7"/>
    <w:rsid w:val="008E698D"/>
    <w:rsid w:val="00900BA4"/>
    <w:rsid w:val="009041B5"/>
    <w:rsid w:val="0091584F"/>
    <w:rsid w:val="00921642"/>
    <w:rsid w:val="00956FE2"/>
    <w:rsid w:val="00971F9C"/>
    <w:rsid w:val="00974FEE"/>
    <w:rsid w:val="00980D64"/>
    <w:rsid w:val="00983A87"/>
    <w:rsid w:val="00984E76"/>
    <w:rsid w:val="009866B8"/>
    <w:rsid w:val="00996566"/>
    <w:rsid w:val="009B3E02"/>
    <w:rsid w:val="009D472C"/>
    <w:rsid w:val="009D53A6"/>
    <w:rsid w:val="00A066CD"/>
    <w:rsid w:val="00A10848"/>
    <w:rsid w:val="00A14220"/>
    <w:rsid w:val="00A460B4"/>
    <w:rsid w:val="00A57AC8"/>
    <w:rsid w:val="00A67B9E"/>
    <w:rsid w:val="00A76646"/>
    <w:rsid w:val="00A811F8"/>
    <w:rsid w:val="00A82A91"/>
    <w:rsid w:val="00A85C81"/>
    <w:rsid w:val="00A8672D"/>
    <w:rsid w:val="00A95335"/>
    <w:rsid w:val="00AA1076"/>
    <w:rsid w:val="00AB78F1"/>
    <w:rsid w:val="00AD17A2"/>
    <w:rsid w:val="00AD2DCA"/>
    <w:rsid w:val="00AE6DE2"/>
    <w:rsid w:val="00AF255A"/>
    <w:rsid w:val="00B242F5"/>
    <w:rsid w:val="00B250D2"/>
    <w:rsid w:val="00B41812"/>
    <w:rsid w:val="00B44961"/>
    <w:rsid w:val="00B514EF"/>
    <w:rsid w:val="00B52466"/>
    <w:rsid w:val="00B53EFF"/>
    <w:rsid w:val="00B54F40"/>
    <w:rsid w:val="00B962B4"/>
    <w:rsid w:val="00BA2A78"/>
    <w:rsid w:val="00BD1752"/>
    <w:rsid w:val="00BD2D57"/>
    <w:rsid w:val="00BD420F"/>
    <w:rsid w:val="00BE1D34"/>
    <w:rsid w:val="00BF20E5"/>
    <w:rsid w:val="00BF402D"/>
    <w:rsid w:val="00BF45A7"/>
    <w:rsid w:val="00C257FC"/>
    <w:rsid w:val="00C31564"/>
    <w:rsid w:val="00C51179"/>
    <w:rsid w:val="00C55327"/>
    <w:rsid w:val="00C62B89"/>
    <w:rsid w:val="00C63798"/>
    <w:rsid w:val="00C64CF9"/>
    <w:rsid w:val="00C66A28"/>
    <w:rsid w:val="00C71E1D"/>
    <w:rsid w:val="00C73239"/>
    <w:rsid w:val="00C757A9"/>
    <w:rsid w:val="00C804E1"/>
    <w:rsid w:val="00C83B8B"/>
    <w:rsid w:val="00C84C00"/>
    <w:rsid w:val="00C95939"/>
    <w:rsid w:val="00C96383"/>
    <w:rsid w:val="00CA72C2"/>
    <w:rsid w:val="00CC1219"/>
    <w:rsid w:val="00CC16AE"/>
    <w:rsid w:val="00CD3529"/>
    <w:rsid w:val="00CD628E"/>
    <w:rsid w:val="00CE1C89"/>
    <w:rsid w:val="00D04742"/>
    <w:rsid w:val="00D17398"/>
    <w:rsid w:val="00D41E01"/>
    <w:rsid w:val="00D548C0"/>
    <w:rsid w:val="00D54BE7"/>
    <w:rsid w:val="00D8728C"/>
    <w:rsid w:val="00D87351"/>
    <w:rsid w:val="00D950D2"/>
    <w:rsid w:val="00DB515C"/>
    <w:rsid w:val="00DB51BF"/>
    <w:rsid w:val="00DC1C3F"/>
    <w:rsid w:val="00DC452A"/>
    <w:rsid w:val="00DD3CB5"/>
    <w:rsid w:val="00DD683E"/>
    <w:rsid w:val="00DE17DE"/>
    <w:rsid w:val="00E03DAF"/>
    <w:rsid w:val="00E23E96"/>
    <w:rsid w:val="00E337D7"/>
    <w:rsid w:val="00E37D8A"/>
    <w:rsid w:val="00E42C25"/>
    <w:rsid w:val="00E4494A"/>
    <w:rsid w:val="00E45D7D"/>
    <w:rsid w:val="00E4651D"/>
    <w:rsid w:val="00E57975"/>
    <w:rsid w:val="00E62192"/>
    <w:rsid w:val="00E72CE3"/>
    <w:rsid w:val="00E7527A"/>
    <w:rsid w:val="00E975A5"/>
    <w:rsid w:val="00EA1077"/>
    <w:rsid w:val="00EA2666"/>
    <w:rsid w:val="00EA26AA"/>
    <w:rsid w:val="00EA6E28"/>
    <w:rsid w:val="00EB14A2"/>
    <w:rsid w:val="00EC571D"/>
    <w:rsid w:val="00ED444C"/>
    <w:rsid w:val="00EF5ED9"/>
    <w:rsid w:val="00F164C0"/>
    <w:rsid w:val="00F213CB"/>
    <w:rsid w:val="00F3392D"/>
    <w:rsid w:val="00F446F8"/>
    <w:rsid w:val="00F52DA9"/>
    <w:rsid w:val="00F5305C"/>
    <w:rsid w:val="00F54134"/>
    <w:rsid w:val="00F56102"/>
    <w:rsid w:val="00F76D8F"/>
    <w:rsid w:val="00F84DFC"/>
    <w:rsid w:val="00F85DAE"/>
    <w:rsid w:val="00FA0FE5"/>
    <w:rsid w:val="00FA3904"/>
    <w:rsid w:val="00FC5ABB"/>
    <w:rsid w:val="00FC6A2A"/>
    <w:rsid w:val="00FE2C53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2D0120-6B7E-4282-BAEA-1FACE2CB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27A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2027A5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2027A5"/>
    <w:pPr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173B37"/>
    <w:rPr>
      <w:rFonts w:cs="Times New Roman"/>
      <w:sz w:val="24"/>
      <w:szCs w:val="24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027A5"/>
    <w:pPr>
      <w:autoSpaceDE w:val="0"/>
      <w:autoSpaceDN w:val="0"/>
      <w:adjustRightInd w:val="0"/>
      <w:ind w:left="720"/>
    </w:pPr>
    <w:rPr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rsid w:val="002027A5"/>
    <w:pPr>
      <w:adjustRightInd w:val="0"/>
      <w:ind w:left="540"/>
    </w:pPr>
    <w:rPr>
      <w:color w:val="00000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Normlnywebov8">
    <w:name w:val="Normálny (webový)8"/>
    <w:basedOn w:val="Normlny"/>
    <w:rsid w:val="0063228F"/>
    <w:pPr>
      <w:spacing w:before="75" w:after="75"/>
      <w:ind w:left="225" w:right="225"/>
    </w:pPr>
    <w:rPr>
      <w:sz w:val="22"/>
      <w:szCs w:val="22"/>
    </w:rPr>
  </w:style>
  <w:style w:type="character" w:styleId="Zvraznenie">
    <w:name w:val="Emphasis"/>
    <w:basedOn w:val="Predvolenpsmoodseku"/>
    <w:uiPriority w:val="20"/>
    <w:qFormat/>
    <w:rsid w:val="00C257FC"/>
    <w:rPr>
      <w:rFonts w:cs="Times New Roman"/>
      <w:i/>
      <w:iCs/>
    </w:rPr>
  </w:style>
  <w:style w:type="paragraph" w:customStyle="1" w:styleId="Zkladntext0">
    <w:name w:val="Základní text"/>
    <w:rsid w:val="008C7DE7"/>
    <w:pPr>
      <w:widowControl w:val="0"/>
      <w:snapToGrid w:val="0"/>
    </w:pPr>
    <w:rPr>
      <w:color w:val="000000"/>
      <w:sz w:val="24"/>
    </w:rPr>
  </w:style>
  <w:style w:type="paragraph" w:customStyle="1" w:styleId="Normlnywebov6">
    <w:name w:val="Normálny (webový)6"/>
    <w:basedOn w:val="Normlny"/>
    <w:rsid w:val="004F6400"/>
    <w:pPr>
      <w:spacing w:before="150" w:after="150"/>
      <w:ind w:left="675" w:right="525"/>
    </w:pPr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68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B6824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5108DC"/>
    <w:rPr>
      <w:rFonts w:cs="Times New Roman"/>
      <w:b/>
      <w:bCs/>
    </w:rPr>
  </w:style>
  <w:style w:type="character" w:customStyle="1" w:styleId="awspan1">
    <w:name w:val="awspan1"/>
    <w:rsid w:val="00F84DFC"/>
    <w:rPr>
      <w:color w:val="000000"/>
      <w:sz w:val="24"/>
    </w:rPr>
  </w:style>
  <w:style w:type="paragraph" w:customStyle="1" w:styleId="Default">
    <w:name w:val="Default"/>
    <w:rsid w:val="00BE1D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08dispositif">
    <w:name w:val="c08dispositif"/>
    <w:basedOn w:val="Normlny"/>
    <w:rsid w:val="00101A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916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504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9166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50469173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50469164">
                  <w:marLeft w:val="3"/>
                  <w:marRight w:val="3"/>
                  <w:marTop w:val="0"/>
                  <w:marBottom w:val="0"/>
                  <w:divBdr>
                    <w:top w:val="single" w:sz="6" w:space="0" w:color="112449"/>
                    <w:left w:val="single" w:sz="6" w:space="0" w:color="112449"/>
                    <w:bottom w:val="single" w:sz="6" w:space="0" w:color="112449"/>
                    <w:right w:val="single" w:sz="6" w:space="0" w:color="112449"/>
                  </w:divBdr>
                </w:div>
              </w:divsChild>
            </w:div>
          </w:divsChild>
        </w:div>
      </w:divsChild>
    </w:div>
    <w:div w:id="504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916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504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917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504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5919-6E17-445E-A1A7-0E478C37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>MFSR</Company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subject/>
  <dc:creator>Zamecnikova Petra</dc:creator>
  <cp:keywords/>
  <dc:description/>
  <cp:lastModifiedBy>Herkova Lenka</cp:lastModifiedBy>
  <cp:revision>10</cp:revision>
  <cp:lastPrinted>2021-09-27T11:58:00Z</cp:lastPrinted>
  <dcterms:created xsi:type="dcterms:W3CDTF">2021-07-21T07:47:00Z</dcterms:created>
  <dcterms:modified xsi:type="dcterms:W3CDTF">2021-10-04T12:01:00Z</dcterms:modified>
</cp:coreProperties>
</file>