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4252"/>
        <w:gridCol w:w="5243"/>
      </w:tblGrid>
      <w:tr w:rsidR="00FC1D09" w:rsidTr="00FD21C7">
        <w:tc>
          <w:tcPr>
            <w:tcW w:w="4252" w:type="dxa"/>
            <w:shd w:val="clear" w:color="auto" w:fill="FFFFFF"/>
          </w:tcPr>
          <w:p w:rsidR="00FC1D09" w:rsidRDefault="00FC1D09" w:rsidP="00FD21C7">
            <w:pPr>
              <w:snapToGrid w:val="0"/>
              <w:jc w:val="both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/>
          </w:tcPr>
          <w:p w:rsidR="00FC1D09" w:rsidRDefault="00FC1D09" w:rsidP="00FD21C7">
            <w:r>
              <w:rPr>
                <w:smallCaps/>
                <w:sz w:val="24"/>
                <w:szCs w:val="24"/>
              </w:rPr>
              <w:t xml:space="preserve">                                       </w:t>
            </w:r>
            <w:r>
              <w:rPr>
                <w:smallCaps/>
                <w:sz w:val="24"/>
                <w:szCs w:val="24"/>
              </w:rPr>
              <w:t>Bratislava:  27</w:t>
            </w:r>
            <w:r>
              <w:rPr>
                <w:smallCaps/>
                <w:sz w:val="24"/>
                <w:szCs w:val="24"/>
              </w:rPr>
              <w:t>.08.2021</w:t>
            </w:r>
          </w:p>
          <w:p w:rsidR="00FC1D09" w:rsidRDefault="00FC1D09" w:rsidP="00FD21C7">
            <w:r>
              <w:rPr>
                <w:smallCaps/>
                <w:sz w:val="24"/>
                <w:szCs w:val="24"/>
              </w:rPr>
              <w:t xml:space="preserve">                                       </w:t>
            </w:r>
            <w:r>
              <w:rPr>
                <w:smallCaps/>
                <w:sz w:val="24"/>
                <w:szCs w:val="24"/>
              </w:rPr>
              <w:t>Číslo: 158</w:t>
            </w:r>
            <w:r>
              <w:rPr>
                <w:smallCaps/>
                <w:sz w:val="24"/>
                <w:szCs w:val="24"/>
              </w:rPr>
              <w:t>/2021</w:t>
            </w:r>
          </w:p>
          <w:p w:rsidR="00FC1D09" w:rsidRDefault="00FC1D09" w:rsidP="00FD21C7">
            <w:r>
              <w:rPr>
                <w:smallCaps/>
                <w:sz w:val="24"/>
                <w:szCs w:val="24"/>
              </w:rPr>
              <w:t xml:space="preserve">                                       Vybavuje: Mgr. </w:t>
            </w:r>
            <w:proofErr w:type="spellStart"/>
            <w:r>
              <w:rPr>
                <w:smallCaps/>
                <w:sz w:val="24"/>
                <w:szCs w:val="24"/>
              </w:rPr>
              <w:t>Hromádková</w:t>
            </w:r>
            <w:proofErr w:type="spellEnd"/>
          </w:p>
        </w:tc>
      </w:tr>
    </w:tbl>
    <w:p w:rsidR="00FC1D09" w:rsidRDefault="00FC1D09" w:rsidP="00FC1D09">
      <w:pPr>
        <w:ind w:right="-2"/>
        <w:jc w:val="center"/>
        <w:rPr>
          <w:sz w:val="24"/>
        </w:rPr>
      </w:pPr>
    </w:p>
    <w:p w:rsidR="00FC1D09" w:rsidRDefault="00FC1D09" w:rsidP="00FC1D09">
      <w:pPr>
        <w:pStyle w:val="Nadpis4"/>
        <w:numPr>
          <w:ilvl w:val="3"/>
          <w:numId w:val="2"/>
        </w:numPr>
        <w:rPr>
          <w:rFonts w:ascii="Arial" w:hAnsi="Arial" w:cs="Arial"/>
          <w:sz w:val="22"/>
        </w:rPr>
      </w:pPr>
    </w:p>
    <w:p w:rsidR="00FC1D09" w:rsidRDefault="00FC1D09" w:rsidP="00FC1D09">
      <w:pPr>
        <w:pStyle w:val="Nadpis4"/>
        <w:numPr>
          <w:ilvl w:val="3"/>
          <w:numId w:val="2"/>
        </w:numPr>
      </w:pPr>
      <w:r>
        <w:rPr>
          <w:rFonts w:ascii="Arial" w:hAnsi="Arial" w:cs="Arial"/>
          <w:spacing w:val="20"/>
          <w:sz w:val="32"/>
        </w:rPr>
        <w:t>stanovisko komisie</w:t>
      </w:r>
      <w:r>
        <w:rPr>
          <w:rFonts w:ascii="Arial" w:hAnsi="Arial" w:cs="Arial"/>
          <w:sz w:val="22"/>
        </w:rPr>
        <w:t xml:space="preserve"> </w:t>
      </w:r>
    </w:p>
    <w:p w:rsidR="00FC1D09" w:rsidRDefault="00FC1D09" w:rsidP="00FC1D09">
      <w:pPr>
        <w:ind w:right="-2"/>
        <w:jc w:val="center"/>
        <w:rPr>
          <w:rFonts w:ascii="Arial" w:hAnsi="Arial" w:cs="Arial"/>
          <w:b/>
          <w:smallCaps/>
          <w:sz w:val="22"/>
        </w:rPr>
      </w:pPr>
    </w:p>
    <w:p w:rsidR="00FC1D09" w:rsidRDefault="00FC1D09" w:rsidP="00FC1D09">
      <w:pPr>
        <w:ind w:right="-2"/>
        <w:jc w:val="center"/>
      </w:pPr>
      <w:r>
        <w:rPr>
          <w:rFonts w:ascii="Arial" w:hAnsi="Arial" w:cs="Arial"/>
          <w:b/>
          <w:smallCaps/>
          <w:sz w:val="22"/>
        </w:rPr>
        <w:t>(predbežné pripomienkové konanie)</w:t>
      </w:r>
    </w:p>
    <w:p w:rsidR="00FC1D09" w:rsidRDefault="00FC1D09" w:rsidP="00FC1D09">
      <w:pPr>
        <w:ind w:right="-2"/>
        <w:jc w:val="center"/>
        <w:rPr>
          <w:rFonts w:ascii="Arial" w:hAnsi="Arial" w:cs="Arial"/>
          <w:b/>
          <w:smallCaps/>
          <w:sz w:val="22"/>
        </w:rPr>
      </w:pPr>
    </w:p>
    <w:p w:rsidR="00FC1D09" w:rsidRDefault="00FC1D09" w:rsidP="00FC1D09">
      <w:pPr>
        <w:ind w:right="-2"/>
        <w:jc w:val="center"/>
      </w:pPr>
      <w:r>
        <w:rPr>
          <w:rFonts w:ascii="Arial" w:hAnsi="Arial" w:cs="Arial"/>
          <w:b/>
          <w:smallCaps/>
          <w:sz w:val="22"/>
        </w:rPr>
        <w:t>k materiálu</w:t>
      </w:r>
    </w:p>
    <w:p w:rsidR="00FC1D09" w:rsidRDefault="00FC1D09" w:rsidP="00FC1D09">
      <w:pPr>
        <w:ind w:right="-2"/>
        <w:jc w:val="center"/>
        <w:rPr>
          <w:rFonts w:ascii="Arial" w:hAnsi="Arial" w:cs="Arial"/>
          <w:b/>
          <w:smallCaps/>
          <w:sz w:val="22"/>
        </w:rPr>
      </w:pPr>
    </w:p>
    <w:p w:rsidR="00FC1D09" w:rsidRPr="00055F98" w:rsidRDefault="00FC1D09" w:rsidP="00FC1D09">
      <w:pPr>
        <w:pStyle w:val="Nadpis4"/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Zákon, ktorým sa mení a dopĺňa zákon č.185/2015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Autorský zákon v znení neskorších predpisov</w:t>
      </w:r>
    </w:p>
    <w:p w:rsidR="00FC1D09" w:rsidRDefault="00FC1D09" w:rsidP="00FC1D09">
      <w:pPr>
        <w:jc w:val="both"/>
        <w:rPr>
          <w:rFonts w:ascii="Arial" w:hAnsi="Arial" w:cs="Arial"/>
          <w:b/>
          <w:bCs/>
          <w:sz w:val="24"/>
          <w:szCs w:val="22"/>
        </w:rPr>
      </w:pPr>
    </w:p>
    <w:p w:rsidR="00FC1D09" w:rsidRPr="005953D9" w:rsidRDefault="00FC1D09" w:rsidP="00FC1D09">
      <w:pPr>
        <w:jc w:val="both"/>
        <w:rPr>
          <w:rFonts w:ascii="Arial" w:hAnsi="Arial" w:cs="Arial"/>
          <w:bCs/>
          <w:i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I. Úvod: </w:t>
      </w:r>
      <w:r>
        <w:rPr>
          <w:rFonts w:ascii="Arial" w:hAnsi="Arial" w:cs="Arial"/>
          <w:bCs/>
          <w:sz w:val="24"/>
          <w:szCs w:val="22"/>
        </w:rPr>
        <w:t>Ministerstvo</w:t>
      </w:r>
      <w:r>
        <w:rPr>
          <w:rFonts w:ascii="Arial" w:hAnsi="Arial" w:cs="Arial"/>
          <w:bCs/>
          <w:sz w:val="24"/>
          <w:szCs w:val="22"/>
        </w:rPr>
        <w:t xml:space="preserve"> kultúry SR dňa 18</w:t>
      </w:r>
      <w:r>
        <w:rPr>
          <w:rFonts w:ascii="Arial" w:hAnsi="Arial" w:cs="Arial"/>
          <w:bCs/>
          <w:sz w:val="24"/>
          <w:szCs w:val="22"/>
        </w:rPr>
        <w:t>. augusta 2021 predložilo na PPK materiál „</w:t>
      </w:r>
      <w:r>
        <w:rPr>
          <w:rFonts w:ascii="Arial" w:hAnsi="Arial" w:cs="Arial"/>
          <w:bCs/>
          <w:i/>
          <w:sz w:val="24"/>
          <w:szCs w:val="22"/>
        </w:rPr>
        <w:t xml:space="preserve">Zákon, ktorým sa mení a dopĺňa zákon č.185/2015 </w:t>
      </w:r>
      <w:proofErr w:type="spellStart"/>
      <w:r>
        <w:rPr>
          <w:rFonts w:ascii="Arial" w:hAnsi="Arial" w:cs="Arial"/>
          <w:bCs/>
          <w:i/>
          <w:sz w:val="24"/>
          <w:szCs w:val="22"/>
        </w:rPr>
        <w:t>Z.z</w:t>
      </w:r>
      <w:proofErr w:type="spellEnd"/>
      <w:r>
        <w:rPr>
          <w:rFonts w:ascii="Arial" w:hAnsi="Arial" w:cs="Arial"/>
          <w:bCs/>
          <w:i/>
          <w:sz w:val="24"/>
          <w:szCs w:val="22"/>
        </w:rPr>
        <w:t>. Autorský zákon v znení neskorších predpisov</w:t>
      </w:r>
      <w:r>
        <w:rPr>
          <w:rFonts w:ascii="Arial" w:hAnsi="Arial" w:cs="Arial"/>
          <w:bCs/>
          <w:i/>
          <w:sz w:val="24"/>
          <w:szCs w:val="22"/>
        </w:rPr>
        <w:t>“.</w:t>
      </w:r>
      <w:r>
        <w:rPr>
          <w:rFonts w:ascii="Arial" w:hAnsi="Arial" w:cs="Arial"/>
          <w:bCs/>
          <w:iCs/>
          <w:sz w:val="24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2"/>
        </w:rPr>
        <w:t xml:space="preserve">Materiál predpokladá pozitívno-negatívne vplyvy na </w:t>
      </w:r>
      <w:r>
        <w:rPr>
          <w:rFonts w:ascii="Arial" w:hAnsi="Arial" w:cs="Arial"/>
          <w:bCs/>
          <w:iCs/>
          <w:color w:val="000000"/>
          <w:sz w:val="24"/>
          <w:szCs w:val="22"/>
        </w:rPr>
        <w:t>podnikateľské prostredie, vrátane pozitívno-negatívnych vplyvov na MSP.</w:t>
      </w:r>
    </w:p>
    <w:p w:rsidR="00FC1D09" w:rsidRDefault="00FC1D09" w:rsidP="00FC1D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C1D09" w:rsidRDefault="00FC1D09" w:rsidP="00FC1D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C1D09" w:rsidRDefault="00FC1D09" w:rsidP="00FC1D09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II. P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ipomienky a návrhy zm</w:t>
      </w:r>
      <w:r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bCs/>
          <w:sz w:val="24"/>
          <w:szCs w:val="24"/>
        </w:rPr>
        <w:t xml:space="preserve">n: </w:t>
      </w:r>
      <w:r>
        <w:rPr>
          <w:rFonts w:ascii="Arial" w:hAnsi="Arial" w:cs="Arial"/>
          <w:bCs/>
          <w:sz w:val="24"/>
          <w:szCs w:val="22"/>
        </w:rPr>
        <w:t>Komisia uplatňuje k materiálu nasledovné pripomienky a odporúčania:</w:t>
      </w:r>
    </w:p>
    <w:p w:rsidR="00FC1D09" w:rsidRDefault="00FC1D09" w:rsidP="00FC1D09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2"/>
        </w:rPr>
      </w:pPr>
    </w:p>
    <w:p w:rsidR="00FC1D09" w:rsidRDefault="00FC1D09" w:rsidP="00FC1D09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2"/>
        </w:rPr>
      </w:pPr>
    </w:p>
    <w:p w:rsidR="00FC1D09" w:rsidRDefault="00FC1D09" w:rsidP="00FC1D09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K doložke vybraných vplyvov</w:t>
      </w:r>
    </w:p>
    <w:p w:rsidR="00FC1D09" w:rsidRPr="00FC1D09" w:rsidRDefault="00FC1D09" w:rsidP="00785D0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FC1D09">
        <w:rPr>
          <w:rFonts w:ascii="Arial" w:hAnsi="Arial" w:cs="Arial"/>
          <w:sz w:val="24"/>
          <w:szCs w:val="24"/>
        </w:rPr>
        <w:t>V D</w:t>
      </w:r>
      <w:r w:rsidR="00785D02">
        <w:rPr>
          <w:rFonts w:ascii="Arial" w:hAnsi="Arial" w:cs="Arial"/>
          <w:sz w:val="24"/>
          <w:szCs w:val="24"/>
        </w:rPr>
        <w:t>oložke vybraných vplyvov žiada Komisia</w:t>
      </w:r>
      <w:r w:rsidRPr="00FC1D09">
        <w:rPr>
          <w:rFonts w:ascii="Arial" w:hAnsi="Arial" w:cs="Arial"/>
          <w:sz w:val="24"/>
          <w:szCs w:val="24"/>
        </w:rPr>
        <w:t xml:space="preserve">  vyznačiť v bode 9. Vybrané vplyvy materiálu, že na materiál sa vzťahuje mechanizmus znižovania byrokracie a nákladov. </w:t>
      </w:r>
    </w:p>
    <w:p w:rsidR="00FC1D09" w:rsidRPr="00FC1D09" w:rsidRDefault="00FC1D09" w:rsidP="00785D02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FC1D09" w:rsidRDefault="00FC1D09" w:rsidP="00FC1D09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2"/>
        </w:rPr>
      </w:pPr>
    </w:p>
    <w:p w:rsidR="00FC1D09" w:rsidRDefault="00FC1D09" w:rsidP="00FC1D09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2"/>
        </w:rPr>
      </w:pPr>
      <w:r w:rsidRPr="00BD3DDC">
        <w:rPr>
          <w:rFonts w:ascii="Arial" w:hAnsi="Arial" w:cs="Arial"/>
          <w:b/>
          <w:bCs/>
          <w:sz w:val="24"/>
          <w:szCs w:val="22"/>
        </w:rPr>
        <w:t>K vplyvom na rozpočet verejnej správy</w:t>
      </w:r>
    </w:p>
    <w:p w:rsidR="00FC1D09" w:rsidRPr="00FC1D09" w:rsidRDefault="00FC1D09" w:rsidP="00FC1D0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FC1D09">
        <w:rPr>
          <w:rFonts w:ascii="Arial" w:hAnsi="Arial" w:cs="Arial"/>
          <w:sz w:val="24"/>
          <w:szCs w:val="24"/>
        </w:rPr>
        <w:t xml:space="preserve">Podľa doložky vybraných vplyvov nemá predložený návrh vplyv na rozpočet verejnej správy. V bode </w:t>
      </w:r>
      <w:r w:rsidRPr="00FC1D09">
        <w:rPr>
          <w:rFonts w:ascii="Arial" w:hAnsi="Arial" w:cs="Arial"/>
          <w:i/>
          <w:iCs/>
          <w:sz w:val="24"/>
          <w:szCs w:val="24"/>
        </w:rPr>
        <w:t>10. Poznámky</w:t>
      </w:r>
      <w:r w:rsidRPr="00FC1D09">
        <w:rPr>
          <w:rFonts w:ascii="Arial" w:hAnsi="Arial" w:cs="Arial"/>
          <w:sz w:val="24"/>
          <w:szCs w:val="24"/>
        </w:rPr>
        <w:t xml:space="preserve"> je uvedené, že vplyv na rozpočet verejnej správy je neutrálny.</w:t>
      </w:r>
    </w:p>
    <w:p w:rsidR="00FC1D09" w:rsidRPr="00FC1D09" w:rsidRDefault="00FC1D09" w:rsidP="00FC1D09">
      <w:pPr>
        <w:jc w:val="both"/>
        <w:rPr>
          <w:rFonts w:ascii="Arial" w:hAnsi="Arial" w:cs="Arial"/>
          <w:sz w:val="24"/>
          <w:szCs w:val="24"/>
        </w:rPr>
      </w:pPr>
      <w:r w:rsidRPr="00FC1D09">
        <w:rPr>
          <w:rFonts w:ascii="Arial" w:hAnsi="Arial" w:cs="Arial"/>
          <w:sz w:val="24"/>
          <w:szCs w:val="24"/>
        </w:rPr>
        <w:t xml:space="preserve">Predloženým návrhom sa v § 12 zákona ustanovujú ďalší národní koordinátori (Hudobné centrum, Slovenský filmový ústav, Slovenské centrum dizajnu), okrem Slovenskej národnej knižnice,  na zabezpečenie procesu zisťovania statusu obchodne nedostupného diela a na zasielanie informácií do portálu EUIPO. Predkladateľ v bode </w:t>
      </w:r>
      <w:r w:rsidRPr="00FC1D09">
        <w:rPr>
          <w:rFonts w:ascii="Arial" w:hAnsi="Arial" w:cs="Arial"/>
          <w:i/>
          <w:iCs/>
          <w:sz w:val="24"/>
          <w:szCs w:val="24"/>
        </w:rPr>
        <w:t>10. Poznámky</w:t>
      </w:r>
      <w:r w:rsidRPr="00FC1D09">
        <w:rPr>
          <w:rFonts w:ascii="Arial" w:hAnsi="Arial" w:cs="Arial"/>
          <w:sz w:val="24"/>
          <w:szCs w:val="24"/>
        </w:rPr>
        <w:t xml:space="preserve"> doložky vybraných vplyvov uvádza, že uvedené si nevyžiada navýšenie kapacít a vplyv na rozpočet verejnej správy bude neutrálny. </w:t>
      </w:r>
    </w:p>
    <w:p w:rsidR="00FC1D09" w:rsidRPr="00FC1D09" w:rsidRDefault="00FC1D09" w:rsidP="00FC1D09">
      <w:pPr>
        <w:jc w:val="both"/>
        <w:rPr>
          <w:rFonts w:ascii="Arial" w:hAnsi="Arial" w:cs="Arial"/>
          <w:sz w:val="24"/>
          <w:szCs w:val="24"/>
        </w:rPr>
      </w:pPr>
      <w:r w:rsidRPr="00FC1D09">
        <w:rPr>
          <w:rFonts w:ascii="Arial" w:hAnsi="Arial" w:cs="Arial"/>
          <w:sz w:val="24"/>
          <w:szCs w:val="24"/>
        </w:rPr>
        <w:t>Takisto sa v  § 142 zavádza povinnosť nezávislého subjektu správy oznámiť MK SR informáciu o výkone správy práv na území SR. MK SR bude viesť evidenciu týchto subjektov na svojom webovom sídle, môže vykonávať nad týmito subjektami účinný dohľad a je povinné Európskej komisii reportovať údaje o pôsobení týchto subjektov.</w:t>
      </w:r>
    </w:p>
    <w:p w:rsidR="00FC1D09" w:rsidRPr="00FC1D09" w:rsidRDefault="00FC1D09" w:rsidP="00FC1D09">
      <w:pPr>
        <w:jc w:val="both"/>
        <w:rPr>
          <w:rFonts w:ascii="Arial" w:hAnsi="Arial" w:cs="Arial"/>
          <w:sz w:val="24"/>
          <w:szCs w:val="24"/>
        </w:rPr>
      </w:pPr>
    </w:p>
    <w:p w:rsidR="00FC1D09" w:rsidRDefault="00FC1D09" w:rsidP="00FC1D09">
      <w:pPr>
        <w:jc w:val="both"/>
        <w:rPr>
          <w:rFonts w:ascii="Arial" w:hAnsi="Arial" w:cs="Arial"/>
          <w:sz w:val="24"/>
          <w:szCs w:val="24"/>
        </w:rPr>
      </w:pPr>
      <w:r w:rsidRPr="00FC1D09">
        <w:rPr>
          <w:rFonts w:ascii="Arial" w:hAnsi="Arial" w:cs="Arial"/>
          <w:sz w:val="24"/>
          <w:szCs w:val="24"/>
        </w:rPr>
        <w:t xml:space="preserve">Vzhľadom na uvedené, </w:t>
      </w:r>
      <w:r>
        <w:rPr>
          <w:rFonts w:ascii="Arial" w:hAnsi="Arial" w:cs="Arial"/>
          <w:sz w:val="24"/>
          <w:szCs w:val="24"/>
        </w:rPr>
        <w:t>Komisia zásadne žiada</w:t>
      </w:r>
      <w:r w:rsidRPr="00FC1D09">
        <w:rPr>
          <w:rFonts w:ascii="Arial" w:hAnsi="Arial" w:cs="Arial"/>
          <w:sz w:val="24"/>
          <w:szCs w:val="24"/>
        </w:rPr>
        <w:t xml:space="preserve"> do bodu </w:t>
      </w:r>
      <w:r w:rsidRPr="00FC1D09">
        <w:rPr>
          <w:rFonts w:ascii="Arial" w:hAnsi="Arial" w:cs="Arial"/>
          <w:i/>
          <w:iCs/>
          <w:sz w:val="24"/>
          <w:szCs w:val="24"/>
        </w:rPr>
        <w:t xml:space="preserve">10. Poznámky </w:t>
      </w:r>
      <w:r>
        <w:rPr>
          <w:rFonts w:ascii="Arial" w:hAnsi="Arial" w:cs="Arial"/>
          <w:sz w:val="24"/>
          <w:szCs w:val="24"/>
        </w:rPr>
        <w:t>D</w:t>
      </w:r>
      <w:r w:rsidRPr="00FC1D09">
        <w:rPr>
          <w:rFonts w:ascii="Arial" w:hAnsi="Arial" w:cs="Arial"/>
          <w:sz w:val="24"/>
          <w:szCs w:val="24"/>
        </w:rPr>
        <w:t xml:space="preserve">oložky vybraných vplyvov uviesť, že z dôvodu zvýšenia počtu národných koordinátorov a zavedenia nových povinností pre MK SR nevzniknú zvýšené požiadavky na rozpočet verejnej správy a realizácia novely zákona bude zabezpečená v rámci schválených </w:t>
      </w:r>
      <w:r w:rsidRPr="00FC1D09">
        <w:rPr>
          <w:rFonts w:ascii="Arial" w:hAnsi="Arial" w:cs="Arial"/>
          <w:sz w:val="24"/>
          <w:szCs w:val="24"/>
        </w:rPr>
        <w:lastRenderedPageBreak/>
        <w:t xml:space="preserve">limitov výdavkov kapitoly MK SR na príslušný rozpočtový rok. Vetu „Vplyv na rozpočet verejnej správy sa preto pokladá za neutrálny.“ </w:t>
      </w:r>
      <w:r>
        <w:rPr>
          <w:rFonts w:ascii="Arial" w:hAnsi="Arial" w:cs="Arial"/>
          <w:sz w:val="24"/>
          <w:szCs w:val="24"/>
        </w:rPr>
        <w:t>ž</w:t>
      </w:r>
      <w:r w:rsidRPr="00FC1D09">
        <w:rPr>
          <w:rFonts w:ascii="Arial" w:hAnsi="Arial" w:cs="Arial"/>
          <w:sz w:val="24"/>
          <w:szCs w:val="24"/>
        </w:rPr>
        <w:t>iadame</w:t>
      </w:r>
      <w:r>
        <w:rPr>
          <w:rFonts w:ascii="Arial" w:hAnsi="Arial" w:cs="Arial"/>
          <w:sz w:val="24"/>
          <w:szCs w:val="24"/>
        </w:rPr>
        <w:t xml:space="preserve"> Komisia</w:t>
      </w:r>
      <w:r w:rsidRPr="00FC1D09">
        <w:rPr>
          <w:rFonts w:ascii="Arial" w:hAnsi="Arial" w:cs="Arial"/>
          <w:sz w:val="24"/>
          <w:szCs w:val="24"/>
        </w:rPr>
        <w:t xml:space="preserve"> vypustiť.</w:t>
      </w:r>
    </w:p>
    <w:p w:rsidR="00FC1D09" w:rsidRPr="00FC1D09" w:rsidRDefault="00FC1D09" w:rsidP="00FC1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upozorňuje</w:t>
      </w:r>
      <w:r w:rsidRPr="00FC1D09">
        <w:rPr>
          <w:rFonts w:ascii="Arial" w:hAnsi="Arial" w:cs="Arial"/>
          <w:sz w:val="24"/>
          <w:szCs w:val="24"/>
        </w:rPr>
        <w:t>, že vo vlastnom materiáli je uvedená účinnosť od 1. januára 2021.</w:t>
      </w:r>
    </w:p>
    <w:p w:rsidR="00FC1D09" w:rsidRDefault="00FC1D09" w:rsidP="00FC1D09">
      <w:pPr>
        <w:rPr>
          <w:rFonts w:ascii="Arial" w:hAnsi="Arial" w:cs="Arial"/>
          <w:b/>
          <w:sz w:val="24"/>
          <w:szCs w:val="24"/>
        </w:rPr>
      </w:pPr>
    </w:p>
    <w:p w:rsidR="00FC1D09" w:rsidRPr="00C577A1" w:rsidRDefault="00FC1D09" w:rsidP="00FC1D09">
      <w:pPr>
        <w:rPr>
          <w:rFonts w:ascii="Arial" w:hAnsi="Arial" w:cs="Arial"/>
          <w:b/>
          <w:sz w:val="24"/>
          <w:szCs w:val="24"/>
        </w:rPr>
      </w:pPr>
      <w:r w:rsidRPr="00C577A1">
        <w:rPr>
          <w:rFonts w:ascii="Arial" w:hAnsi="Arial" w:cs="Arial"/>
          <w:b/>
          <w:sz w:val="24"/>
          <w:szCs w:val="24"/>
        </w:rPr>
        <w:t>K vplyvom na podnikateľské prostredie</w:t>
      </w:r>
    </w:p>
    <w:p w:rsidR="00785D02" w:rsidRPr="00785D02" w:rsidRDefault="00785D02" w:rsidP="00785D0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85D02">
        <w:rPr>
          <w:rFonts w:ascii="Arial" w:hAnsi="Arial" w:cs="Arial"/>
          <w:sz w:val="24"/>
          <w:szCs w:val="24"/>
        </w:rPr>
        <w:t>V Analýze vplyvov na po</w:t>
      </w:r>
      <w:r>
        <w:rPr>
          <w:rFonts w:ascii="Arial" w:hAnsi="Arial" w:cs="Arial"/>
          <w:sz w:val="24"/>
          <w:szCs w:val="24"/>
        </w:rPr>
        <w:t>dnikateľské prostredie,  žiada Komisia</w:t>
      </w:r>
      <w:r w:rsidRPr="00785D02">
        <w:rPr>
          <w:rFonts w:ascii="Arial" w:hAnsi="Arial" w:cs="Arial"/>
          <w:sz w:val="24"/>
          <w:szCs w:val="24"/>
        </w:rPr>
        <w:t xml:space="preserve"> vyčíslenie vplyvov na základe použitia kalkulačky nákladov regulácie zverejnenej na stránke MH SR. V prípade, že vyčísleni</w:t>
      </w:r>
      <w:r>
        <w:rPr>
          <w:rFonts w:ascii="Arial" w:hAnsi="Arial" w:cs="Arial"/>
          <w:sz w:val="24"/>
          <w:szCs w:val="24"/>
        </w:rPr>
        <w:t>e nákladov nie je možné, žiada Komisia</w:t>
      </w:r>
      <w:r w:rsidRPr="00785D02">
        <w:rPr>
          <w:rFonts w:ascii="Arial" w:hAnsi="Arial" w:cs="Arial"/>
          <w:sz w:val="24"/>
          <w:szCs w:val="24"/>
        </w:rPr>
        <w:t xml:space="preserve"> vyčíslenie nákladov na modelové prípady. </w:t>
      </w:r>
    </w:p>
    <w:p w:rsidR="00785D02" w:rsidRPr="00785D02" w:rsidRDefault="00785D02" w:rsidP="00785D02">
      <w:pPr>
        <w:jc w:val="both"/>
        <w:rPr>
          <w:rFonts w:ascii="Arial" w:hAnsi="Arial" w:cs="Arial"/>
          <w:sz w:val="24"/>
          <w:szCs w:val="24"/>
        </w:rPr>
      </w:pPr>
      <w:r w:rsidRPr="00785D02">
        <w:rPr>
          <w:rFonts w:ascii="Arial" w:hAnsi="Arial" w:cs="Arial"/>
          <w:b/>
          <w:sz w:val="24"/>
          <w:szCs w:val="24"/>
          <w:u w:val="single"/>
        </w:rPr>
        <w:t>Odôvodnenie :</w:t>
      </w:r>
      <w:r>
        <w:rPr>
          <w:rFonts w:ascii="Arial" w:hAnsi="Arial" w:cs="Arial"/>
          <w:sz w:val="24"/>
          <w:szCs w:val="24"/>
        </w:rPr>
        <w:t xml:space="preserve"> </w:t>
      </w:r>
      <w:r w:rsidRPr="00785D02">
        <w:rPr>
          <w:rFonts w:ascii="Arial" w:hAnsi="Arial" w:cs="Arial"/>
          <w:sz w:val="24"/>
          <w:szCs w:val="24"/>
        </w:rPr>
        <w:t>Na časť predkladaného návrhu zákona sa nevzťahuje transpozíc</w:t>
      </w:r>
      <w:r>
        <w:rPr>
          <w:rFonts w:ascii="Arial" w:hAnsi="Arial" w:cs="Arial"/>
          <w:sz w:val="24"/>
          <w:szCs w:val="24"/>
        </w:rPr>
        <w:t>ia práva EU, preto je potrebné</w:t>
      </w:r>
      <w:r w:rsidRPr="00785D02">
        <w:rPr>
          <w:rFonts w:ascii="Arial" w:hAnsi="Arial" w:cs="Arial"/>
          <w:sz w:val="24"/>
          <w:szCs w:val="24"/>
        </w:rPr>
        <w:t xml:space="preserve"> v Doložke vybraných vplyvov vyznačiť , že na materiál sa vzťahuje mechanizmus znižovania byrokr</w:t>
      </w:r>
      <w:r>
        <w:rPr>
          <w:rFonts w:ascii="Arial" w:hAnsi="Arial" w:cs="Arial"/>
          <w:sz w:val="24"/>
          <w:szCs w:val="24"/>
        </w:rPr>
        <w:t xml:space="preserve">acie.  Z uvedeného dôvodu </w:t>
      </w:r>
      <w:r w:rsidRPr="00785D02">
        <w:rPr>
          <w:rFonts w:ascii="Arial" w:hAnsi="Arial" w:cs="Arial"/>
          <w:sz w:val="24"/>
          <w:szCs w:val="24"/>
        </w:rPr>
        <w:t xml:space="preserve">je potrebné uvedené náklady vyčísliť v analýze vplyvov a vyplniť v súhrnnej tabuľke nákladov regulácie  IN / OUT , kde v bode F je uvedená úplná harmonizácia, ktorá sa nezapočíta do mechanizmu znižovania byrokracie a nákladov. </w:t>
      </w:r>
    </w:p>
    <w:p w:rsidR="00785D02" w:rsidRDefault="00785D02" w:rsidP="00785D02">
      <w:pPr>
        <w:jc w:val="both"/>
        <w:rPr>
          <w:rFonts w:ascii="Arial" w:hAnsi="Arial" w:cs="Arial"/>
          <w:bCs/>
          <w:sz w:val="24"/>
          <w:szCs w:val="24"/>
        </w:rPr>
      </w:pPr>
    </w:p>
    <w:p w:rsidR="00FC1D09" w:rsidRPr="00785D02" w:rsidRDefault="00785D02" w:rsidP="00785D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Komisia</w:t>
      </w:r>
      <w:bookmarkStart w:id="0" w:name="_GoBack"/>
      <w:bookmarkEnd w:id="0"/>
      <w:r w:rsidRPr="00785D02">
        <w:rPr>
          <w:rFonts w:ascii="Arial" w:hAnsi="Arial" w:cs="Arial"/>
          <w:bCs/>
          <w:sz w:val="24"/>
          <w:szCs w:val="24"/>
        </w:rPr>
        <w:t xml:space="preserve"> žiada predkladateľa o </w:t>
      </w:r>
      <w:r w:rsidRPr="00785D02">
        <w:rPr>
          <w:rFonts w:ascii="Arial" w:hAnsi="Arial" w:cs="Arial"/>
          <w:b/>
          <w:bCs/>
          <w:sz w:val="24"/>
          <w:szCs w:val="24"/>
        </w:rPr>
        <w:t>kvantifikáciu odhadovaných nákladov/úspor regulácie</w:t>
      </w:r>
      <w:r w:rsidRPr="00785D02">
        <w:rPr>
          <w:rFonts w:ascii="Arial" w:hAnsi="Arial" w:cs="Arial"/>
          <w:bCs/>
          <w:sz w:val="24"/>
          <w:szCs w:val="24"/>
        </w:rPr>
        <w:t xml:space="preserve"> v </w:t>
      </w:r>
      <w:r w:rsidRPr="00785D02">
        <w:rPr>
          <w:rFonts w:ascii="Arial" w:hAnsi="Arial" w:cs="Arial"/>
          <w:bCs/>
          <w:i/>
          <w:sz w:val="24"/>
          <w:szCs w:val="24"/>
        </w:rPr>
        <w:t>Analýze vplyvov na podnikateľské prostredie</w:t>
      </w:r>
      <w:r w:rsidRPr="00785D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5D02">
        <w:rPr>
          <w:rFonts w:ascii="Arial" w:hAnsi="Arial" w:cs="Arial"/>
          <w:bCs/>
          <w:sz w:val="24"/>
          <w:szCs w:val="24"/>
        </w:rPr>
        <w:t xml:space="preserve">a to v každom prípade, v ktorom je takáto kvantifikácia možná, a tiež o následné dopracovanie a vyplnenie tabuľky v časti 3.1.1 Súhrnná tabuľka nákladov regulácie </w:t>
      </w:r>
      <w:r w:rsidRPr="00785D02">
        <w:rPr>
          <w:rFonts w:ascii="Arial" w:hAnsi="Arial" w:cs="Arial"/>
          <w:bCs/>
          <w:i/>
          <w:sz w:val="24"/>
          <w:szCs w:val="24"/>
        </w:rPr>
        <w:t>Analýzy vplyvov na podnikateľské prostredie</w:t>
      </w:r>
    </w:p>
    <w:p w:rsidR="00FC1D09" w:rsidRDefault="00FC1D09" w:rsidP="00FC1D09">
      <w:pPr>
        <w:rPr>
          <w:rFonts w:ascii="Arial Narrow" w:hAnsi="Arial Narrow"/>
        </w:rPr>
      </w:pPr>
    </w:p>
    <w:p w:rsidR="00FC1D09" w:rsidRPr="00C577A1" w:rsidRDefault="00FC1D09" w:rsidP="00FC1D09">
      <w:pPr>
        <w:tabs>
          <w:tab w:val="center" w:pos="6379"/>
        </w:tabs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 </w:t>
      </w:r>
      <w:r w:rsidRPr="00C577A1">
        <w:rPr>
          <w:rFonts w:ascii="Arial" w:hAnsi="Arial" w:cs="Arial"/>
          <w:b/>
          <w:bCs/>
          <w:sz w:val="24"/>
          <w:szCs w:val="24"/>
        </w:rPr>
        <w:t>vp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C577A1">
        <w:rPr>
          <w:rFonts w:ascii="Arial" w:hAnsi="Arial" w:cs="Arial"/>
          <w:b/>
          <w:bCs/>
          <w:sz w:val="24"/>
          <w:szCs w:val="24"/>
        </w:rPr>
        <w:t>yvom</w:t>
      </w:r>
      <w:r>
        <w:rPr>
          <w:rFonts w:ascii="Arial" w:hAnsi="Arial" w:cs="Arial"/>
          <w:b/>
          <w:bCs/>
          <w:sz w:val="24"/>
          <w:szCs w:val="24"/>
        </w:rPr>
        <w:t xml:space="preserve"> na informatizáciu spoločnosti</w:t>
      </w:r>
    </w:p>
    <w:p w:rsidR="00FC1D09" w:rsidRPr="00785D02" w:rsidRDefault="00785D02" w:rsidP="00785D02">
      <w:pPr>
        <w:tabs>
          <w:tab w:val="center" w:pos="6379"/>
        </w:tabs>
        <w:ind w:right="-2"/>
        <w:jc w:val="both"/>
        <w:rPr>
          <w:rFonts w:ascii="Arial" w:hAnsi="Arial" w:cs="Arial"/>
          <w:bCs/>
          <w:sz w:val="24"/>
          <w:szCs w:val="24"/>
        </w:rPr>
      </w:pPr>
      <w:r w:rsidRPr="00785D02">
        <w:rPr>
          <w:rFonts w:ascii="Arial" w:hAnsi="Arial" w:cs="Arial"/>
          <w:color w:val="212121"/>
          <w:sz w:val="24"/>
          <w:szCs w:val="24"/>
          <w:lang w:eastAsia="sk-SK"/>
        </w:rPr>
        <w:t>Návrh zákona zavádza inštitút Národného registrátora, z čoho vyplýva povinnosť vytvárania registra. Predkladateľ upravuje - zavádza aj elektronické služby /za elektronickú službu sa považuje aj zverejňovanie informácií-údajov na webovom sídle/. Je preto nutné, aby predkladateľ jasne definoval v predloženom materiáli</w:t>
      </w:r>
      <w:r>
        <w:rPr>
          <w:rFonts w:ascii="Arial" w:hAnsi="Arial" w:cs="Arial"/>
          <w:color w:val="212121"/>
          <w:sz w:val="24"/>
          <w:szCs w:val="24"/>
          <w:lang w:eastAsia="sk-SK"/>
        </w:rPr>
        <w:t>,</w:t>
      </w:r>
      <w:r w:rsidRPr="00785D02">
        <w:rPr>
          <w:rFonts w:ascii="Arial" w:hAnsi="Arial" w:cs="Arial"/>
          <w:color w:val="212121"/>
          <w:sz w:val="24"/>
          <w:szCs w:val="24"/>
          <w:lang w:eastAsia="sk-SK"/>
        </w:rPr>
        <w:t xml:space="preserve"> či sa budú vytvárať nové systémy alebo upravovať existujúce a či sa bude jednať o informačné systémy verejnej správy v zmysle zákona č. 95/2019 </w:t>
      </w:r>
      <w:proofErr w:type="spellStart"/>
      <w:r w:rsidRPr="00785D02">
        <w:rPr>
          <w:rFonts w:ascii="Arial" w:hAnsi="Arial" w:cs="Arial"/>
          <w:color w:val="212121"/>
          <w:sz w:val="24"/>
          <w:szCs w:val="24"/>
          <w:lang w:eastAsia="sk-SK"/>
        </w:rPr>
        <w:t>Z.z</w:t>
      </w:r>
      <w:proofErr w:type="spellEnd"/>
      <w:r w:rsidRPr="00785D02">
        <w:rPr>
          <w:rFonts w:ascii="Arial" w:hAnsi="Arial" w:cs="Arial"/>
          <w:color w:val="212121"/>
          <w:sz w:val="24"/>
          <w:szCs w:val="24"/>
          <w:lang w:eastAsia="sk-SK"/>
        </w:rPr>
        <w:t>. o ITVS a kto bude ich správcom. Zároveň je nutné vplyvy premietnuť aj do doložky a analýzy vplyvov na informatizáciu spoločnosti.</w:t>
      </w:r>
    </w:p>
    <w:p w:rsidR="00FC1D09" w:rsidRDefault="00FC1D09" w:rsidP="00FC1D09">
      <w:pPr>
        <w:pStyle w:val="norm00e1lny"/>
        <w:spacing w:line="240" w:lineRule="atLeast"/>
        <w:jc w:val="both"/>
        <w:rPr>
          <w:rStyle w:val="norm00e1lnychar1"/>
          <w:rFonts w:ascii="Arial" w:hAnsi="Arial" w:cs="Arial"/>
          <w:b/>
          <w:bCs/>
          <w:color w:val="000000"/>
          <w:sz w:val="24"/>
          <w:szCs w:val="22"/>
          <w:lang w:eastAsia="ar-SA"/>
        </w:rPr>
      </w:pPr>
    </w:p>
    <w:p w:rsidR="00FC1D09" w:rsidRDefault="00FC1D09" w:rsidP="00FC1D09">
      <w:pPr>
        <w:pStyle w:val="norm00e1lny"/>
        <w:spacing w:line="240" w:lineRule="atLeast"/>
        <w:jc w:val="both"/>
      </w:pPr>
      <w:r w:rsidRPr="004412E8">
        <w:rPr>
          <w:rStyle w:val="norm00e1lnychar1"/>
          <w:rFonts w:ascii="Arial" w:hAnsi="Arial" w:cs="Arial"/>
          <w:b/>
          <w:bCs/>
          <w:color w:val="000000"/>
          <w:sz w:val="24"/>
          <w:szCs w:val="22"/>
          <w:lang w:eastAsia="ar-SA"/>
        </w:rPr>
        <w:t>I</w:t>
      </w:r>
      <w:r>
        <w:rPr>
          <w:rStyle w:val="norm00e1lnychar1"/>
          <w:rFonts w:ascii="Arial" w:hAnsi="Arial" w:cs="Arial"/>
          <w:b/>
          <w:bCs/>
          <w:sz w:val="24"/>
          <w:szCs w:val="24"/>
        </w:rPr>
        <w:t xml:space="preserve">II. Záver: </w:t>
      </w:r>
      <w:r>
        <w:rPr>
          <w:rStyle w:val="norm00e1lnychar1"/>
          <w:rFonts w:ascii="Arial" w:hAnsi="Arial" w:cs="Arial"/>
          <w:sz w:val="24"/>
          <w:szCs w:val="24"/>
        </w:rPr>
        <w:t xml:space="preserve">Stála pracovná komisia na posudzovanie vybraných vplyvov vyjadruje </w:t>
      </w:r>
    </w:p>
    <w:p w:rsidR="00FC1D09" w:rsidRDefault="00FC1D09" w:rsidP="00FC1D09">
      <w:pPr>
        <w:pStyle w:val="norm00e1lny"/>
      </w:pPr>
    </w:p>
    <w:p w:rsidR="00FC1D09" w:rsidRDefault="00FC1D09" w:rsidP="00FC1D09">
      <w:pPr>
        <w:pStyle w:val="norm00e1lny"/>
      </w:pPr>
      <w:r>
        <w:t> </w:t>
      </w:r>
    </w:p>
    <w:p w:rsidR="00FC1D09" w:rsidRDefault="00FC1D09" w:rsidP="00FC1D09">
      <w:pPr>
        <w:pStyle w:val="norm00e1lny"/>
        <w:spacing w:line="240" w:lineRule="atLeast"/>
        <w:jc w:val="center"/>
        <w:rPr>
          <w:rStyle w:val="norm00e1lnychar1"/>
          <w:rFonts w:ascii="Arial" w:hAnsi="Arial" w:cs="Arial"/>
          <w:b/>
          <w:bCs/>
          <w:sz w:val="24"/>
          <w:szCs w:val="24"/>
        </w:rPr>
      </w:pPr>
    </w:p>
    <w:p w:rsidR="00FC1D09" w:rsidRDefault="00FC1D09" w:rsidP="00FC1D09">
      <w:pPr>
        <w:pStyle w:val="norm00e1lny"/>
        <w:spacing w:line="240" w:lineRule="atLeast"/>
        <w:jc w:val="center"/>
      </w:pPr>
      <w:r>
        <w:rPr>
          <w:rStyle w:val="norm00e1lnychar1"/>
          <w:rFonts w:ascii="Arial" w:hAnsi="Arial" w:cs="Arial"/>
          <w:b/>
          <w:bCs/>
          <w:sz w:val="24"/>
          <w:szCs w:val="24"/>
        </w:rPr>
        <w:t>nesúhlasné stanovisko</w:t>
      </w:r>
    </w:p>
    <w:p w:rsidR="00FC1D09" w:rsidRDefault="00FC1D09" w:rsidP="00FC1D09">
      <w:pPr>
        <w:pStyle w:val="norm00e1lny"/>
      </w:pPr>
    </w:p>
    <w:p w:rsidR="00FC1D09" w:rsidRDefault="00FC1D09" w:rsidP="00FC1D09">
      <w:pPr>
        <w:pStyle w:val="norm00e1lny"/>
      </w:pPr>
      <w:r>
        <w:t> </w:t>
      </w:r>
    </w:p>
    <w:p w:rsidR="00FC1D09" w:rsidRDefault="00FC1D09" w:rsidP="00FC1D09">
      <w:pPr>
        <w:pStyle w:val="norm00e1lny"/>
        <w:spacing w:line="240" w:lineRule="atLeast"/>
        <w:jc w:val="both"/>
        <w:rPr>
          <w:rStyle w:val="norm00e1lnychar1"/>
          <w:rFonts w:ascii="Arial" w:hAnsi="Arial" w:cs="Arial"/>
          <w:sz w:val="24"/>
          <w:szCs w:val="24"/>
        </w:rPr>
      </w:pPr>
    </w:p>
    <w:p w:rsidR="00FC1D09" w:rsidRDefault="00FC1D09" w:rsidP="00FC1D09">
      <w:pPr>
        <w:pStyle w:val="norm00e1lny"/>
        <w:spacing w:line="240" w:lineRule="atLeast"/>
        <w:jc w:val="both"/>
      </w:pPr>
      <w:r>
        <w:rPr>
          <w:rStyle w:val="norm00e1lnychar1"/>
          <w:rFonts w:ascii="Arial" w:hAnsi="Arial" w:cs="Arial"/>
          <w:sz w:val="24"/>
          <w:szCs w:val="24"/>
        </w:rPr>
        <w:t>s materiálom predloženým na predbežné pripomienkové konanie s odporúčaním na jeho dopracovanie podľa pripomienok v bode II.</w:t>
      </w:r>
    </w:p>
    <w:p w:rsidR="00FC1D09" w:rsidRDefault="00FC1D09" w:rsidP="00FC1D09">
      <w:pPr>
        <w:pStyle w:val="norm00e1lny"/>
      </w:pPr>
    </w:p>
    <w:p w:rsidR="00FC1D09" w:rsidRDefault="00FC1D09" w:rsidP="00FC1D09">
      <w:pPr>
        <w:pStyle w:val="norm00e1lny"/>
      </w:pPr>
    </w:p>
    <w:p w:rsidR="00FC1D09" w:rsidRDefault="00FC1D09" w:rsidP="00FC1D09">
      <w:pPr>
        <w:pStyle w:val="norm00e1lny"/>
        <w:spacing w:line="240" w:lineRule="atLeast"/>
        <w:jc w:val="both"/>
        <w:rPr>
          <w:rStyle w:val="norm00e1lnychar1"/>
          <w:rFonts w:ascii="Arial" w:hAnsi="Arial" w:cs="Arial"/>
          <w:b/>
          <w:bCs/>
          <w:sz w:val="24"/>
          <w:szCs w:val="24"/>
        </w:rPr>
      </w:pPr>
    </w:p>
    <w:p w:rsidR="00FC1D09" w:rsidRDefault="00FC1D09" w:rsidP="00FC1D09">
      <w:pPr>
        <w:pStyle w:val="norm00e1lny"/>
        <w:spacing w:line="240" w:lineRule="atLeast"/>
        <w:jc w:val="both"/>
      </w:pPr>
      <w:r>
        <w:rPr>
          <w:rStyle w:val="norm00e1lnychar1"/>
          <w:rFonts w:ascii="Arial" w:hAnsi="Arial" w:cs="Arial"/>
          <w:b/>
          <w:bCs/>
          <w:sz w:val="24"/>
          <w:szCs w:val="24"/>
        </w:rPr>
        <w:t>IV. Poznámka:</w:t>
      </w:r>
      <w:r>
        <w:rPr>
          <w:rStyle w:val="norm00e1lnychar1"/>
          <w:rFonts w:ascii="Arial" w:hAnsi="Arial" w:cs="Arial"/>
          <w:sz w:val="24"/>
          <w:szCs w:val="24"/>
        </w:rPr>
        <w:t xml:space="preserve"> Predkladateľ zapracuje pripomienky a odporúčania na úpravu uvedené v bode II a uvedie stanovisko Komisie do doložky vybraných vplyvov spolu s vyhodnotením pripomienok.</w:t>
      </w:r>
    </w:p>
    <w:p w:rsidR="00FC1D09" w:rsidRDefault="00FC1D09" w:rsidP="00FC1D09">
      <w:pPr>
        <w:pStyle w:val="norm00e1lny"/>
      </w:pPr>
      <w:r>
        <w:t> </w:t>
      </w:r>
    </w:p>
    <w:p w:rsidR="00FC1D09" w:rsidRDefault="00FC1D09" w:rsidP="00FC1D09">
      <w:pPr>
        <w:pStyle w:val="z00e1kladn00fd0020text"/>
        <w:spacing w:after="0" w:line="240" w:lineRule="atLeast"/>
        <w:jc w:val="both"/>
        <w:rPr>
          <w:rStyle w:val="z00e1kladn00fd0020textchar1"/>
          <w:rFonts w:ascii="Arial" w:hAnsi="Arial" w:cs="Arial"/>
          <w:sz w:val="24"/>
          <w:szCs w:val="24"/>
        </w:rPr>
      </w:pPr>
    </w:p>
    <w:p w:rsidR="00FC1D09" w:rsidRDefault="00FC1D09" w:rsidP="00FC1D09">
      <w:pPr>
        <w:pStyle w:val="z00e1kladn00fd0020text"/>
        <w:spacing w:after="0" w:line="240" w:lineRule="atLeast"/>
        <w:jc w:val="both"/>
      </w:pPr>
      <w:r>
        <w:rPr>
          <w:rStyle w:val="z00e1kladn00fd0020textchar1"/>
          <w:rFonts w:ascii="Arial" w:hAnsi="Arial" w:cs="Arial"/>
          <w:sz w:val="24"/>
          <w:szCs w:val="24"/>
        </w:rPr>
        <w:lastRenderedPageBreak/>
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</w:r>
    </w:p>
    <w:p w:rsidR="00FC1D09" w:rsidRDefault="00FC1D09" w:rsidP="00FC1D09">
      <w:pPr>
        <w:suppressAutoHyphens w:val="0"/>
        <w:jc w:val="both"/>
      </w:pPr>
    </w:p>
    <w:p w:rsidR="00FC1D09" w:rsidRDefault="00FC1D09" w:rsidP="00FC1D09">
      <w:pPr>
        <w:tabs>
          <w:tab w:val="center" w:pos="6379"/>
        </w:tabs>
        <w:ind w:left="4536"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FC1D09" w:rsidRDefault="00FC1D09" w:rsidP="00FC1D09">
      <w:pPr>
        <w:tabs>
          <w:tab w:val="center" w:pos="6379"/>
        </w:tabs>
        <w:ind w:left="4536"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FC1D09" w:rsidRDefault="00FC1D09" w:rsidP="00FC1D09">
      <w:pPr>
        <w:tabs>
          <w:tab w:val="center" w:pos="6379"/>
        </w:tabs>
        <w:ind w:left="4536" w:right="-2"/>
        <w:jc w:val="center"/>
      </w:pPr>
      <w:r>
        <w:rPr>
          <w:rFonts w:ascii="Arial" w:hAnsi="Arial" w:cs="Arial"/>
          <w:b/>
          <w:bCs/>
          <w:sz w:val="24"/>
          <w:szCs w:val="24"/>
        </w:rPr>
        <w:t>PhDr. Ján Oravec, CSc.</w:t>
      </w:r>
    </w:p>
    <w:p w:rsidR="00FC1D09" w:rsidRDefault="00FC1D09" w:rsidP="00FC1D09">
      <w:pPr>
        <w:tabs>
          <w:tab w:val="center" w:pos="6379"/>
        </w:tabs>
        <w:ind w:left="4536" w:right="-2"/>
        <w:jc w:val="center"/>
      </w:pPr>
      <w:r>
        <w:rPr>
          <w:rFonts w:ascii="Arial" w:hAnsi="Arial" w:cs="Arial"/>
          <w:bCs/>
          <w:sz w:val="24"/>
          <w:szCs w:val="24"/>
        </w:rPr>
        <w:t>predseda Komisie</w:t>
      </w:r>
    </w:p>
    <w:p w:rsidR="00FC1D09" w:rsidRDefault="00FC1D09" w:rsidP="00FC1D09"/>
    <w:p w:rsidR="00FC0F41" w:rsidRDefault="00FC0F41"/>
    <w:sectPr w:rsidR="00FC0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09" w:rsidRDefault="00FC1D09" w:rsidP="00FC1D09">
      <w:pPr>
        <w:spacing w:line="240" w:lineRule="auto"/>
      </w:pPr>
      <w:r>
        <w:separator/>
      </w:r>
    </w:p>
  </w:endnote>
  <w:endnote w:type="continuationSeparator" w:id="0">
    <w:p w:rsidR="00FC1D09" w:rsidRDefault="00FC1D09" w:rsidP="00FC1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09" w:rsidRDefault="00FC1D09" w:rsidP="00FC1D09">
      <w:pPr>
        <w:spacing w:line="240" w:lineRule="auto"/>
      </w:pPr>
      <w:r>
        <w:separator/>
      </w:r>
    </w:p>
  </w:footnote>
  <w:footnote w:type="continuationSeparator" w:id="0">
    <w:p w:rsidR="00FC1D09" w:rsidRDefault="00FC1D09" w:rsidP="00FC1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09" w:rsidRDefault="00FC1D09" w:rsidP="00FC1D09">
    <w:pPr>
      <w:pStyle w:val="Nadpis"/>
    </w:pPr>
    <w:r>
      <w:tab/>
    </w:r>
    <w:r>
      <w:rPr>
        <w:b w:val="0"/>
        <w:smallCaps/>
        <w:spacing w:val="20"/>
      </w:rPr>
      <w:t>stála pracovná komisia legislatívnej rady vlády slovenskej republiky na posudzovanie vybraných vplyvov</w:t>
    </w:r>
  </w:p>
  <w:p w:rsidR="00FC1D09" w:rsidRDefault="00FC1D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FE63AAA"/>
    <w:multiLevelType w:val="hybridMultilevel"/>
    <w:tmpl w:val="F78C39B6"/>
    <w:lvl w:ilvl="0" w:tplc="2E2A919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9"/>
    <w:rsid w:val="00785D02"/>
    <w:rsid w:val="00FC0F41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5DD9"/>
  <w15:chartTrackingRefBased/>
  <w15:docId w15:val="{1420A365-F00F-48EA-A0F7-5533C22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D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4">
    <w:name w:val="heading 4"/>
    <w:basedOn w:val="Normlny"/>
    <w:next w:val="Zkladntext"/>
    <w:link w:val="Nadpis4Char"/>
    <w:qFormat/>
    <w:rsid w:val="00FC1D09"/>
    <w:pPr>
      <w:keepNext/>
      <w:numPr>
        <w:ilvl w:val="3"/>
        <w:numId w:val="1"/>
      </w:numPr>
      <w:ind w:right="-2"/>
      <w:jc w:val="center"/>
      <w:outlineLvl w:val="3"/>
    </w:pPr>
    <w:rPr>
      <w:b/>
      <w:smallCap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C1D09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norm00e1lnychar1">
    <w:name w:val="norm_00e1lny__char1"/>
    <w:rsid w:val="00FC1D0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FC1D0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FC1D09"/>
    <w:pPr>
      <w:suppressAutoHyphens w:val="0"/>
      <w:spacing w:line="200" w:lineRule="atLeast"/>
    </w:pPr>
    <w:rPr>
      <w:lang w:eastAsia="sk-SK"/>
    </w:rPr>
  </w:style>
  <w:style w:type="paragraph" w:customStyle="1" w:styleId="z00e1kladn00fd0020text">
    <w:name w:val="z_00e1kladn_00fd_0020text"/>
    <w:basedOn w:val="Normlny"/>
    <w:rsid w:val="00FC1D09"/>
    <w:pPr>
      <w:suppressAutoHyphens w:val="0"/>
      <w:spacing w:after="120" w:line="200" w:lineRule="atLeast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FC1D09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C1D0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C1D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C1D0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D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C1D0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1D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">
    <w:name w:val="Nadpis"/>
    <w:basedOn w:val="Normlny"/>
    <w:rsid w:val="00FC1D09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Hromadkova Denisa</dc:creator>
  <cp:keywords/>
  <dc:description/>
  <cp:lastModifiedBy>Hromadkova Denisa</cp:lastModifiedBy>
  <cp:revision>1</cp:revision>
  <dcterms:created xsi:type="dcterms:W3CDTF">2021-08-27T12:24:00Z</dcterms:created>
  <dcterms:modified xsi:type="dcterms:W3CDTF">2021-08-27T12:41:00Z</dcterms:modified>
</cp:coreProperties>
</file>