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44C22" w:rsidRDefault="00244C22">
      <w:pPr>
        <w:jc w:val="center"/>
        <w:divId w:val="2073889395"/>
        <w:rPr>
          <w:rFonts w:ascii="Times" w:hAnsi="Times" w:cs="Times"/>
          <w:sz w:val="25"/>
          <w:szCs w:val="25"/>
        </w:rPr>
      </w:pPr>
      <w:r>
        <w:rPr>
          <w:rFonts w:ascii="Times" w:hAnsi="Times" w:cs="Times"/>
          <w:sz w:val="25"/>
          <w:szCs w:val="25"/>
        </w:rPr>
        <w:t>Nariadenie vlády Slovenskej republiky, ktorým sa ustanovuje národná tabuľka frekvenčného spektra</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44C22" w:rsidP="00244C22">
            <w:pPr>
              <w:spacing w:after="0" w:line="240" w:lineRule="auto"/>
              <w:rPr>
                <w:rFonts w:ascii="Times New Roman" w:hAnsi="Times New Roman" w:cs="Calibri"/>
                <w:sz w:val="20"/>
                <w:szCs w:val="20"/>
              </w:rPr>
            </w:pPr>
            <w:r>
              <w:rPr>
                <w:rFonts w:ascii="Times" w:hAnsi="Times" w:cs="Times"/>
                <w:sz w:val="25"/>
                <w:szCs w:val="25"/>
              </w:rPr>
              <w:t>14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44C22" w:rsidP="00244C22">
            <w:pPr>
              <w:spacing w:after="0" w:line="240" w:lineRule="auto"/>
              <w:rPr>
                <w:rFonts w:ascii="Times New Roman" w:hAnsi="Times New Roman" w:cs="Calibri"/>
                <w:sz w:val="20"/>
                <w:szCs w:val="20"/>
              </w:rPr>
            </w:pPr>
            <w:r>
              <w:rPr>
                <w:rFonts w:ascii="Times" w:hAnsi="Times" w:cs="Times"/>
                <w:sz w:val="25"/>
                <w:szCs w:val="25"/>
              </w:rPr>
              <w:t>14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44C22" w:rsidP="00244C22">
            <w:pPr>
              <w:spacing w:after="0" w:line="240" w:lineRule="auto"/>
              <w:rPr>
                <w:rFonts w:ascii="Times New Roman" w:hAnsi="Times New Roman" w:cs="Calibri"/>
                <w:sz w:val="20"/>
                <w:szCs w:val="20"/>
              </w:rPr>
            </w:pPr>
            <w:r>
              <w:rPr>
                <w:rFonts w:ascii="Times" w:hAnsi="Times" w:cs="Times"/>
                <w:sz w:val="25"/>
                <w:szCs w:val="25"/>
              </w:rPr>
              <w:t>13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44C22" w:rsidP="00244C22">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44C22" w:rsidP="00244C22">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244C22" w:rsidRDefault="00244C22"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8"/>
        <w:gridCol w:w="7621"/>
        <w:gridCol w:w="1404"/>
        <w:gridCol w:w="1404"/>
        <w:gridCol w:w="1391"/>
        <w:gridCol w:w="1035"/>
      </w:tblGrid>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t>Č.</w:t>
            </w:r>
          </w:p>
        </w:tc>
        <w:tc>
          <w:tcPr>
            <w:tcW w:w="2871"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t>Subjekt</w:t>
            </w:r>
          </w:p>
        </w:tc>
        <w:tc>
          <w:tcPr>
            <w:tcW w:w="529"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t>Pripomienky do termínu</w:t>
            </w:r>
          </w:p>
        </w:tc>
        <w:tc>
          <w:tcPr>
            <w:tcW w:w="529"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t>Pripomienky po termíne</w:t>
            </w:r>
          </w:p>
        </w:tc>
        <w:tc>
          <w:tcPr>
            <w:tcW w:w="524"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t>Nemali pripomienky</w:t>
            </w:r>
          </w:p>
        </w:tc>
        <w:tc>
          <w:tcPr>
            <w:tcW w:w="39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t>Vôbec nezaslali</w:t>
            </w: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1.</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sz w:val="20"/>
                <w:szCs w:val="20"/>
              </w:rPr>
            </w:pP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2.</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sz w:val="20"/>
                <w:szCs w:val="20"/>
              </w:rPr>
            </w:pP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3.</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sz w:val="20"/>
                <w:szCs w:val="20"/>
              </w:rPr>
            </w:pP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4.</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sz w:val="20"/>
                <w:szCs w:val="20"/>
              </w:rPr>
            </w:pP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lastRenderedPageBreak/>
              <w:t>5.</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sz w:val="20"/>
                <w:szCs w:val="20"/>
              </w:rPr>
            </w:pP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6.</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7.</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8.</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9.</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10.</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11.</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12.</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13.</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14.</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15.</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16.</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17.</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18.</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19.</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lastRenderedPageBreak/>
              <w:t>20.</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21.</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22.</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23.</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24.</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25.</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Úrad pre reguláciu elektronických komunikácií a poštových služieb</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26.</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27.</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28.</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29.</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30.</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31.</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32.</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33.</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34.</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35.</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lastRenderedPageBreak/>
              <w:t>36.</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37.</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38.</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39.</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40.</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41.</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42.</w:t>
            </w: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x</w:t>
            </w:r>
          </w:p>
        </w:tc>
      </w:tr>
      <w:tr w:rsidR="00244C22" w:rsidTr="008C4074">
        <w:trPr>
          <w:divId w:val="1046098927"/>
          <w:jc w:val="center"/>
        </w:trPr>
        <w:tc>
          <w:tcPr>
            <w:tcW w:w="157" w:type="pct"/>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2871" w:type="pct"/>
            <w:tcBorders>
              <w:top w:val="outset" w:sz="6" w:space="0" w:color="000000"/>
              <w:left w:val="outset" w:sz="6" w:space="0" w:color="000000"/>
              <w:bottom w:val="outset" w:sz="6" w:space="0" w:color="000000"/>
              <w:right w:val="outset" w:sz="6" w:space="0" w:color="000000"/>
            </w:tcBorders>
            <w:hideMark/>
          </w:tcPr>
          <w:p w:rsidR="00244C22" w:rsidRDefault="00244C22">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14 (12o,2z)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4C22" w:rsidRDefault="00244C22">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44C22" w:rsidRDefault="00244C22"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244C22">
        <w:trPr>
          <w:divId w:val="13876033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t>Spôsob vyhodnotenia</w:t>
            </w:r>
          </w:p>
        </w:tc>
      </w:tr>
      <w:tr w:rsidR="00244C22">
        <w:trPr>
          <w:divId w:val="13876033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Žiadame predkladateľa spracovať Doložku vybraných vplyvov podľa nového formulára podľa Jednotnej metodiky na posudzovanie vybraných vplyvov schválenej uznesením vlády SR č. 234/2021. Zároveň žiadame predkladateľa o vypracovanie doložky vo všetkých jej bodoch (vrátane bodu 8. Preskúmanie účelnosti). Odôvodnenie: Vláda SR schválila 5.mája 2021 aktualizovanú Jednotnú metodiku na posudzovanie vybraných vplyvov, ktorá sa vzťahuje na materiály predložené do MPK po 31.5.2021, ktorej súčasťou je aj nový formulár Doložky vybraných vplyvov. Uvedený materiál je uverejnený na webovom sídle MH SR link: https://www.mhsr.sk/podnikatelske-prostredie/jednotna-metodika.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p>
        </w:tc>
      </w:tr>
      <w:tr w:rsidR="00244C22">
        <w:trPr>
          <w:divId w:val="13876033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Predloženú doložku vybraných vplyvov je potrebné vypracovať v súlade s aktualizovanou Jednotnou metodikou na posudzovanie vybraných vplyvov účinnou od 1. júna 2021 (Uznesenie vlády Slovenskej republiky č. 234/2021 k návrhu aktualizácie Jednotnej metodiky na posudzovanie vybraných vplyvov), ktorej súčasťou je aj nový formulár doložky vybraných vplyvov (Príloha č. 1 Jednotnej metodiky na posudzovanie vybraných vplyvov). Odôvodnenie: Potreba </w:t>
            </w:r>
            <w:r>
              <w:rPr>
                <w:rFonts w:ascii="Times" w:hAnsi="Times" w:cs="Times"/>
                <w:sz w:val="25"/>
                <w:szCs w:val="25"/>
              </w:rPr>
              <w:lastRenderedPageBreak/>
              <w:t>úpravy vyplýva z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p>
        </w:tc>
      </w:tr>
      <w:tr w:rsidR="00244C22">
        <w:trPr>
          <w:divId w:val="13876033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rPr>
                <w:rFonts w:ascii="Times" w:hAnsi="Times" w:cs="Times"/>
                <w:sz w:val="25"/>
                <w:szCs w:val="25"/>
              </w:rPr>
            </w:pPr>
            <w:r>
              <w:rPr>
                <w:rFonts w:ascii="Times" w:hAnsi="Times" w:cs="Times"/>
                <w:b/>
                <w:bCs/>
                <w:sz w:val="25"/>
                <w:szCs w:val="25"/>
              </w:rPr>
              <w:t>doložke zlučiteľnosti návrhu nariadenia s právom Európskej únie</w:t>
            </w:r>
            <w:r>
              <w:rPr>
                <w:rFonts w:ascii="Times" w:hAnsi="Times" w:cs="Times"/>
                <w:sz w:val="25"/>
                <w:szCs w:val="25"/>
              </w:rPr>
              <w:br/>
              <w:t xml:space="preserve">Do vykonávacieho rozhodnutia Komisie (EÚ) 2021/1730 odporúčame za slovo „využívaní“ doplniť slovo „párových“.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p>
        </w:tc>
      </w:tr>
      <w:tr w:rsidR="00244C22">
        <w:trPr>
          <w:divId w:val="13876033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rPr>
                <w:rFonts w:ascii="Times" w:hAnsi="Times" w:cs="Times"/>
                <w:sz w:val="25"/>
                <w:szCs w:val="25"/>
              </w:rPr>
            </w:pPr>
            <w:r>
              <w:rPr>
                <w:rFonts w:ascii="Times" w:hAnsi="Times" w:cs="Times"/>
                <w:b/>
                <w:bCs/>
                <w:sz w:val="25"/>
                <w:szCs w:val="25"/>
              </w:rPr>
              <w:t>doložke zlučiteľnosti návrhu nariadenia s právom Európskej únie</w:t>
            </w:r>
            <w:r>
              <w:rPr>
                <w:rFonts w:ascii="Times" w:hAnsi="Times" w:cs="Times"/>
                <w:sz w:val="25"/>
                <w:szCs w:val="25"/>
              </w:rPr>
              <w:br/>
              <w:t xml:space="preserve">Vo vykonávacom rozhodnutí Komisie (EÚ) 2015/750 odporúčame opraviť frekvenčné pásmo na 1 452 – 1 492 MHz.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rPr>
                <w:rFonts w:ascii="Times" w:hAnsi="Times" w:cs="Times"/>
                <w:sz w:val="25"/>
                <w:szCs w:val="25"/>
              </w:rPr>
            </w:pPr>
            <w:r>
              <w:rPr>
                <w:rFonts w:ascii="Times" w:hAnsi="Times" w:cs="Times"/>
                <w:sz w:val="25"/>
                <w:szCs w:val="25"/>
              </w:rPr>
              <w:t>Frekvenčné pásmo bolo zmenené vykonávacím rozhodnutím Komisie (EÚ) 2018/661.</w:t>
            </w:r>
          </w:p>
        </w:tc>
      </w:tr>
      <w:tr w:rsidR="00244C22">
        <w:trPr>
          <w:divId w:val="13876033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rPr>
                <w:rFonts w:ascii="Times" w:hAnsi="Times" w:cs="Times"/>
                <w:sz w:val="25"/>
                <w:szCs w:val="25"/>
              </w:rPr>
            </w:pPr>
            <w:r>
              <w:rPr>
                <w:rFonts w:ascii="Times" w:hAnsi="Times" w:cs="Times"/>
                <w:b/>
                <w:bCs/>
                <w:sz w:val="25"/>
                <w:szCs w:val="25"/>
              </w:rPr>
              <w:t xml:space="preserve">k prílohe </w:t>
            </w:r>
            <w:r>
              <w:rPr>
                <w:rFonts w:ascii="Times" w:hAnsi="Times" w:cs="Times"/>
                <w:sz w:val="25"/>
                <w:szCs w:val="25"/>
              </w:rPr>
              <w:br/>
              <w:t xml:space="preserve">K prílohe k nariadeniu označenej nadpisom „Národná tabuľka frekvenčného spektra 2022“ – žiadame na strane 65 vo frekvenčnom pásme 694-790 MHz v poznámke k využitiu slová „733-758 MHz duplexná medzera“ nahradiť slovami „733-758 MHz duplexná medzera – mil. – pre policajné účely“. Na základe požiadavky Ministerstva vnútra Slovenskej republiky príslušné štátne orgány rozhodli o vyčlenení frekvenčného kanálu o šírke 20 MHz vo frekvenčnom pásme 738 – 758 MHz pre použitie Policajným zborom. Na strane 65 Národnej tabuľky frekvenčného spektra 2022 je síce v poznámke k využitiu uvedené frekvenčné pásmo 733-758 MHz ako duplexná medzera, ale bez uvedenia ďalších podrobností. Sme toho názoru, že bez ďalšej konkretizácie vyčlenenia uvedeného frekvenčného pásma môže v budúcnosti dochádzať k sporom </w:t>
            </w:r>
            <w:r>
              <w:rPr>
                <w:rFonts w:ascii="Times" w:hAnsi="Times" w:cs="Times"/>
                <w:sz w:val="25"/>
                <w:szCs w:val="25"/>
              </w:rPr>
              <w:lastRenderedPageBreak/>
              <w:t xml:space="preserve">medzi štátnymi orgánmi o možnosti využívania uvedeného frekvenčného pásma.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rPr>
                <w:rFonts w:ascii="Times" w:hAnsi="Times" w:cs="Times"/>
                <w:sz w:val="25"/>
                <w:szCs w:val="25"/>
              </w:rPr>
            </w:pPr>
            <w:r>
              <w:rPr>
                <w:rFonts w:ascii="Times" w:hAnsi="Times" w:cs="Times"/>
                <w:sz w:val="25"/>
                <w:szCs w:val="25"/>
              </w:rPr>
              <w:t>MV SR netrvá na zásadnej pripomienke. Požiadavka MV SR bude riešená formou individuálnych povolení na dobu určitú do r. 2024 prostredníctvom ÚREKPS.</w:t>
            </w:r>
          </w:p>
        </w:tc>
      </w:tr>
      <w:tr w:rsidR="00244C22">
        <w:trPr>
          <w:divId w:val="13876033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rPr>
                <w:rFonts w:ascii="Times" w:hAnsi="Times" w:cs="Times"/>
                <w:sz w:val="25"/>
                <w:szCs w:val="25"/>
              </w:rPr>
            </w:pPr>
            <w:r>
              <w:rPr>
                <w:rFonts w:ascii="Times" w:hAnsi="Times" w:cs="Times"/>
                <w:b/>
                <w:bCs/>
                <w:sz w:val="25"/>
                <w:szCs w:val="25"/>
              </w:rPr>
              <w:t>K prílohe návrhu nariadenia:</w:t>
            </w:r>
            <w:r>
              <w:rPr>
                <w:rFonts w:ascii="Times" w:hAnsi="Times" w:cs="Times"/>
                <w:sz w:val="25"/>
                <w:szCs w:val="25"/>
              </w:rPr>
              <w:br/>
              <w:t xml:space="preserve">1. Dovoľujeme si upozorniť predkladateľa návrhu nariadenia, že z 2. bodu dôvodovej správy všeobecnej časti pri zmenách v NTFS vyplýva, že v celej tabuľke došlo k aktualizácii odvolávok na novo vydané všeobecné povolenia VPR, a to: „VPR-02/2021 nahrádza VPR-13/2014“. Máme za to, že v NTFS 2022 pri frekvenčnom pásme 29,5 – 29,9 GHz a 29,9 – 30 GHz nebola táto zmena aktualizovaná. Žiadame preto, upraviť NTFS v zmysle aktuálnych zmien uvedených v dôvodovej správe všeobecnej časti.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p>
        </w:tc>
      </w:tr>
      <w:tr w:rsidR="00244C22">
        <w:trPr>
          <w:divId w:val="13876033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rPr>
                <w:rFonts w:ascii="Times" w:hAnsi="Times" w:cs="Times"/>
                <w:sz w:val="25"/>
                <w:szCs w:val="25"/>
              </w:rPr>
            </w:pPr>
            <w:r>
              <w:rPr>
                <w:rFonts w:ascii="Times" w:hAnsi="Times" w:cs="Times"/>
                <w:b/>
                <w:bCs/>
                <w:sz w:val="25"/>
                <w:szCs w:val="25"/>
              </w:rPr>
              <w:t xml:space="preserve">K doložke zlučiteľnosti: K bodu 3 písm. b): </w:t>
            </w:r>
            <w:r>
              <w:rPr>
                <w:rFonts w:ascii="Times" w:hAnsi="Times" w:cs="Times"/>
                <w:sz w:val="25"/>
                <w:szCs w:val="25"/>
              </w:rPr>
              <w:br/>
              <w:t>1. Žiadame pri citovaní vykonávacieho rozhodnutia (EÚ) 2020/1426 uviesť publikačný zdroj nasledovne: „(Ú. v. EÚ L 328, 9.10.2020)“.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p>
        </w:tc>
      </w:tr>
      <w:tr w:rsidR="00244C22">
        <w:trPr>
          <w:divId w:val="13876033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rPr>
                <w:rFonts w:ascii="Times" w:hAnsi="Times" w:cs="Times"/>
                <w:sz w:val="25"/>
                <w:szCs w:val="25"/>
              </w:rPr>
            </w:pPr>
            <w:r>
              <w:rPr>
                <w:rFonts w:ascii="Times" w:hAnsi="Times" w:cs="Times"/>
                <w:b/>
                <w:bCs/>
                <w:sz w:val="25"/>
                <w:szCs w:val="25"/>
              </w:rPr>
              <w:t>K prílohe návrhu nariadenia:</w:t>
            </w:r>
            <w:r>
              <w:rPr>
                <w:rFonts w:ascii="Times" w:hAnsi="Times" w:cs="Times"/>
                <w:sz w:val="25"/>
                <w:szCs w:val="25"/>
              </w:rPr>
              <w:br/>
              <w:t>2. Dovoľujeme si ďalej upozorniť, že v dôvodovej správe všeobecnej časti pri zmenách v NTFS v 5. bode je uvedené, že vo frekvenčnom pásme 435 – 472 kHz bolo doplnené v stĺpci „Využitie v SR“ civ. využitie „Nešpecifikované SRD“. Máme za to, že v NTFS 2022 nebola táto zmena pri danom frekvenčnom pásme predkladateľom návrhu nariadenia doplnená. Žiadame preto, upraviť NTFS v zmysle aktuálnych zmien uvedených v dôvodovej správe všeobecnej časti.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p>
        </w:tc>
      </w:tr>
      <w:tr w:rsidR="00244C22">
        <w:trPr>
          <w:divId w:val="13876033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rPr>
                <w:rFonts w:ascii="Times" w:hAnsi="Times" w:cs="Times"/>
                <w:sz w:val="25"/>
                <w:szCs w:val="25"/>
              </w:rPr>
            </w:pPr>
            <w:r>
              <w:rPr>
                <w:rFonts w:ascii="Times" w:hAnsi="Times" w:cs="Times"/>
                <w:b/>
                <w:bCs/>
                <w:sz w:val="25"/>
                <w:szCs w:val="25"/>
              </w:rPr>
              <w:t xml:space="preserve">K doložke zlučiteľnosti: K bodu 3 písm. b): </w:t>
            </w:r>
            <w:r>
              <w:rPr>
                <w:rFonts w:ascii="Times" w:hAnsi="Times" w:cs="Times"/>
                <w:sz w:val="25"/>
                <w:szCs w:val="25"/>
              </w:rPr>
              <w:br/>
              <w:t>2. Žiadame uvádzať číslo rozhodnutia Komisie z 11. júna 2019, ktorým sa zriaďuje skupina pre politiku rádiového spektra a zrušuje rozhodnutie 2002/622/ES (Ú. v. EÚ C 196, 12. 6. 2019) za jeho názvom v zátvorke v súlade s bodom 62. 8. Prílohy č. 1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p>
        </w:tc>
      </w:tr>
      <w:tr w:rsidR="00244C22">
        <w:trPr>
          <w:divId w:val="13876033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rPr>
                <w:rFonts w:ascii="Times" w:hAnsi="Times" w:cs="Times"/>
                <w:sz w:val="25"/>
                <w:szCs w:val="25"/>
              </w:rPr>
            </w:pPr>
            <w:r>
              <w:rPr>
                <w:rFonts w:ascii="Times" w:hAnsi="Times" w:cs="Times"/>
                <w:b/>
                <w:bCs/>
                <w:sz w:val="25"/>
                <w:szCs w:val="25"/>
              </w:rPr>
              <w:t>K doložke zlučiteľnosti: K bodu 3 písm. b):</w:t>
            </w:r>
            <w:r>
              <w:rPr>
                <w:rFonts w:ascii="Times" w:hAnsi="Times" w:cs="Times"/>
                <w:sz w:val="25"/>
                <w:szCs w:val="25"/>
              </w:rPr>
              <w:br/>
              <w:t>3. Žiadame pri uvádzaní citácie vykonávacieho rozhodnutia 2013/195/EÚ doplniť za slová „Európskeho parlamentu a Rady“ slová „Európskeho parlamentu a Rady č. 243/2012/EÚ“, v súlade s názvom uvedeným v Úradnom vestníku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p>
        </w:tc>
      </w:tr>
      <w:tr w:rsidR="00244C22">
        <w:trPr>
          <w:divId w:val="13876033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rPr>
                <w:rFonts w:ascii="Times" w:hAnsi="Times" w:cs="Times"/>
                <w:sz w:val="25"/>
                <w:szCs w:val="25"/>
              </w:rPr>
            </w:pPr>
            <w:r>
              <w:rPr>
                <w:rFonts w:ascii="Times" w:hAnsi="Times" w:cs="Times"/>
                <w:b/>
                <w:bCs/>
                <w:sz w:val="25"/>
                <w:szCs w:val="25"/>
              </w:rPr>
              <w:t>K doložke zlučiteľnosti: K bodu 3 písm. b):</w:t>
            </w:r>
            <w:r>
              <w:rPr>
                <w:rFonts w:ascii="Times" w:hAnsi="Times" w:cs="Times"/>
                <w:sz w:val="25"/>
                <w:szCs w:val="25"/>
              </w:rPr>
              <w:br/>
              <w:t>4. Žiadame, aby v súlade s bodom 62.10. Prílohy č. 1 k Legislatívnym pravidlám vlády Slovenskej republiky v platnom znení bolo rozhodnutie č. 243/2012/EÚ uvádzané s dodatkom „v platnom znení“, keďže bolo novelizované smernicou (EÚ) 2018/1972.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p>
        </w:tc>
      </w:tr>
      <w:tr w:rsidR="00244C22">
        <w:trPr>
          <w:divId w:val="13876033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rPr>
                <w:rFonts w:ascii="Times" w:hAnsi="Times" w:cs="Times"/>
                <w:sz w:val="25"/>
                <w:szCs w:val="25"/>
              </w:rPr>
            </w:pPr>
            <w:r>
              <w:rPr>
                <w:rFonts w:ascii="Times" w:hAnsi="Times" w:cs="Times"/>
                <w:b/>
                <w:bCs/>
                <w:sz w:val="25"/>
                <w:szCs w:val="25"/>
              </w:rPr>
              <w:t>K doložke zlučiteľnosti: K bodu 3 písm. b):</w:t>
            </w:r>
            <w:r>
              <w:rPr>
                <w:rFonts w:ascii="Times" w:hAnsi="Times" w:cs="Times"/>
                <w:sz w:val="25"/>
                <w:szCs w:val="25"/>
              </w:rPr>
              <w:br/>
              <w:t xml:space="preserve">5. Žiadame pri citovaní rozhodnutia 2008/477/ES uviesť namiesto slov „v platnom znené“ slová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p>
        </w:tc>
      </w:tr>
      <w:tr w:rsidR="00244C22">
        <w:trPr>
          <w:divId w:val="13876033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rPr>
                <w:rFonts w:ascii="Times" w:hAnsi="Times" w:cs="Times"/>
                <w:sz w:val="25"/>
                <w:szCs w:val="25"/>
              </w:rPr>
            </w:pPr>
            <w:r>
              <w:rPr>
                <w:rFonts w:ascii="Times" w:hAnsi="Times" w:cs="Times"/>
                <w:b/>
                <w:bCs/>
                <w:sz w:val="25"/>
                <w:szCs w:val="25"/>
              </w:rPr>
              <w:t>K doložke zlučiteľnosti: K bodu 3 písm. b):</w:t>
            </w:r>
            <w:r>
              <w:rPr>
                <w:rFonts w:ascii="Times" w:hAnsi="Times" w:cs="Times"/>
                <w:sz w:val="25"/>
                <w:szCs w:val="25"/>
              </w:rPr>
              <w:br/>
              <w:t>6. Žiadame pri citovaní rozhodnutia č. 676/2002/ES uviesť publikačný zdroj nasledovne: „(Ú. v. ES L 108, 24.4.2002; Mimoriadne vydanie Ú. v. EÚ, kap. 13/zv. 29)“.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p>
        </w:tc>
      </w:tr>
      <w:tr w:rsidR="00244C22">
        <w:trPr>
          <w:divId w:val="13876033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Žiadame predkladateľa návrhu, aby upravil predkladaciu správu v súlade s čl. 18 ods. 2 písm. d) Legislatívnych pravidiel vlády SR v platnom znení nakoľko predkladacia správa k návrhu nariadenia vlády má obsahovať odôvodnenie dátumu účinnosti a dĺžky legisvakancie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4C22" w:rsidRDefault="00244C22">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140185"/>
      <w:docPartObj>
        <w:docPartGallery w:val="Page Numbers (Bottom of Page)"/>
        <w:docPartUnique/>
      </w:docPartObj>
    </w:sdtPr>
    <w:sdtEndPr/>
    <w:sdtContent>
      <w:p w:rsidR="006071D8" w:rsidRDefault="006071D8">
        <w:pPr>
          <w:pStyle w:val="Pta"/>
          <w:jc w:val="center"/>
        </w:pPr>
        <w:r>
          <w:fldChar w:fldCharType="begin"/>
        </w:r>
        <w:r>
          <w:instrText>PAGE   \* MERGEFORMAT</w:instrText>
        </w:r>
        <w:r>
          <w:fldChar w:fldCharType="separate"/>
        </w:r>
        <w:r w:rsidR="00696EB9">
          <w:rPr>
            <w:noProof/>
          </w:rPr>
          <w:t>2</w:t>
        </w:r>
        <w:r>
          <w:fldChar w:fldCharType="end"/>
        </w:r>
      </w:p>
    </w:sdtContent>
  </w:sdt>
  <w:p w:rsidR="006071D8" w:rsidRDefault="006071D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44C22"/>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071D8"/>
    <w:rsid w:val="00642FB8"/>
    <w:rsid w:val="00696EB9"/>
    <w:rsid w:val="006A3681"/>
    <w:rsid w:val="007156F5"/>
    <w:rsid w:val="007A1010"/>
    <w:rsid w:val="007B7F1A"/>
    <w:rsid w:val="007D7AE6"/>
    <w:rsid w:val="007E4294"/>
    <w:rsid w:val="00841FA6"/>
    <w:rsid w:val="008A1964"/>
    <w:rsid w:val="008C407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7903">
      <w:bodyDiv w:val="1"/>
      <w:marLeft w:val="0"/>
      <w:marRight w:val="0"/>
      <w:marTop w:val="0"/>
      <w:marBottom w:val="0"/>
      <w:divBdr>
        <w:top w:val="none" w:sz="0" w:space="0" w:color="auto"/>
        <w:left w:val="none" w:sz="0" w:space="0" w:color="auto"/>
        <w:bottom w:val="none" w:sz="0" w:space="0" w:color="auto"/>
        <w:right w:val="none" w:sz="0" w:space="0" w:color="auto"/>
      </w:divBdr>
    </w:div>
    <w:div w:id="335888643">
      <w:bodyDiv w:val="1"/>
      <w:marLeft w:val="0"/>
      <w:marRight w:val="0"/>
      <w:marTop w:val="0"/>
      <w:marBottom w:val="0"/>
      <w:divBdr>
        <w:top w:val="none" w:sz="0" w:space="0" w:color="auto"/>
        <w:left w:val="none" w:sz="0" w:space="0" w:color="auto"/>
        <w:bottom w:val="none" w:sz="0" w:space="0" w:color="auto"/>
        <w:right w:val="none" w:sz="0" w:space="0" w:color="auto"/>
      </w:divBdr>
    </w:div>
    <w:div w:id="839736511">
      <w:bodyDiv w:val="1"/>
      <w:marLeft w:val="0"/>
      <w:marRight w:val="0"/>
      <w:marTop w:val="0"/>
      <w:marBottom w:val="0"/>
      <w:divBdr>
        <w:top w:val="none" w:sz="0" w:space="0" w:color="auto"/>
        <w:left w:val="none" w:sz="0" w:space="0" w:color="auto"/>
        <w:bottom w:val="none" w:sz="0" w:space="0" w:color="auto"/>
        <w:right w:val="none" w:sz="0" w:space="0" w:color="auto"/>
      </w:divBdr>
    </w:div>
    <w:div w:id="1046098927">
      <w:bodyDiv w:val="1"/>
      <w:marLeft w:val="0"/>
      <w:marRight w:val="0"/>
      <w:marTop w:val="0"/>
      <w:marBottom w:val="0"/>
      <w:divBdr>
        <w:top w:val="none" w:sz="0" w:space="0" w:color="auto"/>
        <w:left w:val="none" w:sz="0" w:space="0" w:color="auto"/>
        <w:bottom w:val="none" w:sz="0" w:space="0" w:color="auto"/>
        <w:right w:val="none" w:sz="0" w:space="0" w:color="auto"/>
      </w:divBdr>
    </w:div>
    <w:div w:id="1387603371">
      <w:bodyDiv w:val="1"/>
      <w:marLeft w:val="0"/>
      <w:marRight w:val="0"/>
      <w:marTop w:val="0"/>
      <w:marBottom w:val="0"/>
      <w:divBdr>
        <w:top w:val="none" w:sz="0" w:space="0" w:color="auto"/>
        <w:left w:val="none" w:sz="0" w:space="0" w:color="auto"/>
        <w:bottom w:val="none" w:sz="0" w:space="0" w:color="auto"/>
        <w:right w:val="none" w:sz="0" w:space="0" w:color="auto"/>
      </w:divBdr>
    </w:div>
    <w:div w:id="1399523401">
      <w:bodyDiv w:val="1"/>
      <w:marLeft w:val="0"/>
      <w:marRight w:val="0"/>
      <w:marTop w:val="0"/>
      <w:marBottom w:val="0"/>
      <w:divBdr>
        <w:top w:val="none" w:sz="0" w:space="0" w:color="auto"/>
        <w:left w:val="none" w:sz="0" w:space="0" w:color="auto"/>
        <w:bottom w:val="none" w:sz="0" w:space="0" w:color="auto"/>
        <w:right w:val="none" w:sz="0" w:space="0" w:color="auto"/>
      </w:divBdr>
    </w:div>
    <w:div w:id="2027631608">
      <w:bodyDiv w:val="1"/>
      <w:marLeft w:val="0"/>
      <w:marRight w:val="0"/>
      <w:marTop w:val="0"/>
      <w:marBottom w:val="0"/>
      <w:divBdr>
        <w:top w:val="none" w:sz="0" w:space="0" w:color="auto"/>
        <w:left w:val="none" w:sz="0" w:space="0" w:color="auto"/>
        <w:bottom w:val="none" w:sz="0" w:space="0" w:color="auto"/>
        <w:right w:val="none" w:sz="0" w:space="0" w:color="auto"/>
      </w:divBdr>
    </w:div>
    <w:div w:id="20738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4.11.2021 12:09:55"/>
    <f:field ref="objchangedby" par="" text="Administrator, System"/>
    <f:field ref="objmodifiedat" par="" text="4.11.2021 12:09:5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1498</Words>
  <Characters>8543</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2021-11-04T11:19:00Z</dcterms:created>
  <dcterms:modified xsi:type="dcterms:W3CDTF">2021-11-04T11:19:00Z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&lt;strong&gt;na tvorbe právnych predpisov&lt;/strong&gt;&lt;/strong&gt;&lt;/p&gt;&lt;p&gt;Návrh nariadenia vlády bol zaslaný formou cielenej konzultácie na pripomienkovanie SOZ pôšt a telekomunikácií, Únii dopravy, pôšt a tele</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Pošta a telekomunikácie_x000d_
Telekomunikácie a telekomunikačné služby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Gabriel Stančik</vt:lpwstr>
  </property>
  <property fmtid="{D5CDD505-2E9C-101B-9397-08002B2CF9AE}" pid="11" name="FSC#SKEDITIONSLOVLEX@103.510:zodppredkladatel">
    <vt:lpwstr>Andrej Doležal</vt:lpwstr>
  </property>
  <property fmtid="{D5CDD505-2E9C-101B-9397-08002B2CF9AE}" pid="12" name="FSC#SKEDITIONSLOVLEX@103.510:dalsipredkladatel">
    <vt:lpwstr/>
  </property>
  <property fmtid="{D5CDD505-2E9C-101B-9397-08002B2CF9AE}" pid="13" name="FSC#SKEDITIONSLOVLEX@103.510:nazovpredpis">
    <vt:lpwstr>, ktorým sa ustanovuje národná tabuľka frekvenčného spektra</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Ministerstvo dopravy a výstavby Slovenskej republiky</vt:lpwstr>
  </property>
  <property fmtid="{D5CDD505-2E9C-101B-9397-08002B2CF9AE}" pid="20" name="FSC#SKEDITIONSLOVLEX@103.510:autorpredpis">
    <vt:lpwstr/>
  </property>
  <property fmtid="{D5CDD505-2E9C-101B-9397-08002B2CF9AE}" pid="21" name="FSC#SKEDITIONSLOVLEX@103.510:podnetpredpis">
    <vt:lpwstr>Plán legislatívnych úloh vlády SR _x000d_
na mesiace jún až december 2021_x000d_
</vt:lpwstr>
  </property>
  <property fmtid="{D5CDD505-2E9C-101B-9397-08002B2CF9AE}" pid="22" name="FSC#SKEDITIONSLOVLEX@103.510:plnynazovpredpis">
    <vt:lpwstr> Nariadenie vlády  Slovenskej republiky, ktorým sa ustanovuje národná tabuľka frekvenčného spektra</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43364/2021/SEKPS/111584-M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LP/2021/549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Andrej Doležal_x000d_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center;"&gt;&lt;strong&gt;Predkladacia správa&lt;/strong&gt;&lt;/p&gt;&lt;p style="text-align: justify;"&gt;Návrh nariadenia vlády Slovenskej republiky, ktorým sa ustanovuje národná tabuľka frekvenčného spektra, bol vypracovaný &amp;nbsp;na základe Plánu legislatí</vt:lpwstr>
  </property>
  <property fmtid="{D5CDD505-2E9C-101B-9397-08002B2CF9AE}" pid="149" name="FSC#COOSYSTEM@1.1:Container">
    <vt:lpwstr>COO.2145.1000.3.4644909</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4. 11. 2021</vt:lpwstr>
  </property>
</Properties>
</file>