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D" w:rsidRPr="000E0661" w:rsidRDefault="000E0661" w:rsidP="00AF3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0E0661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C79">
        <w:rPr>
          <w:rFonts w:ascii="Times New Roman" w:hAnsi="Times New Roman"/>
          <w:b/>
          <w:bCs/>
          <w:sz w:val="24"/>
          <w:szCs w:val="24"/>
        </w:rPr>
        <w:t>NARIADENIE VLÁDY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C79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79">
        <w:rPr>
          <w:rFonts w:ascii="Times New Roman" w:hAnsi="Times New Roman"/>
          <w:sz w:val="24"/>
          <w:szCs w:val="24"/>
        </w:rPr>
        <w:t>z ............... 2021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ED" w:rsidRPr="007A5C79" w:rsidRDefault="00F2706E" w:rsidP="00AF3EED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ktorým sa ustanovujú podrobnosti </w:t>
      </w:r>
      <w:r w:rsidR="00AF3EED" w:rsidRPr="007A5C79">
        <w:rPr>
          <w:rFonts w:ascii="Times New Roman" w:hAnsi="Times New Roman"/>
          <w:b/>
          <w:sz w:val="24"/>
          <w:szCs w:val="24"/>
        </w:rPr>
        <w:t xml:space="preserve">o </w:t>
      </w:r>
      <w:r w:rsidR="00AF3EED" w:rsidRPr="007A5C79">
        <w:rPr>
          <w:rFonts w:ascii="Times New Roman" w:hAnsi="Times New Roman"/>
          <w:b/>
          <w:sz w:val="24"/>
          <w:szCs w:val="24"/>
          <w:lang w:eastAsia="sk-SK"/>
        </w:rPr>
        <w:t xml:space="preserve">spôsobe ustanovenia verejnej minimálnej siete poskytovateľov všeobecnej ambulantnej starostlivosti </w:t>
      </w:r>
    </w:p>
    <w:p w:rsidR="00AF3EED" w:rsidRPr="007A5C79" w:rsidRDefault="00AF3EED" w:rsidP="00AF3EED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AF3EED" w:rsidRPr="007A5C79" w:rsidRDefault="00AF3EED" w:rsidP="00AF3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5C79">
        <w:rPr>
          <w:rFonts w:ascii="Times New Roman" w:eastAsia="Times New Roman" w:hAnsi="Times New Roman"/>
          <w:sz w:val="24"/>
          <w:szCs w:val="24"/>
          <w:lang w:eastAsia="sk-SK"/>
        </w:rPr>
        <w:t>Vláda Slovenskej republiky podľa </w:t>
      </w:r>
      <w:hyperlink r:id="rId12" w:anchor="paragraf-5.odsek-5" w:tooltip="Odkaz na predpis alebo ustanovenie" w:history="1">
        <w:r w:rsidRPr="007A5C79">
          <w:rPr>
            <w:rFonts w:ascii="Times New Roman" w:eastAsia="Times New Roman" w:hAnsi="Times New Roman"/>
            <w:iCs/>
            <w:sz w:val="24"/>
            <w:szCs w:val="24"/>
            <w:lang w:eastAsia="sk-SK"/>
          </w:rPr>
          <w:t>§ 5b ods. 3 zákona č. 578/2004 Z. z.</w:t>
        </w:r>
      </w:hyperlink>
      <w:r w:rsidRPr="007A5C79">
        <w:rPr>
          <w:rFonts w:ascii="Times New Roman" w:eastAsia="Times New Roman" w:hAnsi="Times New Roman"/>
          <w:sz w:val="24"/>
          <w:szCs w:val="24"/>
          <w:lang w:eastAsia="sk-SK"/>
        </w:rPr>
        <w:t> o poskytovateľoch zdravotnej starostlivosti, zdravotníckych pracovníkoch, stavovských organizáciách v zdravotníctve a o zmene a doplnení niektorých zákonov v znení zákona č. .../2021 Z. z. (ďalej len „zákon“) nariaďuje:</w:t>
      </w:r>
    </w:p>
    <w:p w:rsidR="00AF3EED" w:rsidRPr="007A5C79" w:rsidRDefault="00AF3EED" w:rsidP="00AF3EED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A5C79">
        <w:rPr>
          <w:rFonts w:ascii="Times New Roman" w:hAnsi="Times New Roman"/>
          <w:sz w:val="24"/>
          <w:szCs w:val="24"/>
        </w:rPr>
        <w:tab/>
      </w:r>
    </w:p>
    <w:p w:rsidR="00AF3EED" w:rsidRPr="007A5C79" w:rsidRDefault="00AF3EED" w:rsidP="00AF3E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eastAsia="Times New Roman" w:hAnsi="Times New Roman"/>
          <w:b/>
          <w:sz w:val="24"/>
          <w:szCs w:val="24"/>
          <w:lang w:eastAsia="sk-SK"/>
        </w:rPr>
        <w:t>§ 1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 xml:space="preserve">Spôsob ustanovenia </w:t>
      </w:r>
      <w:r w:rsidR="00A8755B" w:rsidRPr="007A5C79">
        <w:rPr>
          <w:rFonts w:ascii="Times New Roman" w:hAnsi="Times New Roman"/>
          <w:b/>
          <w:sz w:val="24"/>
          <w:szCs w:val="24"/>
          <w:lang w:eastAsia="sk-SK"/>
        </w:rPr>
        <w:t xml:space="preserve">verejnej </w:t>
      </w:r>
      <w:r w:rsidRPr="007A5C79">
        <w:rPr>
          <w:rFonts w:ascii="Times New Roman" w:hAnsi="Times New Roman"/>
          <w:b/>
          <w:sz w:val="24"/>
          <w:szCs w:val="24"/>
          <w:lang w:eastAsia="sk-SK"/>
        </w:rPr>
        <w:t>minimálnej siete poskytovateľov všeobecnej ambulantnej starostlivosti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132C6" w:rsidRPr="007A5C79" w:rsidRDefault="001132C6" w:rsidP="001132C6">
      <w:pPr>
        <w:pStyle w:val="Odsekzoznamu"/>
        <w:numPr>
          <w:ilvl w:val="0"/>
          <w:numId w:val="11"/>
        </w:numPr>
        <w:ind w:left="0" w:firstLine="349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>Verejná minimálna sieť poskytovateľov všeobecnej ambulantnej starostlivosti</w:t>
      </w:r>
      <w:r>
        <w:rPr>
          <w:bCs/>
          <w:shd w:val="clear" w:color="auto" w:fill="FFFFFF"/>
        </w:rPr>
        <w:t xml:space="preserve"> </w:t>
      </w:r>
      <w:r w:rsidRPr="007A5C79">
        <w:rPr>
          <w:bCs/>
          <w:shd w:val="clear" w:color="auto" w:fill="FFFFFF"/>
        </w:rPr>
        <w:t>(ďalej len „minimálna sieť poskytovateľov všeobecnej ambulantnej starostlivosti“)</w:t>
      </w:r>
      <w:r>
        <w:rPr>
          <w:bCs/>
          <w:shd w:val="clear" w:color="auto" w:fill="FFFFFF"/>
        </w:rPr>
        <w:t xml:space="preserve"> </w:t>
      </w:r>
      <w:r w:rsidRPr="007A5C79">
        <w:rPr>
          <w:bCs/>
          <w:shd w:val="clear" w:color="auto" w:fill="FFFFFF"/>
        </w:rPr>
        <w:t xml:space="preserve">sa ustanovuje osobitne pre </w:t>
      </w:r>
      <w:r w:rsidRPr="007A5C79">
        <w:rPr>
          <w:lang w:eastAsia="sk-SK"/>
        </w:rPr>
        <w:t>všeobecnú ambulantnú starostlivosť pre</w:t>
      </w:r>
    </w:p>
    <w:p w:rsidR="001132C6" w:rsidRPr="007A5C79" w:rsidRDefault="001132C6" w:rsidP="001132C6">
      <w:pPr>
        <w:pStyle w:val="Odsekzoznamu"/>
        <w:numPr>
          <w:ilvl w:val="1"/>
          <w:numId w:val="11"/>
        </w:numPr>
        <w:ind w:left="1434" w:hanging="357"/>
        <w:contextualSpacing/>
        <w:jc w:val="both"/>
        <w:rPr>
          <w:lang w:eastAsia="sk-SK"/>
        </w:rPr>
      </w:pPr>
      <w:r w:rsidRPr="007A5C79">
        <w:rPr>
          <w:lang w:eastAsia="sk-SK"/>
        </w:rPr>
        <w:t>dospelých,</w:t>
      </w:r>
    </w:p>
    <w:p w:rsidR="001132C6" w:rsidRPr="00ED2264" w:rsidRDefault="001132C6" w:rsidP="00ED2264">
      <w:pPr>
        <w:pStyle w:val="Odsekzoznamu"/>
        <w:numPr>
          <w:ilvl w:val="1"/>
          <w:numId w:val="11"/>
        </w:numPr>
        <w:spacing w:after="200"/>
        <w:ind w:left="1434" w:hanging="357"/>
        <w:jc w:val="both"/>
        <w:rPr>
          <w:lang w:eastAsia="sk-SK"/>
        </w:rPr>
      </w:pPr>
      <w:r w:rsidRPr="007A5C79">
        <w:rPr>
          <w:lang w:eastAsia="sk-SK"/>
        </w:rPr>
        <w:t>deti a dorast.</w:t>
      </w:r>
    </w:p>
    <w:p w:rsidR="00AF3EED" w:rsidRPr="007A5C79" w:rsidRDefault="001132C6" w:rsidP="004120A9">
      <w:pPr>
        <w:pStyle w:val="Odsekzoznamu"/>
        <w:numPr>
          <w:ilvl w:val="0"/>
          <w:numId w:val="11"/>
        </w:numPr>
        <w:spacing w:after="200"/>
        <w:ind w:left="0" w:firstLine="352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M</w:t>
      </w:r>
      <w:r w:rsidR="00AF3EED" w:rsidRPr="007A5C79">
        <w:rPr>
          <w:bCs/>
          <w:shd w:val="clear" w:color="auto" w:fill="FFFFFF"/>
        </w:rPr>
        <w:t xml:space="preserve">inimálna sieť poskytovateľov všeobecnej ambulantnej starostlivosti sa ustanovuje každoročne pre územie okresu tak,  aby sa zabezpečila potrebná kapacita poskytovateľov všeobecnej ambulantnej starostlivosti v okrese (ďalej len „ potrebná kapacita“) a miestna dostupnosť poskytovateľov všeobecnej ambulantnej starostlivosti v okrese (ďalej len „miestna dostupnosť“). </w:t>
      </w:r>
    </w:p>
    <w:p w:rsidR="00AF3EED" w:rsidRPr="007A5C79" w:rsidRDefault="00AF3EED" w:rsidP="004120A9">
      <w:pPr>
        <w:pStyle w:val="Odsekzoznamu"/>
        <w:numPr>
          <w:ilvl w:val="0"/>
          <w:numId w:val="11"/>
        </w:numPr>
        <w:spacing w:after="200"/>
        <w:ind w:left="0" w:firstLine="352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Miestna dostupnosť je vyjadrená ako najkratší čas dojazdu osobným motorovým vozidlom z každej obce do najbližšej obce, v ktorej má poskytovateľ všeobecnej ambulantnej starostlivosti miesto prevádzkovania. Miestna dostupnosť v okrese je zabezpečená, ak čas dojazdu nepresiahne 25 minút. Čas dojazdu sa určí podľa matice časov dojazdu zverejnenej na webovom sídle Ministerstva zdravotníctva Slovenskej republiky v elektronicky spracovateľnej podobe. </w:t>
      </w:r>
    </w:p>
    <w:p w:rsidR="00AF3EED" w:rsidRPr="007A5C79" w:rsidRDefault="00AF3EED" w:rsidP="004120A9">
      <w:pPr>
        <w:pStyle w:val="Odsekzoznamu"/>
        <w:numPr>
          <w:ilvl w:val="0"/>
          <w:numId w:val="11"/>
        </w:numPr>
        <w:spacing w:after="200"/>
        <w:ind w:left="0" w:firstLine="352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 Potrebná kapacita je vyjadrená </w:t>
      </w:r>
      <w:r w:rsidR="001132C6">
        <w:rPr>
          <w:bCs/>
          <w:shd w:val="clear" w:color="auto" w:fill="FFFFFF"/>
        </w:rPr>
        <w:t xml:space="preserve">ako </w:t>
      </w:r>
      <w:r w:rsidRPr="007A5C79">
        <w:rPr>
          <w:bCs/>
          <w:shd w:val="clear" w:color="auto" w:fill="FFFFFF"/>
        </w:rPr>
        <w:t>podiel počtu prepočítaných poistencov</w:t>
      </w:r>
      <w:r w:rsidRPr="007A5C79">
        <w:rPr>
          <w:rStyle w:val="Odkaznapoznmkupodiarou"/>
          <w:bCs/>
          <w:shd w:val="clear" w:color="auto" w:fill="FFFFFF"/>
        </w:rPr>
        <w:footnoteReference w:id="1"/>
      </w:r>
      <w:r w:rsidRPr="007A5C79">
        <w:rPr>
          <w:bCs/>
          <w:shd w:val="clear" w:color="auto" w:fill="FFFFFF"/>
        </w:rPr>
        <w:t>) v okrese</w:t>
      </w:r>
      <w:r w:rsidR="009A655E">
        <w:rPr>
          <w:bCs/>
          <w:shd w:val="clear" w:color="auto" w:fill="FFFFFF"/>
        </w:rPr>
        <w:t xml:space="preserve"> určenom podľa miesta pobytu poistenca uvedenom v centrálnom registri poistencov</w:t>
      </w:r>
      <w:r w:rsidRPr="007A5C79">
        <w:rPr>
          <w:bCs/>
          <w:shd w:val="clear" w:color="auto" w:fill="FFFFFF"/>
        </w:rPr>
        <w:t xml:space="preserve"> pri zohľadnení hodnôt vnútroštátnej migrácie a normatívneho počtu kapitovaných poistencov na jedno lekárske miesto u poskytovateľa všeobecnej ambulantnej starostlivosti pre dospelých a u poskytovateľa všeobecnej ambulantnej starostlivosti pre deti a dorast (ďalej len „normatívny počet kapitovaných poistencov“). Postup výpočtu je uvedený v prílohe č. 1. </w:t>
      </w:r>
    </w:p>
    <w:p w:rsidR="00AF3EED" w:rsidRPr="007A5C79" w:rsidRDefault="00AF3EED" w:rsidP="004120A9">
      <w:pPr>
        <w:pStyle w:val="Odsekzoznamu"/>
        <w:numPr>
          <w:ilvl w:val="0"/>
          <w:numId w:val="11"/>
        </w:numPr>
        <w:spacing w:after="200"/>
        <w:ind w:left="0" w:firstLine="352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lastRenderedPageBreak/>
        <w:t xml:space="preserve"> Na určenie počtu prepočítaných poistencov sa použije index náročnosti poistenca uvedený v prílohe č. 1 štvrtom bode, ktorý vyjadruje odchýlku náročnosti vekovej skupiny vo vzťahu k priemernému počtu návštev vo všeobecnej ambulancii a časovú náročnosť poskytovania zdravotnej starostlivosti. Postup výpočtu je uvedený v prílohe č. 1 treťom bode.</w:t>
      </w:r>
    </w:p>
    <w:p w:rsidR="00AF3EED" w:rsidRPr="007A5C79" w:rsidRDefault="00AF3EED" w:rsidP="004120A9">
      <w:pPr>
        <w:pStyle w:val="Odsekzoznamu"/>
        <w:numPr>
          <w:ilvl w:val="0"/>
          <w:numId w:val="11"/>
        </w:numPr>
        <w:ind w:left="0" w:firstLine="349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>Normatívny počet kapitovaných poistencov je</w:t>
      </w:r>
    </w:p>
    <w:p w:rsidR="00AF3EED" w:rsidRPr="007A5C79" w:rsidRDefault="00AF3EED" w:rsidP="00AF3EED">
      <w:pPr>
        <w:pStyle w:val="Odsekzoznamu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a) 1 600 </w:t>
      </w:r>
      <w:r w:rsidR="00ED2264">
        <w:rPr>
          <w:bCs/>
          <w:shd w:val="clear" w:color="auto" w:fill="FFFFFF"/>
        </w:rPr>
        <w:t xml:space="preserve">kapitovaných </w:t>
      </w:r>
      <w:r w:rsidRPr="007A5C79">
        <w:rPr>
          <w:bCs/>
          <w:shd w:val="clear" w:color="auto" w:fill="FFFFFF"/>
        </w:rPr>
        <w:t xml:space="preserve">poistencov u poskytovateľa všeobecnej ambulantnej starostlivosti pre dospelých, </w:t>
      </w:r>
    </w:p>
    <w:p w:rsidR="00AF3EED" w:rsidRPr="007A5C79" w:rsidRDefault="00AF3EED" w:rsidP="00A2590D">
      <w:pPr>
        <w:pStyle w:val="Odsekzoznamu"/>
        <w:spacing w:after="200"/>
        <w:ind w:left="709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b)  1 100 </w:t>
      </w:r>
      <w:r w:rsidR="00ED2264">
        <w:rPr>
          <w:bCs/>
          <w:shd w:val="clear" w:color="auto" w:fill="FFFFFF"/>
        </w:rPr>
        <w:t xml:space="preserve">kapitovaných </w:t>
      </w:r>
      <w:r w:rsidRPr="007A5C79">
        <w:rPr>
          <w:bCs/>
          <w:shd w:val="clear" w:color="auto" w:fill="FFFFFF"/>
        </w:rPr>
        <w:t>poistencov u poskytovateľa všeobecnej ambulantnej starostlivosti pre deti a dorast.</w:t>
      </w:r>
    </w:p>
    <w:p w:rsidR="00AF3EED" w:rsidRPr="007A5C79" w:rsidRDefault="00AF3EED" w:rsidP="004120A9">
      <w:pPr>
        <w:pStyle w:val="Odsekzoznamu"/>
        <w:numPr>
          <w:ilvl w:val="0"/>
          <w:numId w:val="11"/>
        </w:numPr>
        <w:spacing w:after="200"/>
        <w:ind w:left="0" w:firstLine="352"/>
        <w:jc w:val="both"/>
        <w:rPr>
          <w:lang w:eastAsia="sk-SK"/>
        </w:rPr>
      </w:pPr>
      <w:r w:rsidRPr="007A5C79">
        <w:rPr>
          <w:bCs/>
          <w:shd w:val="clear" w:color="auto" w:fill="FFFFFF"/>
        </w:rPr>
        <w:t xml:space="preserve">Vnútroštátna migrácia je </w:t>
      </w:r>
      <w:r w:rsidRPr="007A5C79">
        <w:rPr>
          <w:lang w:eastAsia="sk-SK"/>
        </w:rPr>
        <w:t>vyjadrená</w:t>
      </w:r>
      <w:r w:rsidRPr="007A5C79">
        <w:t xml:space="preserve"> ako pomer medzi súčtom </w:t>
      </w:r>
      <w:r w:rsidRPr="007A5C79">
        <w:rPr>
          <w:bCs/>
          <w:shd w:val="clear" w:color="auto" w:fill="FFFFFF"/>
        </w:rPr>
        <w:t xml:space="preserve">kapitovaných poistencov a súčtom </w:t>
      </w:r>
      <w:proofErr w:type="spellStart"/>
      <w:r w:rsidRPr="007A5C79">
        <w:rPr>
          <w:bCs/>
          <w:shd w:val="clear" w:color="auto" w:fill="FFFFFF"/>
        </w:rPr>
        <w:t>nekapitovaných</w:t>
      </w:r>
      <w:proofErr w:type="spellEnd"/>
      <w:r w:rsidRPr="007A5C79">
        <w:rPr>
          <w:bCs/>
          <w:shd w:val="clear" w:color="auto" w:fill="FFFFFF"/>
        </w:rPr>
        <w:t xml:space="preserve"> poistencov v okrese k celkovému počtu poistencov v okrese. </w:t>
      </w:r>
      <w:proofErr w:type="spellStart"/>
      <w:r w:rsidRPr="007A5C79">
        <w:rPr>
          <w:bCs/>
          <w:shd w:val="clear" w:color="auto" w:fill="FFFFFF"/>
        </w:rPr>
        <w:t>Nekapitovaný</w:t>
      </w:r>
      <w:proofErr w:type="spellEnd"/>
      <w:r w:rsidRPr="007A5C79">
        <w:rPr>
          <w:bCs/>
          <w:shd w:val="clear" w:color="auto" w:fill="FFFFFF"/>
        </w:rPr>
        <w:t xml:space="preserve"> poistenec na účel spôsobu určenia hodnôt vnútroštátnej migrácie je poistenec, ktorý nemá </w:t>
      </w:r>
      <w:r w:rsidRPr="007A5C79">
        <w:rPr>
          <w:lang w:eastAsia="sk-SK"/>
        </w:rPr>
        <w:t>uzatvorenú dohodu o poskytovaní zdravotnej starostlivosti</w:t>
      </w:r>
      <w:r w:rsidRPr="007A5C79">
        <w:rPr>
          <w:rStyle w:val="Odkaznapoznmkupodiarou"/>
          <w:lang w:eastAsia="sk-SK"/>
        </w:rPr>
        <w:footnoteReference w:id="2"/>
      </w:r>
      <w:r w:rsidRPr="007A5C79">
        <w:rPr>
          <w:lang w:eastAsia="sk-SK"/>
        </w:rPr>
        <w:t xml:space="preserve">) s poskytovateľom všeobecnej ambulantnej starostlivosti pre dospelých alebo poskytovateľom všeobecnej ambulantnej starostlivosti pre deti a dorast. Spôsob určenia hodnôt vnútroštátnej migrácie na účel  určenia počtu lekárskych miest minimálnej siete poskytovateľov </w:t>
      </w:r>
      <w:r w:rsidRPr="007A5C79">
        <w:rPr>
          <w:bCs/>
          <w:shd w:val="clear" w:color="auto" w:fill="FFFFFF"/>
        </w:rPr>
        <w:t>všeobecnej</w:t>
      </w:r>
      <w:r w:rsidRPr="007A5C79">
        <w:rPr>
          <w:lang w:eastAsia="sk-SK"/>
        </w:rPr>
        <w:t xml:space="preserve"> ambulantnej starostlivosti je uvedený  v prílohe č. 2.</w:t>
      </w:r>
    </w:p>
    <w:p w:rsidR="00AF3EED" w:rsidRPr="007A5C79" w:rsidRDefault="00AF3EED" w:rsidP="004120A9">
      <w:pPr>
        <w:pStyle w:val="Odsekzoznamu"/>
        <w:numPr>
          <w:ilvl w:val="0"/>
          <w:numId w:val="11"/>
        </w:numPr>
        <w:spacing w:after="200"/>
        <w:ind w:left="0" w:firstLine="284"/>
        <w:jc w:val="both"/>
        <w:rPr>
          <w:lang w:eastAsia="sk-SK"/>
        </w:rPr>
      </w:pPr>
      <w:r w:rsidRPr="007A5C79">
        <w:rPr>
          <w:lang w:eastAsia="sk-SK"/>
        </w:rPr>
        <w:t xml:space="preserve">Na účel ustanovenia </w:t>
      </w:r>
      <w:r w:rsidRPr="007A5C79">
        <w:rPr>
          <w:bCs/>
          <w:shd w:val="clear" w:color="auto" w:fill="FFFFFF"/>
        </w:rPr>
        <w:t>minimálnej siete poskytovateľov všeobecnej ambulantnej starostlivosti</w:t>
      </w:r>
      <w:r w:rsidRPr="007A5C79">
        <w:rPr>
          <w:lang w:eastAsia="sk-SK"/>
        </w:rPr>
        <w:t xml:space="preserve"> sa </w:t>
      </w:r>
      <w:r w:rsidRPr="007A5C79">
        <w:rPr>
          <w:bCs/>
          <w:shd w:val="clear" w:color="auto" w:fill="FFFFFF"/>
        </w:rPr>
        <w:t xml:space="preserve">pod </w:t>
      </w:r>
      <w:r w:rsidRPr="007A5C79">
        <w:rPr>
          <w:lang w:eastAsia="sk-SK"/>
        </w:rPr>
        <w:t>pojmom</w:t>
      </w:r>
      <w:r w:rsidRPr="007A5C79">
        <w:rPr>
          <w:bCs/>
          <w:shd w:val="clear" w:color="auto" w:fill="FFFFFF"/>
        </w:rPr>
        <w:t xml:space="preserve"> okres Bratislava rozumie územie okresov Bratislava I, Bratislava II, Bratislava III, Bratislava IV a Bratislava V a pod pojmom okres Košice sa rozumie územie okresov Košice I, Košice II, Košice III, Košice IV a Košice-okolie.</w:t>
      </w:r>
    </w:p>
    <w:p w:rsidR="00AF3EED" w:rsidRPr="007A5C79" w:rsidRDefault="00AF3EED" w:rsidP="00AF3EED">
      <w:pPr>
        <w:pStyle w:val="Odsekzoznamu"/>
        <w:jc w:val="center"/>
        <w:rPr>
          <w:b/>
          <w:lang w:eastAsia="sk-SK"/>
        </w:rPr>
      </w:pPr>
    </w:p>
    <w:p w:rsidR="00AF3EED" w:rsidRPr="007A5C79" w:rsidRDefault="00AF3EED" w:rsidP="00AF3EED">
      <w:pPr>
        <w:pStyle w:val="Odsekzoznamu"/>
        <w:jc w:val="center"/>
        <w:rPr>
          <w:b/>
          <w:lang w:eastAsia="sk-SK"/>
        </w:rPr>
      </w:pPr>
      <w:r w:rsidRPr="007A5C79">
        <w:rPr>
          <w:b/>
          <w:lang w:eastAsia="sk-SK"/>
        </w:rPr>
        <w:t>§ 2</w:t>
      </w:r>
    </w:p>
    <w:p w:rsidR="00AF3EED" w:rsidRPr="007A5C79" w:rsidRDefault="00AF3EED" w:rsidP="00AF3EED">
      <w:pPr>
        <w:pStyle w:val="Odsekzoznamu"/>
        <w:jc w:val="center"/>
        <w:rPr>
          <w:b/>
          <w:lang w:eastAsia="sk-SK"/>
        </w:rPr>
      </w:pPr>
      <w:r w:rsidRPr="007A5C79">
        <w:rPr>
          <w:b/>
          <w:lang w:eastAsia="sk-SK"/>
        </w:rPr>
        <w:t xml:space="preserve">Parametre klasifikácie okresov </w:t>
      </w:r>
    </w:p>
    <w:p w:rsidR="00AF3EED" w:rsidRPr="007A5C79" w:rsidRDefault="00AF3EED" w:rsidP="00AF3EED">
      <w:pPr>
        <w:pStyle w:val="Odsekzoznamu"/>
        <w:jc w:val="center"/>
        <w:rPr>
          <w:shd w:val="clear" w:color="auto" w:fill="FFFFFF"/>
        </w:rPr>
      </w:pPr>
    </w:p>
    <w:p w:rsidR="00AF3EED" w:rsidRPr="007A5C79" w:rsidRDefault="00AF3EED" w:rsidP="00AF3EED">
      <w:pPr>
        <w:pStyle w:val="Odsekzoznamu"/>
        <w:ind w:left="0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>Parametre klasifikácie okresov sú</w:t>
      </w:r>
    </w:p>
    <w:p w:rsidR="00AF3EED" w:rsidRPr="007A5C79" w:rsidRDefault="00AF3EED" w:rsidP="004120A9">
      <w:pPr>
        <w:pStyle w:val="Odsekzoznamu"/>
        <w:numPr>
          <w:ilvl w:val="1"/>
          <w:numId w:val="12"/>
        </w:numPr>
        <w:ind w:left="709"/>
        <w:contextualSpacing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>počet poistencov okresu, ktorí nemajú zabezpečenú miestnu dostupnosť určený ako súčet poistencov</w:t>
      </w:r>
      <w:r w:rsidR="000203F2">
        <w:rPr>
          <w:bCs/>
          <w:shd w:val="clear" w:color="auto" w:fill="FFFFFF"/>
        </w:rPr>
        <w:t xml:space="preserve"> v</w:t>
      </w:r>
      <w:r w:rsidRPr="007A5C79">
        <w:rPr>
          <w:bCs/>
          <w:shd w:val="clear" w:color="auto" w:fill="FFFFFF"/>
        </w:rPr>
        <w:t xml:space="preserve"> obc</w:t>
      </w:r>
      <w:r w:rsidR="000203F2">
        <w:rPr>
          <w:bCs/>
          <w:shd w:val="clear" w:color="auto" w:fill="FFFFFF"/>
        </w:rPr>
        <w:t>iach</w:t>
      </w:r>
      <w:r w:rsidRPr="007A5C79">
        <w:rPr>
          <w:bCs/>
          <w:shd w:val="clear" w:color="auto" w:fill="FFFFFF"/>
        </w:rPr>
        <w:t xml:space="preserve"> okresu,</w:t>
      </w:r>
      <w:r w:rsidRPr="007A5C79">
        <w:rPr>
          <w:lang w:eastAsia="sk-SK"/>
        </w:rPr>
        <w:t xml:space="preserve"> ktoré nemajú zabezpečenú miestnu dostupnosť </w:t>
      </w:r>
      <w:r w:rsidRPr="007A5C79">
        <w:rPr>
          <w:bCs/>
          <w:shd w:val="clear" w:color="auto" w:fill="FFFFFF"/>
        </w:rPr>
        <w:t>podľa § 3 ods</w:t>
      </w:r>
      <w:r w:rsidR="00B61776">
        <w:rPr>
          <w:bCs/>
          <w:shd w:val="clear" w:color="auto" w:fill="FFFFFF"/>
        </w:rPr>
        <w:t>.</w:t>
      </w:r>
      <w:r w:rsidRPr="007A5C79">
        <w:rPr>
          <w:bCs/>
          <w:shd w:val="clear" w:color="auto" w:fill="FFFFFF"/>
        </w:rPr>
        <w:t xml:space="preserve"> 6,</w:t>
      </w:r>
    </w:p>
    <w:p w:rsidR="00AF3EED" w:rsidRPr="007A5C79" w:rsidRDefault="00AF3EED" w:rsidP="004120A9">
      <w:pPr>
        <w:pStyle w:val="Odsekzoznamu"/>
        <w:numPr>
          <w:ilvl w:val="1"/>
          <w:numId w:val="12"/>
        </w:numPr>
        <w:ind w:left="709"/>
        <w:contextualSpacing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percentuálne vyjadrená miera naplnenia potrebnej kapacity určená ako </w:t>
      </w:r>
      <w:r w:rsidRPr="007A5C79">
        <w:rPr>
          <w:lang w:eastAsia="sk-SK"/>
        </w:rPr>
        <w:t xml:space="preserve">percentuálny podiel počtu lekárskych miest </w:t>
      </w:r>
      <w:r w:rsidRPr="007A5C79">
        <w:rPr>
          <w:bCs/>
          <w:shd w:val="clear" w:color="auto" w:fill="FFFFFF"/>
        </w:rPr>
        <w:t xml:space="preserve">podľa § 3 </w:t>
      </w:r>
      <w:r w:rsidRPr="007A5C79">
        <w:rPr>
          <w:lang w:eastAsia="sk-SK"/>
        </w:rPr>
        <w:t>ods</w:t>
      </w:r>
      <w:r w:rsidR="00B61776">
        <w:rPr>
          <w:lang w:eastAsia="sk-SK"/>
        </w:rPr>
        <w:t>.</w:t>
      </w:r>
      <w:r w:rsidRPr="007A5C79">
        <w:rPr>
          <w:lang w:eastAsia="sk-SK"/>
        </w:rPr>
        <w:t xml:space="preserve"> 5 a počtu lekárskych miest </w:t>
      </w:r>
      <w:r w:rsidRPr="007A5C79">
        <w:rPr>
          <w:bCs/>
          <w:shd w:val="clear" w:color="auto" w:fill="FFFFFF"/>
        </w:rPr>
        <w:t xml:space="preserve">podľa § 3 </w:t>
      </w:r>
      <w:r w:rsidRPr="007A5C79">
        <w:rPr>
          <w:lang w:eastAsia="sk-SK"/>
        </w:rPr>
        <w:t>ods</w:t>
      </w:r>
      <w:r w:rsidR="00B61776">
        <w:rPr>
          <w:lang w:eastAsia="sk-SK"/>
        </w:rPr>
        <w:t>.</w:t>
      </w:r>
      <w:r w:rsidRPr="007A5C79">
        <w:rPr>
          <w:lang w:eastAsia="sk-SK"/>
        </w:rPr>
        <w:t xml:space="preserve"> 4,</w:t>
      </w:r>
      <w:r w:rsidRPr="007A5C79">
        <w:rPr>
          <w:bCs/>
          <w:shd w:val="clear" w:color="auto" w:fill="FFFFFF"/>
        </w:rPr>
        <w:t xml:space="preserve"> </w:t>
      </w:r>
    </w:p>
    <w:p w:rsidR="00AF3EED" w:rsidRPr="007A5C79" w:rsidRDefault="00AF3EED" w:rsidP="004120A9">
      <w:pPr>
        <w:pStyle w:val="Odsekzoznamu"/>
        <w:numPr>
          <w:ilvl w:val="1"/>
          <w:numId w:val="12"/>
        </w:numPr>
        <w:spacing w:after="200"/>
        <w:ind w:left="709" w:hanging="357"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>demografická štruktúra lekárov so špecializáciou v špecializačnom odbore všeobecné lekárstvo a lekárov so špecializáciou v špecializačnom odbore pediatria, ktorí vykonávajú zdravotnícke povolanie podľa § 3 ods. 4 písm. a) až c) zákona u poskytovateľa všeobecnej ambulantnej starostlivosti v okrese (ďalej len „všeobecný lekár“) určená ako percentuálny podiel súčtu úväzkov všeobecných lekárov v okrese, ktorí dovŕšia vek 63 rokov v kalendárnom roku, pre ktorý sa ustanovuje minimálna sieť poskytovateľov všeobecnej ambulantnej starostlivosti a celkového súčtu úväzkov všeobecných lekárov v okrese.</w:t>
      </w:r>
    </w:p>
    <w:p w:rsidR="00AF3EED" w:rsidRPr="007A5C79" w:rsidRDefault="00AF3EED" w:rsidP="00A2590D">
      <w:pPr>
        <w:pStyle w:val="Odsekzoznamu"/>
        <w:ind w:left="709"/>
        <w:jc w:val="center"/>
        <w:rPr>
          <w:b/>
          <w:lang w:eastAsia="sk-SK"/>
        </w:rPr>
      </w:pPr>
    </w:p>
    <w:p w:rsidR="00AF3EED" w:rsidRPr="007A5C79" w:rsidRDefault="00AF3EED" w:rsidP="00AF3EED">
      <w:pPr>
        <w:pStyle w:val="Odsekzoznamu"/>
        <w:jc w:val="center"/>
        <w:rPr>
          <w:b/>
          <w:lang w:eastAsia="sk-SK"/>
        </w:rPr>
      </w:pPr>
      <w:r w:rsidRPr="007A5C79">
        <w:rPr>
          <w:b/>
          <w:lang w:eastAsia="sk-SK"/>
        </w:rPr>
        <w:t>§ 3</w:t>
      </w:r>
    </w:p>
    <w:p w:rsidR="00AF3EED" w:rsidRPr="007A5C79" w:rsidRDefault="00AF3EED" w:rsidP="00AF3EED">
      <w:pPr>
        <w:pStyle w:val="Odsekzoznamu"/>
        <w:jc w:val="center"/>
        <w:rPr>
          <w:b/>
          <w:lang w:eastAsia="sk-SK"/>
        </w:rPr>
      </w:pPr>
      <w:r w:rsidRPr="007A5C79">
        <w:rPr>
          <w:b/>
          <w:lang w:eastAsia="sk-SK"/>
        </w:rPr>
        <w:t xml:space="preserve">Podrobnosti o postupe, povinných subjektoch, sprístupňovaných údajoch a o výsledkoch vyhodnocovania stavu </w:t>
      </w:r>
      <w:r w:rsidR="00A8755B" w:rsidRPr="007A5C79">
        <w:rPr>
          <w:b/>
          <w:lang w:eastAsia="sk-SK"/>
        </w:rPr>
        <w:t xml:space="preserve">verejnej </w:t>
      </w:r>
      <w:r w:rsidRPr="007A5C79">
        <w:rPr>
          <w:b/>
          <w:lang w:eastAsia="sk-SK"/>
        </w:rPr>
        <w:t>minimálnej siete poskytovateľov všeobecnej ambulantnej starostlivosti</w:t>
      </w:r>
      <w:r w:rsidRPr="007A5C79" w:rsidDel="001276B1">
        <w:rPr>
          <w:b/>
          <w:lang w:eastAsia="sk-SK"/>
        </w:rPr>
        <w:t xml:space="preserve"> </w:t>
      </w:r>
    </w:p>
    <w:p w:rsidR="00AF3EED" w:rsidRPr="007A5C79" w:rsidRDefault="00AF3EED" w:rsidP="00AF3EED">
      <w:pPr>
        <w:pStyle w:val="Odsekzoznamu"/>
        <w:jc w:val="center"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lastRenderedPageBreak/>
        <w:t>Vyhodnocovanie stavu siete podľa § 5c zákona sa uskutočňuje osobitne pre poskytovateľov všeobecnej ambulantnej starostlivosti pre dospelých a osobitne pre poskytovateľov všeobecnej ambulantnej starostlivosti pre deti a dorast.</w:t>
      </w:r>
    </w:p>
    <w:p w:rsidR="00AF3EED" w:rsidRPr="007A5C79" w:rsidRDefault="00AF3EED" w:rsidP="00365520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t xml:space="preserve">Rozsah údajov podľa § 5c ods. 1 zákona </w:t>
      </w:r>
      <w:r w:rsidR="00B61776" w:rsidRPr="007A5C79">
        <w:rPr>
          <w:lang w:eastAsia="sk-SK"/>
        </w:rPr>
        <w:t>sprístupňovaný</w:t>
      </w:r>
      <w:r w:rsidR="00B61776">
        <w:rPr>
          <w:lang w:eastAsia="sk-SK"/>
        </w:rPr>
        <w:t>ch</w:t>
      </w:r>
      <w:r w:rsidR="00B61776" w:rsidRPr="007A5C79">
        <w:rPr>
          <w:lang w:eastAsia="sk-SK"/>
        </w:rPr>
        <w:t xml:space="preserve"> </w:t>
      </w:r>
      <w:r w:rsidRPr="007A5C79">
        <w:rPr>
          <w:lang w:eastAsia="sk-SK"/>
        </w:rPr>
        <w:t xml:space="preserve">povinnými subjektmi v elektronicky spracovateľnej podobe je uvedený v prílohe č. 3.  </w:t>
      </w:r>
    </w:p>
    <w:p w:rsidR="00AF3EED" w:rsidRPr="007A5C79" w:rsidRDefault="00AF3EED" w:rsidP="004120A9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t xml:space="preserve">Výsledky vyhodnocovania podľa § 5c ods. 4 zákona sa zverejňujú v štruktúre a spôsobom uvedeným v prílohe č. 4, a to osobitne pre poskytovateľov všeobecnej ambulantnej starostlivosti pre dospelých a osobitne pre poskytovateľov všeobecnej ambulantnej starostlivosti pre deti a dorast. </w:t>
      </w:r>
    </w:p>
    <w:p w:rsidR="00AF3EED" w:rsidRPr="007A5C79" w:rsidRDefault="00AF3EED" w:rsidP="004120A9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t>Potrebná kapacita podľa § 5b ods. 2 a § 5c ods. 4 písm. a) zákona sa určí spôsobom uvedeným v prílohe č. 1.</w:t>
      </w:r>
    </w:p>
    <w:p w:rsidR="00AF3EED" w:rsidRPr="007A5C79" w:rsidRDefault="00AF3EED" w:rsidP="000203F2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t xml:space="preserve">Počet lekárskych miest vo verejnej sieti poskytovateľov všeobecnej ambulantnej starostlivosti v okrese </w:t>
      </w:r>
      <w:r w:rsidR="006300B6">
        <w:rPr>
          <w:lang w:eastAsia="sk-SK"/>
        </w:rPr>
        <w:t xml:space="preserve">sa určí  podľa </w:t>
      </w:r>
      <w:r w:rsidR="00B642E2" w:rsidRPr="00DA7ADA">
        <w:t>spôsob</w:t>
      </w:r>
      <w:r w:rsidR="006300B6">
        <w:t>u</w:t>
      </w:r>
      <w:r w:rsidR="00B642E2" w:rsidRPr="00DA7ADA">
        <w:t xml:space="preserve"> úpravy počtu lekárskych miest vo verejnej sieti poskytovateľov všeobecnej ambulantnej starostlivosti</w:t>
      </w:r>
      <w:r w:rsidR="00B642E2" w:rsidRPr="007A5C79" w:rsidDel="00634EC5">
        <w:rPr>
          <w:lang w:eastAsia="sk-SK"/>
        </w:rPr>
        <w:t xml:space="preserve"> </w:t>
      </w:r>
      <w:r w:rsidR="002512E2">
        <w:rPr>
          <w:lang w:eastAsia="sk-SK"/>
        </w:rPr>
        <w:t>uveden</w:t>
      </w:r>
      <w:r w:rsidR="006300B6">
        <w:rPr>
          <w:lang w:eastAsia="sk-SK"/>
        </w:rPr>
        <w:t>ého</w:t>
      </w:r>
      <w:r w:rsidR="00B642E2">
        <w:rPr>
          <w:lang w:eastAsia="sk-SK"/>
        </w:rPr>
        <w:t xml:space="preserve"> v prílohe </w:t>
      </w:r>
      <w:r w:rsidR="002512E2">
        <w:rPr>
          <w:lang w:eastAsia="sk-SK"/>
        </w:rPr>
        <w:t>č. 5</w:t>
      </w:r>
      <w:r w:rsidRPr="007A5C79">
        <w:rPr>
          <w:lang w:eastAsia="sk-SK"/>
        </w:rPr>
        <w:t>.</w:t>
      </w:r>
    </w:p>
    <w:p w:rsidR="00AF3EED" w:rsidRPr="007A5C79" w:rsidRDefault="00AF3EED" w:rsidP="004120A9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t>Obce, ktoré nemajú zabezpečenú miestnu dostupnosť sa určia ako obce, ktoré podľa matice časov dojazdu majú čas dojazdu do najbližšej obce, kde má poskytovateľ všeobecnej ambulantnej starostlivosti miesto prevádzkovania</w:t>
      </w:r>
      <w:r w:rsidR="00D517F5">
        <w:rPr>
          <w:lang w:eastAsia="sk-SK"/>
        </w:rPr>
        <w:t xml:space="preserve"> všeobecnej ambulancie</w:t>
      </w:r>
      <w:r w:rsidRPr="007A5C79">
        <w:rPr>
          <w:lang w:eastAsia="sk-SK"/>
        </w:rPr>
        <w:t xml:space="preserve"> viac ako 25 minút. </w:t>
      </w:r>
    </w:p>
    <w:p w:rsidR="00AF3EED" w:rsidRPr="007A5C79" w:rsidRDefault="00AF3EED" w:rsidP="004120A9">
      <w:pPr>
        <w:pStyle w:val="Odsekzoznamu"/>
        <w:numPr>
          <w:ilvl w:val="0"/>
          <w:numId w:val="13"/>
        </w:numPr>
        <w:spacing w:after="200"/>
        <w:ind w:left="0" w:firstLine="357"/>
        <w:jc w:val="both"/>
        <w:rPr>
          <w:lang w:eastAsia="sk-SK"/>
        </w:rPr>
      </w:pPr>
      <w:r w:rsidRPr="007A5C79">
        <w:rPr>
          <w:lang w:eastAsia="sk-SK"/>
        </w:rPr>
        <w:t>Počet neobsadených lekárskych miest v okrese sa určí, ak je počet lekárskych miest v okrese podľa odseku 4 vyšší ako počet lekárskych miest v okrese podľa odseku 5, a to ako ich rozdiel po zaokrúhlení na celé číslo; počet neobsadených lekárskych miest sa zaokrúhli nadol</w:t>
      </w:r>
      <w:r w:rsidR="00337AD9">
        <w:rPr>
          <w:lang w:eastAsia="sk-SK"/>
        </w:rPr>
        <w:t>,</w:t>
      </w:r>
      <w:r w:rsidRPr="007A5C79">
        <w:rPr>
          <w:lang w:eastAsia="sk-SK"/>
        </w:rPr>
        <w:t xml:space="preserve"> ak ide o 0,1 - 0,5 desatín miest a počet lekárskych miest sa zaokrúhli nahor, ak ide o 0,6 - 0,9 desatín miest.  </w:t>
      </w: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eastAsia="Times New Roman" w:hAnsi="Times New Roman"/>
          <w:b/>
          <w:sz w:val="24"/>
          <w:szCs w:val="24"/>
          <w:lang w:eastAsia="sk-SK"/>
        </w:rPr>
        <w:t>§ 4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Účinnosť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5C79">
        <w:rPr>
          <w:rFonts w:ascii="Times New Roman" w:eastAsia="Times New Roman" w:hAnsi="Times New Roman"/>
          <w:sz w:val="24"/>
          <w:szCs w:val="24"/>
          <w:lang w:eastAsia="sk-SK"/>
        </w:rPr>
        <w:t>Toto nariadenie</w:t>
      </w:r>
      <w:r w:rsidR="00DE754B">
        <w:rPr>
          <w:rFonts w:ascii="Times New Roman" w:eastAsia="Times New Roman" w:hAnsi="Times New Roman"/>
          <w:sz w:val="24"/>
          <w:szCs w:val="24"/>
          <w:lang w:eastAsia="sk-SK"/>
        </w:rPr>
        <w:t xml:space="preserve"> vlády</w:t>
      </w:r>
      <w:r w:rsidRPr="007A5C79">
        <w:rPr>
          <w:rFonts w:ascii="Times New Roman" w:eastAsia="Times New Roman" w:hAnsi="Times New Roman"/>
          <w:sz w:val="24"/>
          <w:szCs w:val="24"/>
          <w:lang w:eastAsia="sk-SK"/>
        </w:rPr>
        <w:t xml:space="preserve"> nadobúda účinnosť 1. januára 2022.</w:t>
      </w: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Pr="007A5C79" w:rsidRDefault="00365520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9A5926" w:rsidRDefault="009A5926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E7A2F" w:rsidRDefault="00AE7A2F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1</w:t>
      </w:r>
      <w:r w:rsidRPr="007A5C79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AF3EED" w:rsidRPr="007A5C79" w:rsidRDefault="00AF3EED" w:rsidP="00AF3EED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k nariadeniu vlády č...../2021 Z. z.</w:t>
      </w: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 xml:space="preserve">Spôsob výpočtu potrebnej kapacity 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4120A9">
      <w:pPr>
        <w:pStyle w:val="Odsekzoznamu"/>
        <w:numPr>
          <w:ilvl w:val="0"/>
          <w:numId w:val="18"/>
        </w:numPr>
        <w:ind w:left="425" w:hanging="357"/>
        <w:jc w:val="both"/>
        <w:rPr>
          <w:lang w:eastAsia="sk-SK"/>
        </w:rPr>
      </w:pPr>
      <w:r w:rsidRPr="007A5C79">
        <w:rPr>
          <w:lang w:eastAsia="sk-SK"/>
        </w:rPr>
        <w:t>Skupinu poistencov na výpočet potrebnej kapacity pre</w:t>
      </w:r>
    </w:p>
    <w:p w:rsidR="00AF3EED" w:rsidRPr="007A5C79" w:rsidRDefault="00AF3EED" w:rsidP="004120A9">
      <w:pPr>
        <w:pStyle w:val="Odsekzoznamu"/>
        <w:numPr>
          <w:ilvl w:val="0"/>
          <w:numId w:val="19"/>
        </w:numPr>
        <w:ind w:left="811" w:hanging="357"/>
        <w:jc w:val="both"/>
        <w:rPr>
          <w:lang w:eastAsia="sk-SK"/>
        </w:rPr>
      </w:pPr>
      <w:r w:rsidRPr="007A5C79">
        <w:rPr>
          <w:lang w:eastAsia="sk-SK"/>
        </w:rPr>
        <w:t>dospelých tvorí polovica poistencov vo veku 19 až 24 rokov vrátane s trvalým pobytom na území okresu spolu so všetkými poistencami vo veku 25 a viac rokov s trvalým pobytom v okrese,</w:t>
      </w:r>
    </w:p>
    <w:p w:rsidR="00AF3EED" w:rsidRPr="007A5C79" w:rsidRDefault="00AF3EED" w:rsidP="004120A9">
      <w:pPr>
        <w:pStyle w:val="Odsekzoznamu"/>
        <w:numPr>
          <w:ilvl w:val="0"/>
          <w:numId w:val="19"/>
        </w:numPr>
        <w:ind w:left="811" w:hanging="357"/>
        <w:jc w:val="both"/>
        <w:rPr>
          <w:lang w:eastAsia="sk-SK"/>
        </w:rPr>
      </w:pPr>
      <w:r w:rsidRPr="007A5C79">
        <w:rPr>
          <w:lang w:eastAsia="sk-SK"/>
        </w:rPr>
        <w:t>deti a dorast tvoria všetci poistenci vo veku do 18 rokov vrátane s trvalým pobytom v okrese, spolu s polovicou poistencov vo veku 19 až 24 rokov vrátane s trvalým pobytom v okrese.</w:t>
      </w:r>
    </w:p>
    <w:p w:rsidR="00AF3EED" w:rsidRPr="007A5C79" w:rsidRDefault="00AF3EED" w:rsidP="00AF3EED">
      <w:pPr>
        <w:pStyle w:val="Odsekzoznamu"/>
        <w:ind w:left="811"/>
        <w:jc w:val="both"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0"/>
          <w:numId w:val="18"/>
        </w:numPr>
        <w:ind w:left="426"/>
        <w:contextualSpacing/>
        <w:jc w:val="both"/>
        <w:rPr>
          <w:lang w:eastAsia="sk-SK"/>
        </w:rPr>
      </w:pPr>
      <w:r w:rsidRPr="007A5C79">
        <w:rPr>
          <w:lang w:eastAsia="sk-SK"/>
        </w:rPr>
        <w:t>Potrebná kapacita sa určí podľa vzorca</w:t>
      </w:r>
    </w:p>
    <w:p w:rsidR="00AF3EED" w:rsidRPr="007A5C79" w:rsidRDefault="00AF3EED" w:rsidP="00AF3EED">
      <w:pPr>
        <w:pStyle w:val="Odsekzoznamu"/>
        <w:ind w:left="426"/>
        <w:contextualSpacing/>
        <w:jc w:val="both"/>
        <w:rPr>
          <w:lang w:eastAsia="sk-SK"/>
        </w:rPr>
      </w:pPr>
    </w:p>
    <w:p w:rsidR="00AF3EED" w:rsidRPr="007A5C79" w:rsidRDefault="00AF3EED" w:rsidP="00AF3EED">
      <w:pPr>
        <w:spacing w:after="0" w:line="240" w:lineRule="auto"/>
        <w:ind w:left="426"/>
        <w:rPr>
          <w:rFonts w:ascii="Times New Roman" w:eastAsiaTheme="minorEastAsia" w:hAnsi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# PPOI × (1+MIG)</m:t>
              </m:r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NPK</m:t>
              </m:r>
            </m:den>
          </m:f>
        </m:oMath>
      </m:oMathPara>
    </w:p>
    <w:p w:rsidR="00AF3EED" w:rsidRPr="007A5C79" w:rsidRDefault="00AF3EED" w:rsidP="00AF3EED">
      <w:pPr>
        <w:spacing w:after="0" w:line="240" w:lineRule="auto"/>
        <w:ind w:left="426"/>
        <w:rPr>
          <w:rFonts w:ascii="Times New Roman" w:eastAsiaTheme="minorEastAsia" w:hAnsi="Times New Roman"/>
          <w:i/>
          <w:sz w:val="24"/>
          <w:szCs w:val="24"/>
        </w:rPr>
      </w:pPr>
    </w:p>
    <w:tbl>
      <w:tblPr>
        <w:tblStyle w:val="Mriekatabuky"/>
        <w:tblW w:w="9061" w:type="dxa"/>
        <w:tblInd w:w="420" w:type="dxa"/>
        <w:tblLook w:val="04A0" w:firstRow="1" w:lastRow="0" w:firstColumn="1" w:lastColumn="0" w:noHBand="0" w:noVBand="1"/>
      </w:tblPr>
      <w:tblGrid>
        <w:gridCol w:w="1555"/>
        <w:gridCol w:w="7506"/>
      </w:tblGrid>
      <w:tr w:rsidR="00AF3EED" w:rsidRPr="007A5C79" w:rsidTr="00AE2C42"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PPOI</w:t>
            </w:r>
          </w:p>
        </w:tc>
        <w:tc>
          <w:tcPr>
            <w:tcW w:w="7506" w:type="dxa"/>
            <w:vAlign w:val="center"/>
          </w:tcPr>
          <w:p w:rsidR="00AF3EED" w:rsidRPr="007A5C79" w:rsidRDefault="00AF3EED" w:rsidP="00226AF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počet prepočítaných poistencov vypočítaný podľa </w:t>
            </w:r>
            <w:r w:rsidR="00226AF9">
              <w:rPr>
                <w:rFonts w:ascii="Times New Roman" w:hAnsi="Times New Roman"/>
                <w:i/>
                <w:sz w:val="24"/>
                <w:szCs w:val="24"/>
              </w:rPr>
              <w:t>tretieho bodu</w:t>
            </w:r>
          </w:p>
        </w:tc>
      </w:tr>
      <w:tr w:rsidR="00AF3EED" w:rsidRPr="007A5C79" w:rsidTr="00AE2C42"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MIG</w:t>
            </w:r>
          </w:p>
        </w:tc>
        <w:tc>
          <w:tcPr>
            <w:tcW w:w="7506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hodnota vnútroštátnej migrácie v okrese, ktorú každoročne zverejní Ministerstvo zdravotníctva Slovenskej republiky podľa § 5c ods. 4 písm. g) zákona </w:t>
            </w:r>
          </w:p>
        </w:tc>
      </w:tr>
      <w:tr w:rsidR="00AF3EED" w:rsidRPr="007A5C79" w:rsidTr="00AE2C42"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NPK</w:t>
            </w:r>
          </w:p>
        </w:tc>
        <w:tc>
          <w:tcPr>
            <w:tcW w:w="7506" w:type="dxa"/>
            <w:vAlign w:val="center"/>
          </w:tcPr>
          <w:p w:rsidR="00AF3EED" w:rsidRPr="007A5C79" w:rsidRDefault="00AF3EED" w:rsidP="00D80B3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normatívny počet kapitovaných poistencov </w:t>
            </w:r>
            <w:r w:rsidR="00D80B37">
              <w:rPr>
                <w:rFonts w:ascii="Times New Roman" w:hAnsi="Times New Roman"/>
                <w:i/>
                <w:sz w:val="24"/>
                <w:szCs w:val="24"/>
              </w:rPr>
              <w:t>podľa</w:t>
            </w: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 § 1 ods. 6</w:t>
            </w:r>
          </w:p>
        </w:tc>
      </w:tr>
    </w:tbl>
    <w:p w:rsidR="00AF3EED" w:rsidRPr="007A5C79" w:rsidRDefault="00AF3EED" w:rsidP="00AF3EED">
      <w:pPr>
        <w:pStyle w:val="Odsekzoznamu"/>
        <w:ind w:left="567"/>
        <w:rPr>
          <w:lang w:eastAsia="sk-SK"/>
        </w:rPr>
      </w:pPr>
    </w:p>
    <w:p w:rsidR="00AF3EED" w:rsidRPr="007A5C79" w:rsidRDefault="00AF3EED" w:rsidP="00365520">
      <w:pPr>
        <w:pStyle w:val="Odsekzoznamu"/>
        <w:numPr>
          <w:ilvl w:val="0"/>
          <w:numId w:val="18"/>
        </w:numPr>
        <w:ind w:left="567"/>
        <w:contextualSpacing/>
        <w:jc w:val="both"/>
        <w:rPr>
          <w:lang w:eastAsia="sk-SK"/>
        </w:rPr>
      </w:pPr>
      <w:r w:rsidRPr="007A5C79">
        <w:rPr>
          <w:lang w:eastAsia="sk-SK"/>
        </w:rPr>
        <w:t xml:space="preserve"> Počet prepočítaných poistencov sa určí podľa vzorca</w:t>
      </w:r>
    </w:p>
    <w:p w:rsidR="00AF3EED" w:rsidRPr="007A5C79" w:rsidRDefault="00AF3EED" w:rsidP="00AF3EED">
      <w:pPr>
        <w:pStyle w:val="Odsekzoznamu"/>
        <w:ind w:left="644"/>
        <w:jc w:val="both"/>
        <w:rPr>
          <w:lang w:eastAsia="sk-SK"/>
        </w:rPr>
      </w:pPr>
    </w:p>
    <w:p w:rsidR="00AF3EED" w:rsidRPr="007A5C79" w:rsidRDefault="00AF3EED" w:rsidP="00AF3EED">
      <w:pPr>
        <w:pStyle w:val="Odsekzoznamu"/>
        <w:tabs>
          <w:tab w:val="left" w:pos="5103"/>
        </w:tabs>
        <w:ind w:left="644"/>
        <w:jc w:val="center"/>
        <w:rPr>
          <w:lang w:eastAsia="sk-SK"/>
        </w:rPr>
      </w:pPr>
      <m:oMath>
        <m:r>
          <w:rPr>
            <w:rFonts w:ascii="Cambria Math" w:eastAsiaTheme="minorEastAsia" w:hAnsi="Cambria Math"/>
          </w:rPr>
          <m:t># PPOI=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PPOI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vek1-18</m:t>
                </m:r>
              </m:sub>
            </m:sSub>
          </m:e>
        </m:nary>
      </m:oMath>
      <w:r w:rsidRPr="007A5C79">
        <w:rPr>
          <w:lang w:eastAsia="sk-SK"/>
        </w:rPr>
        <w:t xml:space="preserve"> </w:t>
      </w:r>
    </w:p>
    <w:p w:rsidR="00AF3EED" w:rsidRPr="007A5C79" w:rsidRDefault="00AF3EED" w:rsidP="00AF3EED">
      <w:pPr>
        <w:pStyle w:val="Odsekzoznamu"/>
        <w:tabs>
          <w:tab w:val="left" w:pos="5103"/>
        </w:tabs>
        <w:ind w:left="644"/>
        <w:jc w:val="center"/>
        <w:rPr>
          <w:lang w:eastAsia="sk-SK"/>
        </w:rPr>
      </w:pPr>
    </w:p>
    <w:p w:rsidR="00AF3EED" w:rsidRPr="007A5C79" w:rsidRDefault="00FF1C70" w:rsidP="00AF3EED">
      <w:pPr>
        <w:pStyle w:val="Odsekzoznamu"/>
        <w:ind w:left="64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# PPOI</m:t>
              </m:r>
            </m:e>
            <m:sub>
              <m:r>
                <w:rPr>
                  <w:rFonts w:ascii="Cambria Math" w:eastAsiaTheme="minorEastAsia" w:hAnsi="Cambria Math"/>
                </w:rPr>
                <m:t>vek1-18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# POI</m:t>
              </m:r>
            </m:e>
            <m:sub>
              <m:r>
                <w:rPr>
                  <w:rFonts w:ascii="Cambria Math" w:eastAsiaTheme="minorEastAsia" w:hAnsi="Cambria Math"/>
                </w:rPr>
                <m:t>vek1-18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INDEX</m:t>
              </m:r>
            </m:e>
            <m:sub>
              <m:r>
                <w:rPr>
                  <w:rFonts w:ascii="Cambria Math" w:hAnsi="Cambria Math"/>
                </w:rPr>
                <m:t>vek1-18</m:t>
              </m:r>
            </m:sub>
          </m:sSub>
        </m:oMath>
      </m:oMathPara>
    </w:p>
    <w:p w:rsidR="00AF3EED" w:rsidRPr="007A5C79" w:rsidRDefault="00AF3EED" w:rsidP="00AF3EED">
      <w:pPr>
        <w:pStyle w:val="Odsekzoznamu"/>
        <w:ind w:left="644"/>
        <w:rPr>
          <w:rFonts w:eastAsiaTheme="minorEastAsia"/>
        </w:rPr>
      </w:pPr>
    </w:p>
    <w:tbl>
      <w:tblPr>
        <w:tblStyle w:val="Mriekatabuky"/>
        <w:tblW w:w="9056" w:type="dxa"/>
        <w:tblInd w:w="425" w:type="dxa"/>
        <w:tblLook w:val="04A0" w:firstRow="1" w:lastRow="0" w:firstColumn="1" w:lastColumn="0" w:noHBand="0" w:noVBand="1"/>
      </w:tblPr>
      <w:tblGrid>
        <w:gridCol w:w="1555"/>
        <w:gridCol w:w="7501"/>
      </w:tblGrid>
      <w:tr w:rsidR="00AF3EED" w:rsidRPr="007A5C79" w:rsidTr="00AE2C42"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∑ </w:t>
            </w: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PPOI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vek-18</w:t>
            </w: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3B7DC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súčet počtu prepočítaných poistencov podľa </w:t>
            </w:r>
            <w:r w:rsidR="00226AF9">
              <w:rPr>
                <w:rFonts w:ascii="Times New Roman" w:hAnsi="Times New Roman"/>
                <w:i/>
                <w:sz w:val="24"/>
                <w:szCs w:val="24"/>
              </w:rPr>
              <w:t>prvého bodu</w:t>
            </w: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 v príslušných vekových skupinách podľa prílohy č. 3</w:t>
            </w:r>
            <w:r w:rsidR="003B7DC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rPr>
          <w:trHeight w:val="462"/>
        </w:trPr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PPOI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3B7DC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počet prepočítaných poistencov v príslušnej vekovej skupine podľa prílohy č. 3</w:t>
            </w:r>
            <w:r w:rsidR="003B7DC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rPr>
          <w:trHeight w:val="462"/>
        </w:trPr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POI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3B7DC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počet poistencov v príslušnej vekovej skupine podľa prílohy č. 3</w:t>
            </w:r>
            <w:r w:rsidR="003B7DC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555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INDEX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226AF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hodnota indexu náročnosti poistenca príslušnej vekovej skupiny podľa </w:t>
            </w:r>
            <w:r w:rsidR="00226AF9">
              <w:rPr>
                <w:rFonts w:ascii="Times New Roman" w:hAnsi="Times New Roman"/>
                <w:i/>
                <w:sz w:val="24"/>
                <w:szCs w:val="24"/>
              </w:rPr>
              <w:t>štvrtého bodu</w:t>
            </w: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AF3EED" w:rsidRPr="007A5C79" w:rsidRDefault="00AF3EED" w:rsidP="00AF3EED">
      <w:pPr>
        <w:pStyle w:val="Odsekzoznamu"/>
        <w:ind w:left="567"/>
        <w:contextualSpacing/>
        <w:jc w:val="both"/>
        <w:rPr>
          <w:lang w:eastAsia="sk-SK"/>
        </w:rPr>
      </w:pPr>
    </w:p>
    <w:p w:rsidR="00AF3EED" w:rsidRPr="007A5C79" w:rsidRDefault="00AF3EED" w:rsidP="00AF3EED">
      <w:pPr>
        <w:rPr>
          <w:rFonts w:ascii="Times New Roman" w:hAnsi="Times New Roman"/>
          <w:sz w:val="24"/>
          <w:szCs w:val="24"/>
          <w:lang w:eastAsia="sk-SK"/>
        </w:rPr>
      </w:pPr>
    </w:p>
    <w:p w:rsidR="00AF3EED" w:rsidRPr="007A5C79" w:rsidRDefault="00AF3EED" w:rsidP="00365520">
      <w:pPr>
        <w:pStyle w:val="Odsekzoznamu"/>
        <w:numPr>
          <w:ilvl w:val="0"/>
          <w:numId w:val="18"/>
        </w:numPr>
        <w:contextualSpacing/>
        <w:jc w:val="both"/>
        <w:rPr>
          <w:lang w:eastAsia="sk-SK"/>
        </w:rPr>
      </w:pPr>
      <w:r w:rsidRPr="007A5C79">
        <w:rPr>
          <w:lang w:eastAsia="sk-SK"/>
        </w:rPr>
        <w:t>Zoznam hodnôt indexu náročnosti poistenca podľa vekových skupín:</w:t>
      </w:r>
    </w:p>
    <w:tbl>
      <w:tblPr>
        <w:tblW w:w="311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276"/>
      </w:tblGrid>
      <w:tr w:rsidR="00AF3EED" w:rsidRPr="007A5C79" w:rsidTr="003B7DC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Veková skupina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INDEX</w:t>
            </w: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bscript"/>
                <w:lang w:eastAsia="sk-SK"/>
              </w:rPr>
              <w:t xml:space="preserve"> vek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0 - 4 roky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1,62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5 - 9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1,06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10 - 14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0,81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15 - 19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0,81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20 - 24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0,51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25 - 29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0,51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30 - 34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0,53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35 - 39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0,58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40 - 44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0,68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45 - 49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0,77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50 - 54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0,96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55 - 59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1,13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60 - 64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1,26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65 - 69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1,34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70 - 74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1,55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75 - 79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1,83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80 - 84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2,06</w:t>
            </w:r>
          </w:p>
        </w:tc>
      </w:tr>
      <w:tr w:rsidR="00AF3EED" w:rsidRPr="007A5C79" w:rsidTr="003B7DC3">
        <w:trPr>
          <w:trHeight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85 a viac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2,15</w:t>
            </w:r>
          </w:p>
        </w:tc>
      </w:tr>
    </w:tbl>
    <w:p w:rsidR="00AF3EED" w:rsidRPr="007A5C79" w:rsidRDefault="00AF3EED" w:rsidP="00AF3EED">
      <w:pPr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Default="00AF3EED" w:rsidP="0001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014860" w:rsidRPr="007A5C79" w:rsidRDefault="00014860" w:rsidP="0001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2</w:t>
      </w:r>
      <w:r w:rsidRPr="007A5C79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k nariadeniu vlády č. ..../2021 Z. z.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Spôsob určenia hodnôt vnútroštátnej migrácie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365520">
      <w:pPr>
        <w:pStyle w:val="Odsekzoznamu"/>
        <w:numPr>
          <w:ilvl w:val="0"/>
          <w:numId w:val="16"/>
        </w:numPr>
        <w:jc w:val="both"/>
        <w:rPr>
          <w:shd w:val="clear" w:color="auto" w:fill="FFFFFF"/>
        </w:rPr>
      </w:pPr>
      <w:r w:rsidRPr="007A5C79">
        <w:t xml:space="preserve">Hodnoty vnútroštátnej migrácie </w:t>
      </w:r>
      <w:r w:rsidRPr="007A5C79">
        <w:rPr>
          <w:lang w:eastAsia="sk-SK"/>
        </w:rPr>
        <w:t>sa určia osobitne pre všeobecnú ambulantnú starostlivosť pre dospelých a osobitne pre všeobecnú ambulantnú starostlivosť pre deti a dorast podľa vzorca</w:t>
      </w:r>
    </w:p>
    <w:p w:rsidR="00AF3EED" w:rsidRPr="007A5C79" w:rsidRDefault="00AF3EED" w:rsidP="00AF3EED">
      <w:pPr>
        <w:pStyle w:val="Odsekzoznamu"/>
        <w:ind w:left="360"/>
        <w:jc w:val="both"/>
        <w:rPr>
          <w:shd w:val="clear" w:color="auto" w:fill="FFFFFF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MIG=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# PKAP+# PNKAP</m:t>
              </m:r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# PPOI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-1</m:t>
          </m:r>
        </m:oMath>
      </m:oMathPara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Mriekatabuky"/>
        <w:tblW w:w="9198" w:type="dxa"/>
        <w:tblInd w:w="425" w:type="dxa"/>
        <w:tblLook w:val="04A0" w:firstRow="1" w:lastRow="0" w:firstColumn="1" w:lastColumn="0" w:noHBand="0" w:noVBand="1"/>
      </w:tblPr>
      <w:tblGrid>
        <w:gridCol w:w="1697"/>
        <w:gridCol w:w="7501"/>
      </w:tblGrid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PKAP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počet prepočítaných kapitovaných poistencov vypočítaný podľa bodu 1.1.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PNKAP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počet prepočítaných </w:t>
            </w:r>
            <w:proofErr w:type="spellStart"/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nekapitovaných</w:t>
            </w:r>
            <w:proofErr w:type="spellEnd"/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 poistencov vypočítaný podľa bodu 1.2.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PPOI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E3754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počet prepočítaných poistencov v okrese podľa prílohy č. 1 </w:t>
            </w:r>
            <w:r w:rsidR="00E37545">
              <w:rPr>
                <w:rFonts w:ascii="Times New Roman" w:hAnsi="Times New Roman"/>
                <w:i/>
                <w:sz w:val="24"/>
                <w:szCs w:val="24"/>
              </w:rPr>
              <w:t>tretieho bodu</w:t>
            </w:r>
          </w:p>
        </w:tc>
      </w:tr>
    </w:tbl>
    <w:p w:rsidR="00AF3EED" w:rsidRPr="007A5C79" w:rsidRDefault="00AF3EED" w:rsidP="00AF3EE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F3EED" w:rsidRPr="007A5C79" w:rsidRDefault="00AF3EED" w:rsidP="004120A9">
      <w:pPr>
        <w:pStyle w:val="Odsekzoznamu"/>
        <w:numPr>
          <w:ilvl w:val="1"/>
          <w:numId w:val="16"/>
        </w:numPr>
        <w:jc w:val="both"/>
        <w:rPr>
          <w:lang w:eastAsia="sk-SK"/>
        </w:rPr>
      </w:pPr>
      <w:r w:rsidRPr="007A5C79">
        <w:rPr>
          <w:lang w:eastAsia="sk-SK"/>
        </w:rPr>
        <w:t>Počet prepočítaných kapitovaných poistencov sa určí podľa vzorca</w:t>
      </w:r>
    </w:p>
    <w:p w:rsidR="00AF3EED" w:rsidRPr="007A5C79" w:rsidRDefault="00AF3EED" w:rsidP="00AF3EED">
      <w:pPr>
        <w:pStyle w:val="Odsekzoznamu"/>
        <w:ind w:left="792"/>
        <w:jc w:val="both"/>
        <w:rPr>
          <w:lang w:eastAsia="sk-SK"/>
        </w:rPr>
      </w:pPr>
    </w:p>
    <w:p w:rsidR="00AF3EED" w:rsidRPr="007A5C79" w:rsidRDefault="00AF3EED" w:rsidP="00AF3EED">
      <w:pPr>
        <w:pStyle w:val="Odsekzoznamu"/>
        <w:tabs>
          <w:tab w:val="left" w:pos="5103"/>
        </w:tabs>
        <w:ind w:left="360"/>
        <w:jc w:val="center"/>
        <w:rPr>
          <w:lang w:eastAsia="sk-SK"/>
        </w:rPr>
      </w:pPr>
      <m:oMath>
        <m:r>
          <w:rPr>
            <w:rFonts w:ascii="Cambria Math" w:eastAsiaTheme="minorEastAsia" w:hAnsi="Cambria Math"/>
          </w:rPr>
          <m:t># PKAP=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PKAP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vek1-18</m:t>
                </m:r>
              </m:sub>
            </m:sSub>
          </m:e>
        </m:nary>
      </m:oMath>
      <w:r w:rsidRPr="007A5C79">
        <w:rPr>
          <w:lang w:eastAsia="sk-SK"/>
        </w:rPr>
        <w:t xml:space="preserve"> </w:t>
      </w:r>
    </w:p>
    <w:p w:rsidR="00AF3EED" w:rsidRPr="007A5C79" w:rsidRDefault="00AF3EED" w:rsidP="00AF3EED">
      <w:pPr>
        <w:pStyle w:val="Odsekzoznamu"/>
        <w:tabs>
          <w:tab w:val="left" w:pos="5103"/>
        </w:tabs>
        <w:ind w:left="360"/>
        <w:jc w:val="center"/>
        <w:rPr>
          <w:lang w:eastAsia="sk-SK"/>
        </w:rPr>
      </w:pPr>
    </w:p>
    <w:p w:rsidR="00AF3EED" w:rsidRPr="007A5C79" w:rsidRDefault="00FF1C70" w:rsidP="00AF3EED">
      <w:pPr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# PKAP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# KAP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vek1-18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INDEX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vek1-18</m:t>
              </m:r>
            </m:sub>
          </m:sSub>
        </m:oMath>
      </m:oMathPara>
    </w:p>
    <w:p w:rsidR="00AF3EED" w:rsidRPr="007A5C79" w:rsidRDefault="00AF3EED" w:rsidP="00AF3EED">
      <w:pPr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Mriekatabuky"/>
        <w:tblW w:w="9198" w:type="dxa"/>
        <w:tblInd w:w="425" w:type="dxa"/>
        <w:tblLook w:val="04A0" w:firstRow="1" w:lastRow="0" w:firstColumn="1" w:lastColumn="0" w:noHBand="0" w:noVBand="1"/>
      </w:tblPr>
      <w:tblGrid>
        <w:gridCol w:w="1697"/>
        <w:gridCol w:w="7501"/>
      </w:tblGrid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∑ </w:t>
            </w: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PKAP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3B7DC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>súčet počtu prepočítaných kapitovaných poistencov podľa bodu 1.3. v príslušných vekových skupinách podľa prílohy č. 3</w:t>
            </w:r>
            <w:r w:rsidR="003B7DC3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PKAP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3B7DC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počet prepočítaných kapitovaných poistencov v príslušnej vekovej skupine podľa prílohy č. 3</w:t>
            </w:r>
            <w:r w:rsidR="003B7DC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KAP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3B7DC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počet kapitovaných poistencov v príslušnej vekovej skupine podľa prílohy č. 3</w:t>
            </w:r>
            <w:r w:rsidR="003B7DC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INDEX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E3754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hodnota indexu náročnosti poistenca príslušnej vekovej skupiny podľa prílohy č. 1 </w:t>
            </w:r>
            <w:r w:rsidR="00E37545">
              <w:rPr>
                <w:rFonts w:ascii="Times New Roman" w:hAnsi="Times New Roman"/>
                <w:i/>
                <w:sz w:val="24"/>
                <w:szCs w:val="24"/>
              </w:rPr>
              <w:t>štvrtého bodu</w:t>
            </w:r>
          </w:p>
        </w:tc>
      </w:tr>
    </w:tbl>
    <w:p w:rsidR="00AF3EED" w:rsidRPr="007A5C79" w:rsidRDefault="00AF3EED" w:rsidP="00AF3EED">
      <w:pPr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</w:rPr>
      </w:pPr>
    </w:p>
    <w:p w:rsidR="00AF3EED" w:rsidRPr="007A5C79" w:rsidRDefault="00AF3EED" w:rsidP="004120A9">
      <w:pPr>
        <w:pStyle w:val="Odsekzoznamu"/>
        <w:numPr>
          <w:ilvl w:val="1"/>
          <w:numId w:val="16"/>
        </w:numPr>
        <w:jc w:val="both"/>
        <w:rPr>
          <w:lang w:eastAsia="sk-SK"/>
        </w:rPr>
      </w:pPr>
      <w:r w:rsidRPr="007A5C79">
        <w:rPr>
          <w:lang w:eastAsia="sk-SK"/>
        </w:rPr>
        <w:t xml:space="preserve">Počet prepočítaných </w:t>
      </w:r>
      <w:proofErr w:type="spellStart"/>
      <w:r w:rsidRPr="007A5C79">
        <w:rPr>
          <w:lang w:eastAsia="sk-SK"/>
        </w:rPr>
        <w:t>nekapitovaných</w:t>
      </w:r>
      <w:proofErr w:type="spellEnd"/>
      <w:r w:rsidRPr="007A5C79">
        <w:rPr>
          <w:lang w:eastAsia="sk-SK"/>
        </w:rPr>
        <w:t xml:space="preserve"> poistencov sa určí podľa vzorca</w:t>
      </w:r>
    </w:p>
    <w:p w:rsidR="00AF3EED" w:rsidRPr="007A5C79" w:rsidRDefault="00AF3EED" w:rsidP="00AF3EED">
      <w:pPr>
        <w:pStyle w:val="Odsekzoznamu"/>
        <w:ind w:left="792"/>
        <w:jc w:val="both"/>
        <w:rPr>
          <w:lang w:eastAsia="sk-SK"/>
        </w:rPr>
      </w:pPr>
    </w:p>
    <w:p w:rsidR="00AF3EED" w:rsidRPr="007A5C79" w:rsidRDefault="00AF3EED" w:rsidP="00AF3EED">
      <w:pPr>
        <w:pStyle w:val="Odsekzoznamu"/>
        <w:ind w:left="792"/>
        <w:jc w:val="center"/>
        <w:rPr>
          <w:lang w:eastAsia="sk-SK"/>
        </w:rPr>
      </w:pPr>
      <m:oMath>
        <m:r>
          <w:rPr>
            <w:rFonts w:ascii="Cambria Math" w:eastAsiaTheme="minorEastAsia" w:hAnsi="Cambria Math"/>
          </w:rPr>
          <m:t># PNKAP=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PNKAP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vek1-18</m:t>
                </m:r>
              </m:sub>
            </m:sSub>
          </m:e>
        </m:nary>
      </m:oMath>
      <w:r w:rsidRPr="007A5C79">
        <w:rPr>
          <w:lang w:eastAsia="sk-SK"/>
        </w:rPr>
        <w:t xml:space="preserve"> </w:t>
      </w:r>
    </w:p>
    <w:p w:rsidR="00AF3EED" w:rsidRPr="007A5C79" w:rsidRDefault="00AF3EED" w:rsidP="00AF3EED">
      <w:pPr>
        <w:rPr>
          <w:rFonts w:ascii="Times New Roman" w:hAnsi="Times New Roman"/>
          <w:sz w:val="24"/>
          <w:szCs w:val="24"/>
          <w:lang w:eastAsia="sk-SK"/>
        </w:rPr>
      </w:pPr>
    </w:p>
    <w:p w:rsidR="00AF3EED" w:rsidRPr="007A5C79" w:rsidRDefault="00FF1C70" w:rsidP="00AF3EE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# PNKAP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# NKAP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vek1-18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INDEX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vek1-18</m:t>
              </m:r>
            </m:sub>
          </m:sSub>
        </m:oMath>
      </m:oMathPara>
    </w:p>
    <w:p w:rsidR="00AF3EED" w:rsidRPr="007A5C79" w:rsidRDefault="00AF3EED" w:rsidP="00AF3EE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Mriekatabuky"/>
        <w:tblW w:w="9198" w:type="dxa"/>
        <w:tblInd w:w="425" w:type="dxa"/>
        <w:tblLook w:val="04A0" w:firstRow="1" w:lastRow="0" w:firstColumn="1" w:lastColumn="0" w:noHBand="0" w:noVBand="1"/>
      </w:tblPr>
      <w:tblGrid>
        <w:gridCol w:w="1697"/>
        <w:gridCol w:w="7501"/>
      </w:tblGrid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ind w:right="-114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∑ </w:t>
            </w: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PNKAP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647B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súčet počtu prepočítaných </w:t>
            </w:r>
            <w:proofErr w:type="spellStart"/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>nekapitovaných</w:t>
            </w:r>
            <w:proofErr w:type="spellEnd"/>
            <w:r w:rsidRPr="007A5C7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poistencov podľa bodu 1.4. v príslušných vekových skupinách podľa prílohy č. 3</w:t>
            </w:r>
            <w:r w:rsidR="00647B13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ind w:right="-106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PNKAP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647B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počet </w:t>
            </w:r>
            <w:proofErr w:type="spellStart"/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nekapitovaných</w:t>
            </w:r>
            <w:proofErr w:type="spellEnd"/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 poistencov v príslušnej vekovej skupine podľa prílohy č. 3</w:t>
            </w:r>
            <w:r w:rsidR="00647B1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# NKAP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647B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počet </w:t>
            </w:r>
            <w:proofErr w:type="spellStart"/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nekapitovaných</w:t>
            </w:r>
            <w:proofErr w:type="spellEnd"/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 poistencov v príslušnej vekovej skupine podľa prílohy č. 3</w:t>
            </w:r>
            <w:r w:rsidR="00647B13">
              <w:rPr>
                <w:rFonts w:ascii="Times New Roman" w:hAnsi="Times New Roman"/>
                <w:i/>
                <w:sz w:val="24"/>
                <w:szCs w:val="24"/>
              </w:rPr>
              <w:t xml:space="preserve"> šiesteho bodu</w:t>
            </w:r>
          </w:p>
        </w:tc>
      </w:tr>
      <w:tr w:rsidR="00AF3EED" w:rsidRPr="007A5C79" w:rsidTr="00AE2C42">
        <w:tc>
          <w:tcPr>
            <w:tcW w:w="1697" w:type="dxa"/>
            <w:vAlign w:val="center"/>
          </w:tcPr>
          <w:p w:rsidR="00AF3EED" w:rsidRPr="007A5C79" w:rsidRDefault="00AF3EED" w:rsidP="00AE2C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>INDEX</w:t>
            </w:r>
            <w:r w:rsidRPr="007A5C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vek1-18</w:t>
            </w:r>
          </w:p>
        </w:tc>
        <w:tc>
          <w:tcPr>
            <w:tcW w:w="7501" w:type="dxa"/>
            <w:vAlign w:val="center"/>
          </w:tcPr>
          <w:p w:rsidR="00AF3EED" w:rsidRPr="007A5C79" w:rsidRDefault="00AF3EED" w:rsidP="00647B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79">
              <w:rPr>
                <w:rFonts w:ascii="Times New Roman" w:hAnsi="Times New Roman"/>
                <w:i/>
                <w:sz w:val="24"/>
                <w:szCs w:val="24"/>
              </w:rPr>
              <w:t xml:space="preserve">hodnota indexu náročnosti poistenca príslušnej vekovej skupiny podľa prílohy č. 1 </w:t>
            </w:r>
            <w:r w:rsidR="00647B13">
              <w:rPr>
                <w:rFonts w:ascii="Times New Roman" w:hAnsi="Times New Roman"/>
                <w:i/>
                <w:sz w:val="24"/>
                <w:szCs w:val="24"/>
              </w:rPr>
              <w:t>štvrtého bodu</w:t>
            </w:r>
          </w:p>
        </w:tc>
      </w:tr>
    </w:tbl>
    <w:p w:rsidR="00AF3EED" w:rsidRPr="007A5C79" w:rsidRDefault="00AF3EED" w:rsidP="00AF3EED">
      <w:pPr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</w:rPr>
      </w:pPr>
    </w:p>
    <w:p w:rsidR="00AF3EED" w:rsidRPr="007A5C79" w:rsidRDefault="00AF3EED" w:rsidP="00AF3EED">
      <w:pPr>
        <w:pStyle w:val="Odsekzoznamu"/>
        <w:ind w:left="792"/>
        <w:jc w:val="both"/>
        <w:rPr>
          <w:lang w:eastAsia="sk-SK"/>
        </w:rPr>
      </w:pPr>
    </w:p>
    <w:p w:rsidR="00AF3EED" w:rsidRPr="007A5C79" w:rsidRDefault="00AF3EED" w:rsidP="00AF3EED">
      <w:pPr>
        <w:pStyle w:val="Odsekzoznamu"/>
        <w:ind w:left="792"/>
        <w:jc w:val="both"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1"/>
          <w:numId w:val="16"/>
        </w:numPr>
        <w:jc w:val="both"/>
        <w:rPr>
          <w:lang w:eastAsia="sk-SK"/>
        </w:rPr>
      </w:pPr>
      <w:r w:rsidRPr="007A5C79">
        <w:rPr>
          <w:lang w:eastAsia="sk-SK"/>
        </w:rPr>
        <w:t xml:space="preserve">Skupinu kapitovaných poistencov na výpočet </w:t>
      </w:r>
    </w:p>
    <w:p w:rsidR="00AF3EED" w:rsidRPr="007A5C79" w:rsidRDefault="00AF3EED" w:rsidP="004120A9">
      <w:pPr>
        <w:pStyle w:val="Odsekzoznamu"/>
        <w:numPr>
          <w:ilvl w:val="2"/>
          <w:numId w:val="15"/>
        </w:numPr>
        <w:jc w:val="both"/>
        <w:rPr>
          <w:lang w:eastAsia="sk-SK"/>
        </w:rPr>
      </w:pPr>
      <w:r w:rsidRPr="007A5C79">
        <w:rPr>
          <w:lang w:eastAsia="sk-SK"/>
        </w:rPr>
        <w:lastRenderedPageBreak/>
        <w:t xml:space="preserve">hodnôt vnútroštátnej migrácie vo verejnej minimálnej sieti poskytovateľov všeobecnej ambulantnej starostlivosti pre dospelých tvoria poistenci </w:t>
      </w:r>
      <w:proofErr w:type="spellStart"/>
      <w:r w:rsidRPr="007A5C79">
        <w:rPr>
          <w:lang w:eastAsia="sk-SK"/>
        </w:rPr>
        <w:t>kapitovaní</w:t>
      </w:r>
      <w:proofErr w:type="spellEnd"/>
      <w:r w:rsidRPr="007A5C79">
        <w:rPr>
          <w:lang w:eastAsia="sk-SK"/>
        </w:rPr>
        <w:t xml:space="preserve"> u poskytovateľov všeobecnej ambulantnej starostlivosti pre dospelých s miestom prevádzkovania  ambulancie všeobecného lekárstva v okres</w:t>
      </w:r>
      <w:r w:rsidR="00E37545">
        <w:rPr>
          <w:lang w:eastAsia="sk-SK"/>
        </w:rPr>
        <w:t>e</w:t>
      </w:r>
      <w:r w:rsidRPr="007A5C79">
        <w:rPr>
          <w:lang w:eastAsia="sk-SK"/>
        </w:rPr>
        <w:t>,</w:t>
      </w:r>
    </w:p>
    <w:p w:rsidR="00AF3EED" w:rsidRPr="007A5C79" w:rsidRDefault="00AF3EED" w:rsidP="004120A9">
      <w:pPr>
        <w:pStyle w:val="Odsekzoznamu"/>
        <w:numPr>
          <w:ilvl w:val="2"/>
          <w:numId w:val="15"/>
        </w:numPr>
        <w:ind w:left="1225" w:hanging="505"/>
        <w:jc w:val="both"/>
        <w:rPr>
          <w:lang w:eastAsia="sk-SK"/>
        </w:rPr>
      </w:pPr>
      <w:r w:rsidRPr="007A5C79">
        <w:rPr>
          <w:lang w:eastAsia="sk-SK"/>
        </w:rPr>
        <w:t xml:space="preserve">hodnôt vnútroštátnej migrácie vo verejnej minimálnej sieti  poskytovateľov všeobecnej ambulantnej starostlivosti pre deti a dorast tvoria poistenci </w:t>
      </w:r>
      <w:proofErr w:type="spellStart"/>
      <w:r w:rsidRPr="007A5C79">
        <w:rPr>
          <w:lang w:eastAsia="sk-SK"/>
        </w:rPr>
        <w:t>kapitovaní</w:t>
      </w:r>
      <w:proofErr w:type="spellEnd"/>
      <w:r w:rsidRPr="007A5C79">
        <w:rPr>
          <w:lang w:eastAsia="sk-SK"/>
        </w:rPr>
        <w:t xml:space="preserve"> u poskytovateľov všeobecnej ambulantnej starostlivosti pre deti a dorast s miestom prevádzkovania ambulancie všeobecného lekárstva  pre deti a dorast v okrese.</w:t>
      </w:r>
    </w:p>
    <w:p w:rsidR="00AF3EED" w:rsidRPr="007A5C79" w:rsidRDefault="00AF3EED" w:rsidP="00AF3EED">
      <w:pPr>
        <w:pStyle w:val="Odsekzoznamu"/>
        <w:ind w:left="792"/>
        <w:jc w:val="both"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1"/>
          <w:numId w:val="16"/>
        </w:numPr>
        <w:jc w:val="both"/>
        <w:rPr>
          <w:lang w:eastAsia="sk-SK"/>
        </w:rPr>
      </w:pPr>
      <w:r w:rsidRPr="007A5C79">
        <w:rPr>
          <w:lang w:eastAsia="sk-SK"/>
        </w:rPr>
        <w:t xml:space="preserve">Skupinu </w:t>
      </w:r>
      <w:proofErr w:type="spellStart"/>
      <w:r w:rsidRPr="007A5C79">
        <w:rPr>
          <w:lang w:eastAsia="sk-SK"/>
        </w:rPr>
        <w:t>nekapitovaných</w:t>
      </w:r>
      <w:proofErr w:type="spellEnd"/>
      <w:r w:rsidRPr="007A5C79">
        <w:rPr>
          <w:lang w:eastAsia="sk-SK"/>
        </w:rPr>
        <w:t xml:space="preserve"> poistencov na výpočet </w:t>
      </w:r>
    </w:p>
    <w:p w:rsidR="00AF3EED" w:rsidRPr="007A5C79" w:rsidRDefault="00AF3EED" w:rsidP="004120A9">
      <w:pPr>
        <w:pStyle w:val="Odsekzoznamu"/>
        <w:numPr>
          <w:ilvl w:val="2"/>
          <w:numId w:val="22"/>
        </w:numPr>
        <w:jc w:val="both"/>
        <w:rPr>
          <w:lang w:eastAsia="sk-SK"/>
        </w:rPr>
      </w:pPr>
      <w:r w:rsidRPr="007A5C79">
        <w:rPr>
          <w:lang w:eastAsia="sk-SK"/>
        </w:rPr>
        <w:t xml:space="preserve">hodnôt vnútroštátnej migrácie vo verejnej minimálnej sieti poskytovateľov všeobecnej ambulantnej starostlivosti pre dospelých tvorí polovica </w:t>
      </w:r>
      <w:proofErr w:type="spellStart"/>
      <w:r w:rsidRPr="007A5C79">
        <w:rPr>
          <w:lang w:eastAsia="sk-SK"/>
        </w:rPr>
        <w:t>nekapitovaných</w:t>
      </w:r>
      <w:proofErr w:type="spellEnd"/>
      <w:r w:rsidRPr="007A5C79">
        <w:rPr>
          <w:lang w:eastAsia="sk-SK"/>
        </w:rPr>
        <w:t xml:space="preserve"> poistencov vo veku 19 až 24 rokov s trvalým pobytom v okrese spolu so všetkými </w:t>
      </w:r>
      <w:proofErr w:type="spellStart"/>
      <w:r w:rsidRPr="007A5C79">
        <w:rPr>
          <w:lang w:eastAsia="sk-SK"/>
        </w:rPr>
        <w:t>nekapitovanými</w:t>
      </w:r>
      <w:proofErr w:type="spellEnd"/>
      <w:r w:rsidRPr="007A5C79">
        <w:rPr>
          <w:lang w:eastAsia="sk-SK"/>
        </w:rPr>
        <w:t xml:space="preserve"> poistencami vo veku 25 a viac rokov s trvalým pobytom v okrese,</w:t>
      </w:r>
    </w:p>
    <w:p w:rsidR="00AF3EED" w:rsidRPr="007A5C79" w:rsidRDefault="00AF3EED" w:rsidP="004120A9">
      <w:pPr>
        <w:pStyle w:val="Odsekzoznamu"/>
        <w:numPr>
          <w:ilvl w:val="2"/>
          <w:numId w:val="22"/>
        </w:numPr>
        <w:jc w:val="both"/>
        <w:rPr>
          <w:lang w:eastAsia="sk-SK"/>
        </w:rPr>
      </w:pPr>
      <w:r w:rsidRPr="007A5C79">
        <w:rPr>
          <w:lang w:eastAsia="sk-SK"/>
        </w:rPr>
        <w:t xml:space="preserve">hodnôt vnútroštátnej migrácie vo verejnej minimálnej sieti poskytovateľov všeobecnej ambulantnej starostlivosti pre deti a dorast tvoria všetci </w:t>
      </w:r>
      <w:proofErr w:type="spellStart"/>
      <w:r w:rsidRPr="007A5C79">
        <w:rPr>
          <w:lang w:eastAsia="sk-SK"/>
        </w:rPr>
        <w:t>nekapitovaní</w:t>
      </w:r>
      <w:proofErr w:type="spellEnd"/>
      <w:r w:rsidRPr="007A5C79">
        <w:rPr>
          <w:lang w:eastAsia="sk-SK"/>
        </w:rPr>
        <w:t xml:space="preserve"> poistenci do veku 18 rokov s trvalým pobytom v okrese a spolu s polovicou </w:t>
      </w:r>
      <w:proofErr w:type="spellStart"/>
      <w:r w:rsidRPr="007A5C79">
        <w:rPr>
          <w:lang w:eastAsia="sk-SK"/>
        </w:rPr>
        <w:t>nekapitovaných</w:t>
      </w:r>
      <w:proofErr w:type="spellEnd"/>
      <w:r w:rsidRPr="007A5C79">
        <w:rPr>
          <w:lang w:eastAsia="sk-SK"/>
        </w:rPr>
        <w:t xml:space="preserve"> poistencov vo veku 19 až 24 rokov s trvalým pobytom v okrese.</w:t>
      </w:r>
    </w:p>
    <w:p w:rsidR="00AF3EED" w:rsidRPr="007A5C79" w:rsidRDefault="00AF3EED" w:rsidP="004120A9">
      <w:pPr>
        <w:pStyle w:val="Odsekzoznamu"/>
        <w:numPr>
          <w:ilvl w:val="0"/>
          <w:numId w:val="16"/>
        </w:numPr>
        <w:jc w:val="both"/>
        <w:rPr>
          <w:shd w:val="clear" w:color="auto" w:fill="FFFFFF"/>
        </w:rPr>
      </w:pPr>
      <w:r w:rsidRPr="007A5C79">
        <w:t>Vnútroštátna migrácia môže nadobúdať kladné aj záporné hodnoty.</w:t>
      </w:r>
    </w:p>
    <w:p w:rsidR="00AF3EED" w:rsidRPr="007A5C79" w:rsidRDefault="00AF3EED" w:rsidP="004120A9">
      <w:pPr>
        <w:pStyle w:val="Odsekzoznamu"/>
        <w:numPr>
          <w:ilvl w:val="0"/>
          <w:numId w:val="16"/>
        </w:numPr>
        <w:jc w:val="both"/>
        <w:rPr>
          <w:shd w:val="clear" w:color="auto" w:fill="FFFFFF"/>
        </w:rPr>
      </w:pPr>
      <w:r w:rsidRPr="007A5C79">
        <w:t xml:space="preserve">Hodnoty vnútroštátnej migrácie sa zohľadňujú, ak je priemer súčtu prepočítaných kapitovaných poistencov a prepočítaných </w:t>
      </w:r>
      <w:proofErr w:type="spellStart"/>
      <w:r w:rsidRPr="007A5C79">
        <w:t>nekapitovaných</w:t>
      </w:r>
      <w:proofErr w:type="spellEnd"/>
      <w:r w:rsidRPr="007A5C79">
        <w:t xml:space="preserve"> poistencov v okrese na jedno lekárske miesto po zaokrúhlení matematicky na stovky nižší ako normatívny počet </w:t>
      </w:r>
      <w:r w:rsidR="0025259A">
        <w:t>kapitovaných poistencov</w:t>
      </w:r>
      <w:r w:rsidRPr="007A5C79">
        <w:t>.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F859CC" w:rsidRDefault="00F859CC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F859CC" w:rsidRPr="007A5C79" w:rsidRDefault="00F859CC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Default="00AF3EED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Default="00365520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65520" w:rsidRPr="007A5C79" w:rsidRDefault="00365520" w:rsidP="00AF3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3</w:t>
      </w:r>
      <w:r w:rsidRPr="007A5C79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k nariadeniu vlády č...../2021  Z. z.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Údaje poskytované podľa § 5c ods. 1 zákona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Default="00AF3EED" w:rsidP="004120A9">
      <w:pPr>
        <w:pStyle w:val="Odsekzoznamu"/>
        <w:numPr>
          <w:ilvl w:val="0"/>
          <w:numId w:val="14"/>
        </w:numPr>
        <w:ind w:left="425" w:hanging="357"/>
        <w:rPr>
          <w:lang w:eastAsia="sk-SK"/>
        </w:rPr>
      </w:pPr>
      <w:r w:rsidRPr="007A5C79">
        <w:rPr>
          <w:lang w:eastAsia="sk-SK"/>
        </w:rPr>
        <w:t>Údaje o poskytovateľoch všeobecnej ambulantnej starostlivosti s povolením na výkon činnosti na území samosprávneho kraja sprístupňované samosprávnym krajom sú</w:t>
      </w:r>
      <w:r w:rsidR="003C716E">
        <w:rPr>
          <w:lang w:eastAsia="sk-SK"/>
        </w:rPr>
        <w:t xml:space="preserve"> </w:t>
      </w:r>
    </w:p>
    <w:p w:rsidR="00CB736B" w:rsidRPr="00856089" w:rsidRDefault="006D495E" w:rsidP="00A12908">
      <w:pPr>
        <w:pStyle w:val="Odsekzoznamu"/>
        <w:numPr>
          <w:ilvl w:val="0"/>
          <w:numId w:val="31"/>
        </w:numPr>
        <w:spacing w:after="160" w:line="288" w:lineRule="auto"/>
        <w:ind w:left="993"/>
        <w:contextualSpacing/>
        <w:jc w:val="both"/>
        <w:rPr>
          <w:i/>
          <w:szCs w:val="22"/>
        </w:rPr>
      </w:pPr>
      <w:r>
        <w:rPr>
          <w:szCs w:val="22"/>
        </w:rPr>
        <w:t>identifikačné číslo organizácie,</w:t>
      </w:r>
      <w:r w:rsidR="00CB736B" w:rsidRPr="00856089">
        <w:rPr>
          <w:szCs w:val="22"/>
        </w:rPr>
        <w:t xml:space="preserve"> </w:t>
      </w:r>
    </w:p>
    <w:p w:rsidR="00CB736B" w:rsidRPr="00856089" w:rsidRDefault="003C716E" w:rsidP="00A12908">
      <w:pPr>
        <w:pStyle w:val="Odsekzoznamu"/>
        <w:numPr>
          <w:ilvl w:val="0"/>
          <w:numId w:val="31"/>
        </w:numPr>
        <w:spacing w:after="160" w:line="288" w:lineRule="auto"/>
        <w:ind w:left="993"/>
        <w:contextualSpacing/>
        <w:jc w:val="both"/>
        <w:rPr>
          <w:i/>
          <w:szCs w:val="22"/>
        </w:rPr>
      </w:pPr>
      <w:r>
        <w:rPr>
          <w:szCs w:val="22"/>
        </w:rPr>
        <w:t>názov</w:t>
      </w:r>
      <w:r w:rsidR="006F6372">
        <w:rPr>
          <w:szCs w:val="22"/>
        </w:rPr>
        <w:t xml:space="preserve"> poskytovateľa</w:t>
      </w:r>
      <w:r w:rsidR="00CB736B">
        <w:rPr>
          <w:szCs w:val="22"/>
        </w:rPr>
        <w:t>,</w:t>
      </w:r>
    </w:p>
    <w:p w:rsidR="00CB736B" w:rsidRPr="00856089" w:rsidRDefault="003C716E" w:rsidP="00A12908">
      <w:pPr>
        <w:pStyle w:val="Odsekzoznamu"/>
        <w:numPr>
          <w:ilvl w:val="0"/>
          <w:numId w:val="31"/>
        </w:numPr>
        <w:spacing w:after="160" w:line="288" w:lineRule="auto"/>
        <w:ind w:left="993"/>
        <w:contextualSpacing/>
        <w:jc w:val="both"/>
        <w:rPr>
          <w:i/>
          <w:szCs w:val="22"/>
        </w:rPr>
      </w:pPr>
      <w:r>
        <w:rPr>
          <w:szCs w:val="22"/>
        </w:rPr>
        <w:t xml:space="preserve">informácie o každej všeobecnej ambulancii </w:t>
      </w:r>
      <w:r w:rsidR="00CB736B">
        <w:rPr>
          <w:szCs w:val="22"/>
        </w:rPr>
        <w:t>v rozsahu</w:t>
      </w:r>
    </w:p>
    <w:p w:rsidR="00CB736B" w:rsidRPr="00856089" w:rsidRDefault="00CB736B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 w:rsidRPr="00856089">
        <w:rPr>
          <w:szCs w:val="22"/>
        </w:rPr>
        <w:t>identifikátor</w:t>
      </w:r>
      <w:r w:rsidR="003C716E">
        <w:rPr>
          <w:szCs w:val="22"/>
        </w:rPr>
        <w:t xml:space="preserve"> </w:t>
      </w:r>
      <w:r w:rsidR="006D495E">
        <w:rPr>
          <w:szCs w:val="22"/>
        </w:rPr>
        <w:t>zdravotníckeho zariadenia,</w:t>
      </w:r>
    </w:p>
    <w:p w:rsidR="00CB736B" w:rsidRPr="00856089" w:rsidRDefault="006D495E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>
        <w:rPr>
          <w:szCs w:val="22"/>
        </w:rPr>
        <w:t xml:space="preserve">číselný </w:t>
      </w:r>
      <w:r w:rsidR="00CB736B" w:rsidRPr="00856089">
        <w:rPr>
          <w:szCs w:val="22"/>
        </w:rPr>
        <w:t>kód poskytovateľa zdravotnej starostlivosti,</w:t>
      </w:r>
    </w:p>
    <w:p w:rsidR="00CB736B" w:rsidRPr="00856089" w:rsidRDefault="006D495E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>
        <w:rPr>
          <w:szCs w:val="22"/>
        </w:rPr>
        <w:t xml:space="preserve">číselný </w:t>
      </w:r>
      <w:r w:rsidR="00CB736B" w:rsidRPr="00856089">
        <w:rPr>
          <w:szCs w:val="22"/>
        </w:rPr>
        <w:t>kód obce,</w:t>
      </w:r>
    </w:p>
    <w:p w:rsidR="00CB736B" w:rsidRPr="00856089" w:rsidRDefault="00CB736B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 w:rsidRPr="00856089">
        <w:rPr>
          <w:szCs w:val="22"/>
        </w:rPr>
        <w:t>názov obce,</w:t>
      </w:r>
    </w:p>
    <w:p w:rsidR="00CB736B" w:rsidRPr="00856089" w:rsidRDefault="00CB736B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 w:rsidRPr="00856089">
        <w:rPr>
          <w:szCs w:val="22"/>
        </w:rPr>
        <w:t>okres,</w:t>
      </w:r>
    </w:p>
    <w:p w:rsidR="00CB736B" w:rsidRPr="00856089" w:rsidRDefault="00CB736B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 w:rsidRPr="00856089">
        <w:rPr>
          <w:szCs w:val="22"/>
        </w:rPr>
        <w:t>kraj,</w:t>
      </w:r>
    </w:p>
    <w:p w:rsidR="00CB736B" w:rsidRPr="00856089" w:rsidRDefault="00CB736B" w:rsidP="004D5F5B">
      <w:pPr>
        <w:pStyle w:val="Odsekzoznamu"/>
        <w:numPr>
          <w:ilvl w:val="1"/>
          <w:numId w:val="32"/>
        </w:numPr>
        <w:spacing w:after="160"/>
        <w:ind w:left="1701" w:hanging="340"/>
        <w:contextualSpacing/>
        <w:jc w:val="both"/>
        <w:rPr>
          <w:i/>
          <w:szCs w:val="22"/>
        </w:rPr>
      </w:pPr>
      <w:r w:rsidRPr="00856089">
        <w:rPr>
          <w:szCs w:val="22"/>
        </w:rPr>
        <w:t>údaje všeobecného lekára, ktorý vykonáva zdravotnícke povolanie v</w:t>
      </w:r>
      <w:r w:rsidR="003C716E">
        <w:rPr>
          <w:szCs w:val="22"/>
        </w:rPr>
        <w:t>o všeobecnej ambulancii</w:t>
      </w:r>
      <w:r>
        <w:rPr>
          <w:szCs w:val="22"/>
        </w:rPr>
        <w:t xml:space="preserve"> v rozsahu</w:t>
      </w:r>
    </w:p>
    <w:p w:rsidR="00CB736B" w:rsidRPr="00856089" w:rsidRDefault="00620E41" w:rsidP="00620E41">
      <w:pPr>
        <w:pStyle w:val="Odsekzoznamu"/>
        <w:numPr>
          <w:ilvl w:val="2"/>
          <w:numId w:val="31"/>
        </w:numPr>
        <w:spacing w:after="160"/>
        <w:ind w:left="2410" w:hanging="283"/>
        <w:contextualSpacing/>
        <w:jc w:val="both"/>
        <w:rPr>
          <w:i/>
          <w:szCs w:val="22"/>
        </w:rPr>
      </w:pPr>
      <w:r w:rsidRPr="00620E41">
        <w:rPr>
          <w:szCs w:val="22"/>
        </w:rPr>
        <w:t>číselný kód odbornosti</w:t>
      </w:r>
      <w:r w:rsidR="00CB736B" w:rsidRPr="00856089">
        <w:rPr>
          <w:szCs w:val="22"/>
        </w:rPr>
        <w:t>,</w:t>
      </w:r>
    </w:p>
    <w:p w:rsidR="00CB736B" w:rsidRPr="00856089" w:rsidRDefault="00CB736B" w:rsidP="004D5F5B">
      <w:pPr>
        <w:pStyle w:val="Odsekzoznamu"/>
        <w:numPr>
          <w:ilvl w:val="2"/>
          <w:numId w:val="31"/>
        </w:numPr>
        <w:spacing w:after="160"/>
        <w:ind w:left="2410" w:hanging="288"/>
        <w:contextualSpacing/>
        <w:jc w:val="both"/>
        <w:rPr>
          <w:i/>
          <w:szCs w:val="22"/>
        </w:rPr>
      </w:pPr>
      <w:r>
        <w:rPr>
          <w:szCs w:val="22"/>
        </w:rPr>
        <w:t xml:space="preserve">číselný </w:t>
      </w:r>
      <w:r w:rsidRPr="00856089">
        <w:rPr>
          <w:szCs w:val="22"/>
        </w:rPr>
        <w:t>kód</w:t>
      </w:r>
      <w:r w:rsidR="00A12908">
        <w:rPr>
          <w:szCs w:val="22"/>
        </w:rPr>
        <w:t xml:space="preserve"> všeobecného</w:t>
      </w:r>
      <w:r w:rsidRPr="00856089">
        <w:rPr>
          <w:szCs w:val="22"/>
        </w:rPr>
        <w:t xml:space="preserve"> </w:t>
      </w:r>
      <w:r>
        <w:rPr>
          <w:szCs w:val="22"/>
        </w:rPr>
        <w:t>lekára,</w:t>
      </w:r>
    </w:p>
    <w:p w:rsidR="00CB736B" w:rsidRPr="00856089" w:rsidRDefault="00CB736B" w:rsidP="004D5F5B">
      <w:pPr>
        <w:pStyle w:val="Odsekzoznamu"/>
        <w:numPr>
          <w:ilvl w:val="2"/>
          <w:numId w:val="31"/>
        </w:numPr>
        <w:spacing w:after="160"/>
        <w:ind w:left="2410" w:hanging="288"/>
        <w:contextualSpacing/>
        <w:jc w:val="both"/>
        <w:rPr>
          <w:i/>
          <w:szCs w:val="22"/>
        </w:rPr>
      </w:pPr>
      <w:r w:rsidRPr="00856089">
        <w:rPr>
          <w:szCs w:val="22"/>
        </w:rPr>
        <w:t>výška úväzku</w:t>
      </w:r>
      <w:r>
        <w:rPr>
          <w:szCs w:val="22"/>
        </w:rPr>
        <w:t xml:space="preserve"> vo</w:t>
      </w:r>
      <w:r w:rsidRPr="00856089">
        <w:rPr>
          <w:szCs w:val="22"/>
        </w:rPr>
        <w:t xml:space="preserve"> </w:t>
      </w:r>
      <w:r>
        <w:rPr>
          <w:szCs w:val="22"/>
        </w:rPr>
        <w:t>všeobecnej ambulancii,</w:t>
      </w:r>
      <w:r w:rsidRPr="00856089">
        <w:rPr>
          <w:szCs w:val="22"/>
        </w:rPr>
        <w:t xml:space="preserve"> </w:t>
      </w:r>
    </w:p>
    <w:p w:rsidR="00CB736B" w:rsidRPr="00856089" w:rsidRDefault="00CB736B" w:rsidP="004D5F5B">
      <w:pPr>
        <w:pStyle w:val="Odsekzoznamu"/>
        <w:numPr>
          <w:ilvl w:val="1"/>
          <w:numId w:val="32"/>
        </w:numPr>
        <w:spacing w:after="160"/>
        <w:ind w:left="1701" w:hanging="338"/>
        <w:contextualSpacing/>
        <w:jc w:val="both"/>
        <w:rPr>
          <w:i/>
          <w:szCs w:val="22"/>
        </w:rPr>
      </w:pPr>
      <w:r w:rsidRPr="00856089">
        <w:rPr>
          <w:szCs w:val="22"/>
        </w:rPr>
        <w:t>údaje sestry</w:t>
      </w:r>
      <w:r w:rsidR="00A12908">
        <w:rPr>
          <w:szCs w:val="22"/>
        </w:rPr>
        <w:t xml:space="preserve">, ktorá vykonáva zdravotnícke povolenie podľa § 3 ods. 4 písm. a) až c) zákona </w:t>
      </w:r>
      <w:r w:rsidR="003C716E">
        <w:rPr>
          <w:szCs w:val="22"/>
        </w:rPr>
        <w:t xml:space="preserve">vo všeobecnej ambulancii </w:t>
      </w:r>
      <w:r w:rsidR="00A12908">
        <w:rPr>
          <w:szCs w:val="22"/>
        </w:rPr>
        <w:t xml:space="preserve"> a </w:t>
      </w:r>
      <w:r w:rsidRPr="00856089">
        <w:rPr>
          <w:szCs w:val="22"/>
        </w:rPr>
        <w:t>zdravotníckeho asistenta, ktorý vykonáva zdravotnícke povo</w:t>
      </w:r>
      <w:r>
        <w:rPr>
          <w:szCs w:val="22"/>
        </w:rPr>
        <w:t>lanie</w:t>
      </w:r>
      <w:r w:rsidR="00A12908">
        <w:rPr>
          <w:szCs w:val="22"/>
        </w:rPr>
        <w:t xml:space="preserve"> podľa § 3 ods. 4 písm. a) zákona</w:t>
      </w:r>
      <w:r>
        <w:rPr>
          <w:szCs w:val="22"/>
        </w:rPr>
        <w:t xml:space="preserve"> v</w:t>
      </w:r>
      <w:r w:rsidR="003C716E">
        <w:rPr>
          <w:szCs w:val="22"/>
        </w:rPr>
        <w:t>o všeobecnej ambulancii</w:t>
      </w:r>
      <w:r>
        <w:rPr>
          <w:szCs w:val="22"/>
        </w:rPr>
        <w:t xml:space="preserve"> </w:t>
      </w:r>
      <w:r w:rsidRPr="00856089">
        <w:rPr>
          <w:szCs w:val="22"/>
        </w:rPr>
        <w:t>v rozsa</w:t>
      </w:r>
      <w:r>
        <w:rPr>
          <w:szCs w:val="22"/>
        </w:rPr>
        <w:t>hu</w:t>
      </w:r>
    </w:p>
    <w:p w:rsidR="00CB736B" w:rsidRPr="00856089" w:rsidRDefault="00CB736B" w:rsidP="004D5F5B">
      <w:pPr>
        <w:pStyle w:val="Odsekzoznamu"/>
        <w:numPr>
          <w:ilvl w:val="0"/>
          <w:numId w:val="33"/>
        </w:numPr>
        <w:spacing w:after="160"/>
        <w:ind w:left="2410" w:hanging="288"/>
        <w:contextualSpacing/>
        <w:jc w:val="both"/>
        <w:rPr>
          <w:i/>
          <w:szCs w:val="22"/>
        </w:rPr>
      </w:pPr>
      <w:r>
        <w:rPr>
          <w:szCs w:val="22"/>
        </w:rPr>
        <w:t xml:space="preserve">číselný kód </w:t>
      </w:r>
      <w:r w:rsidR="00620E41" w:rsidRPr="00620E41">
        <w:rPr>
          <w:szCs w:val="22"/>
        </w:rPr>
        <w:t>odbornosti</w:t>
      </w:r>
      <w:r w:rsidRPr="00856089">
        <w:rPr>
          <w:szCs w:val="22"/>
        </w:rPr>
        <w:t>,</w:t>
      </w:r>
    </w:p>
    <w:p w:rsidR="00CB736B" w:rsidRPr="00856089" w:rsidRDefault="00CB736B" w:rsidP="004D5F5B">
      <w:pPr>
        <w:pStyle w:val="Odsekzoznamu"/>
        <w:numPr>
          <w:ilvl w:val="0"/>
          <w:numId w:val="33"/>
        </w:numPr>
        <w:spacing w:after="160"/>
        <w:ind w:left="2410" w:hanging="288"/>
        <w:contextualSpacing/>
        <w:jc w:val="both"/>
        <w:rPr>
          <w:i/>
          <w:szCs w:val="22"/>
        </w:rPr>
      </w:pPr>
      <w:r w:rsidRPr="00856089">
        <w:rPr>
          <w:szCs w:val="22"/>
        </w:rPr>
        <w:t>číslo registrácie zdravotníckeho pracovníka v príslušnej komore</w:t>
      </w:r>
      <w:r>
        <w:rPr>
          <w:szCs w:val="22"/>
        </w:rPr>
        <w:t>,</w:t>
      </w:r>
    </w:p>
    <w:p w:rsidR="00CB736B" w:rsidRPr="00856089" w:rsidRDefault="00CB736B" w:rsidP="004D5F5B">
      <w:pPr>
        <w:pStyle w:val="Odsekzoznamu"/>
        <w:numPr>
          <w:ilvl w:val="0"/>
          <w:numId w:val="33"/>
        </w:numPr>
        <w:spacing w:after="160"/>
        <w:ind w:left="2410" w:hanging="288"/>
        <w:contextualSpacing/>
        <w:jc w:val="both"/>
        <w:rPr>
          <w:i/>
          <w:szCs w:val="22"/>
        </w:rPr>
      </w:pPr>
      <w:r w:rsidRPr="00856089">
        <w:rPr>
          <w:szCs w:val="22"/>
        </w:rPr>
        <w:t xml:space="preserve">výška úväzku </w:t>
      </w:r>
      <w:r w:rsidR="00587545">
        <w:rPr>
          <w:szCs w:val="22"/>
        </w:rPr>
        <w:t>vo všeobecnej ambulancii</w:t>
      </w:r>
      <w:r>
        <w:rPr>
          <w:szCs w:val="22"/>
        </w:rPr>
        <w:t>.</w:t>
      </w:r>
      <w:r w:rsidRPr="00856089">
        <w:rPr>
          <w:szCs w:val="22"/>
        </w:rPr>
        <w:t xml:space="preserve"> </w:t>
      </w:r>
    </w:p>
    <w:p w:rsidR="00AF3EED" w:rsidRPr="007A5C79" w:rsidRDefault="00AF3EED" w:rsidP="00AF3EED">
      <w:pPr>
        <w:pStyle w:val="Odsekzoznamu"/>
        <w:ind w:left="1701"/>
        <w:rPr>
          <w:bCs/>
          <w:shd w:val="clear" w:color="auto" w:fill="FFFFFF"/>
        </w:rPr>
      </w:pPr>
    </w:p>
    <w:p w:rsidR="00AF3EED" w:rsidRPr="007A5C79" w:rsidRDefault="00AF3EED" w:rsidP="004120A9">
      <w:pPr>
        <w:pStyle w:val="Odsekzoznamu"/>
        <w:numPr>
          <w:ilvl w:val="0"/>
          <w:numId w:val="14"/>
        </w:numPr>
        <w:ind w:left="426"/>
        <w:contextualSpacing/>
        <w:rPr>
          <w:lang w:eastAsia="sk-SK"/>
        </w:rPr>
      </w:pPr>
      <w:r w:rsidRPr="007A5C79">
        <w:rPr>
          <w:lang w:eastAsia="sk-SK"/>
        </w:rPr>
        <w:t>Údaje o poistencoch sprístupňované Úradom pre dohľad nad zdravotnou starostlivosťou sú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3"/>
        <w:contextualSpacing/>
        <w:rPr>
          <w:lang w:eastAsia="sk-SK"/>
        </w:rPr>
      </w:pPr>
      <w:r w:rsidRPr="007A5C79">
        <w:rPr>
          <w:bCs/>
          <w:shd w:val="clear" w:color="auto" w:fill="FFFFFF"/>
        </w:rPr>
        <w:t>okres, názov obce a kód obce trvalého pobytu poistencov</w:t>
      </w:r>
      <w:r w:rsidR="00031996">
        <w:rPr>
          <w:bCs/>
          <w:shd w:val="clear" w:color="auto" w:fill="FFFFFF"/>
        </w:rPr>
        <w:t>,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3"/>
        <w:contextualSpacing/>
        <w:rPr>
          <w:lang w:eastAsia="sk-SK"/>
        </w:rPr>
      </w:pPr>
      <w:r w:rsidRPr="007A5C79">
        <w:rPr>
          <w:bCs/>
          <w:shd w:val="clear" w:color="auto" w:fill="FFFFFF"/>
        </w:rPr>
        <w:t>počet poistencov podľa vekových skupín uvedených v </w:t>
      </w:r>
      <w:r w:rsidR="00F859CC">
        <w:rPr>
          <w:bCs/>
          <w:shd w:val="clear" w:color="auto" w:fill="FFFFFF"/>
        </w:rPr>
        <w:t>šiestom bode</w:t>
      </w:r>
      <w:r w:rsidR="00031996">
        <w:rPr>
          <w:bCs/>
          <w:shd w:val="clear" w:color="auto" w:fill="FFFFFF"/>
        </w:rPr>
        <w:t>.</w:t>
      </w:r>
    </w:p>
    <w:p w:rsidR="00AF3EED" w:rsidRPr="007A5C79" w:rsidRDefault="00AF3EED" w:rsidP="00AF3EED">
      <w:pPr>
        <w:pStyle w:val="Odsekzoznamu"/>
        <w:ind w:left="993"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0"/>
          <w:numId w:val="14"/>
        </w:numPr>
        <w:ind w:left="426"/>
        <w:contextualSpacing/>
        <w:rPr>
          <w:lang w:eastAsia="sk-SK"/>
        </w:rPr>
      </w:pPr>
      <w:r w:rsidRPr="007A5C79">
        <w:rPr>
          <w:lang w:eastAsia="sk-SK"/>
        </w:rPr>
        <w:t>Údaje o všeobecných lekároch sprístupňované Úradom pre dohľad nad zdravotnou starostlivosťou sú</w:t>
      </w:r>
    </w:p>
    <w:p w:rsidR="00AF3EED" w:rsidRPr="007A5C79" w:rsidRDefault="00B11EE8" w:rsidP="00365520">
      <w:pPr>
        <w:pStyle w:val="Odsekzoznamu"/>
        <w:numPr>
          <w:ilvl w:val="1"/>
          <w:numId w:val="14"/>
        </w:numPr>
        <w:ind w:left="992" w:hanging="357"/>
        <w:contextualSpacing/>
        <w:rPr>
          <w:lang w:eastAsia="sk-SK"/>
        </w:rPr>
      </w:pPr>
      <w:r>
        <w:rPr>
          <w:lang w:eastAsia="sk-SK"/>
        </w:rPr>
        <w:t>rok narodenia</w:t>
      </w:r>
      <w:r w:rsidR="00031996">
        <w:rPr>
          <w:lang w:eastAsia="sk-SK"/>
        </w:rPr>
        <w:t>,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2" w:hanging="357"/>
        <w:contextualSpacing/>
        <w:rPr>
          <w:lang w:eastAsia="sk-SK"/>
        </w:rPr>
      </w:pPr>
      <w:r w:rsidRPr="007A5C79">
        <w:rPr>
          <w:lang w:eastAsia="sk-SK"/>
        </w:rPr>
        <w:t>číselný kód všeobecného lekára</w:t>
      </w:r>
      <w:r w:rsidR="00031996">
        <w:rPr>
          <w:lang w:eastAsia="sk-SK"/>
        </w:rPr>
        <w:t>.</w:t>
      </w:r>
    </w:p>
    <w:p w:rsidR="00AF3EED" w:rsidRPr="007A5C79" w:rsidRDefault="00AF3EED" w:rsidP="00AF3EED">
      <w:pPr>
        <w:pStyle w:val="Odsekzoznamu"/>
        <w:ind w:left="992"/>
        <w:contextualSpacing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0"/>
          <w:numId w:val="14"/>
        </w:numPr>
        <w:ind w:left="426"/>
        <w:contextualSpacing/>
        <w:rPr>
          <w:lang w:eastAsia="sk-SK"/>
        </w:rPr>
      </w:pPr>
      <w:r w:rsidRPr="007A5C79">
        <w:rPr>
          <w:lang w:eastAsia="sk-SK"/>
        </w:rPr>
        <w:t>Údaje o kapitovaných poistencoch sprístupňované Národným centrom zdravotníckych informácií sú</w:t>
      </w:r>
    </w:p>
    <w:p w:rsidR="00AF3EED" w:rsidRPr="007A5C79" w:rsidRDefault="006F6372" w:rsidP="004120A9">
      <w:pPr>
        <w:pStyle w:val="Odsekzoznamu"/>
        <w:numPr>
          <w:ilvl w:val="1"/>
          <w:numId w:val="14"/>
        </w:numPr>
        <w:ind w:left="993"/>
        <w:contextualSpacing/>
        <w:rPr>
          <w:lang w:eastAsia="sk-SK"/>
        </w:rPr>
      </w:pPr>
      <w:r>
        <w:rPr>
          <w:szCs w:val="22"/>
        </w:rPr>
        <w:t>identifikačné číslo organizácie</w:t>
      </w:r>
      <w:r w:rsidRPr="007A5C79" w:rsidDel="006F6372">
        <w:rPr>
          <w:bCs/>
          <w:shd w:val="clear" w:color="auto" w:fill="FFFFFF"/>
        </w:rPr>
        <w:t xml:space="preserve"> </w:t>
      </w:r>
      <w:r w:rsidR="00AF3EED" w:rsidRPr="007A5C79">
        <w:rPr>
          <w:bCs/>
          <w:shd w:val="clear" w:color="auto" w:fill="FFFFFF"/>
        </w:rPr>
        <w:t>poskytovateľa všeobecnej ambulantnej starostlivosti</w:t>
      </w:r>
      <w:r w:rsidR="00031996">
        <w:rPr>
          <w:bCs/>
          <w:shd w:val="clear" w:color="auto" w:fill="FFFFFF"/>
        </w:rPr>
        <w:t>,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3"/>
        <w:contextualSpacing/>
        <w:rPr>
          <w:lang w:eastAsia="sk-SK"/>
        </w:rPr>
      </w:pPr>
      <w:r w:rsidRPr="007A5C79">
        <w:rPr>
          <w:bCs/>
          <w:shd w:val="clear" w:color="auto" w:fill="FFFFFF"/>
        </w:rPr>
        <w:t>číselný kód poskytovateľa zdravotnej starostlivosti</w:t>
      </w:r>
      <w:r w:rsidR="00031996">
        <w:rPr>
          <w:bCs/>
          <w:shd w:val="clear" w:color="auto" w:fill="FFFFFF"/>
        </w:rPr>
        <w:t>,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3"/>
        <w:contextualSpacing/>
        <w:jc w:val="both"/>
        <w:rPr>
          <w:bCs/>
          <w:shd w:val="clear" w:color="auto" w:fill="FFFFFF"/>
        </w:rPr>
      </w:pPr>
      <w:r w:rsidRPr="007A5C79">
        <w:rPr>
          <w:iCs/>
          <w:color w:val="000000"/>
        </w:rPr>
        <w:t>číselný kód všeobecného lekára</w:t>
      </w:r>
      <w:r w:rsidR="00031996">
        <w:rPr>
          <w:iCs/>
          <w:color w:val="000000"/>
        </w:rPr>
        <w:t>,</w:t>
      </w:r>
    </w:p>
    <w:p w:rsidR="00AF3EED" w:rsidRPr="007A5C79" w:rsidRDefault="00AF3EED" w:rsidP="00365520">
      <w:pPr>
        <w:pStyle w:val="Odsekzoznamu"/>
        <w:numPr>
          <w:ilvl w:val="1"/>
          <w:numId w:val="14"/>
        </w:numPr>
        <w:ind w:left="993"/>
        <w:contextualSpacing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>počet kapitovaných poistencov podľa vekových skupín uvedených v </w:t>
      </w:r>
      <w:r w:rsidR="00F859CC">
        <w:rPr>
          <w:bCs/>
          <w:shd w:val="clear" w:color="auto" w:fill="FFFFFF"/>
        </w:rPr>
        <w:t>šiestom bode</w:t>
      </w:r>
      <w:r w:rsidR="00031996">
        <w:rPr>
          <w:bCs/>
          <w:shd w:val="clear" w:color="auto" w:fill="FFFFFF"/>
        </w:rPr>
        <w:t>.</w:t>
      </w:r>
    </w:p>
    <w:p w:rsidR="00AF3EED" w:rsidRPr="007A5C79" w:rsidRDefault="00AF3EED" w:rsidP="00AF3EED">
      <w:pPr>
        <w:pStyle w:val="Odsekzoznamu"/>
        <w:ind w:left="993"/>
        <w:rPr>
          <w:lang w:eastAsia="sk-SK"/>
        </w:rPr>
      </w:pPr>
    </w:p>
    <w:p w:rsidR="00AF3EED" w:rsidRPr="007A5C79" w:rsidRDefault="00AF3EED" w:rsidP="004120A9">
      <w:pPr>
        <w:pStyle w:val="Odsekzoznamu"/>
        <w:numPr>
          <w:ilvl w:val="0"/>
          <w:numId w:val="14"/>
        </w:numPr>
        <w:ind w:left="426"/>
        <w:contextualSpacing/>
        <w:rPr>
          <w:lang w:eastAsia="sk-SK"/>
        </w:rPr>
      </w:pPr>
      <w:r w:rsidRPr="007A5C79">
        <w:rPr>
          <w:lang w:eastAsia="sk-SK"/>
        </w:rPr>
        <w:t>Údaje o </w:t>
      </w:r>
      <w:proofErr w:type="spellStart"/>
      <w:r w:rsidRPr="007A5C79">
        <w:rPr>
          <w:lang w:eastAsia="sk-SK"/>
        </w:rPr>
        <w:t>nekapitovaných</w:t>
      </w:r>
      <w:proofErr w:type="spellEnd"/>
      <w:r w:rsidRPr="007A5C79">
        <w:rPr>
          <w:lang w:eastAsia="sk-SK"/>
        </w:rPr>
        <w:t xml:space="preserve"> poistencoch sprístupňované zdravotnou poisťovňou sú 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3"/>
        <w:contextualSpacing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okres trvalého pobytu </w:t>
      </w:r>
      <w:proofErr w:type="spellStart"/>
      <w:r w:rsidRPr="007A5C79">
        <w:rPr>
          <w:bCs/>
          <w:shd w:val="clear" w:color="auto" w:fill="FFFFFF"/>
        </w:rPr>
        <w:t>nekapitovaných</w:t>
      </w:r>
      <w:proofErr w:type="spellEnd"/>
      <w:r w:rsidRPr="007A5C79">
        <w:rPr>
          <w:bCs/>
          <w:shd w:val="clear" w:color="auto" w:fill="FFFFFF"/>
        </w:rPr>
        <w:t xml:space="preserve"> poistencov</w:t>
      </w:r>
      <w:r w:rsidR="00031996">
        <w:rPr>
          <w:bCs/>
          <w:shd w:val="clear" w:color="auto" w:fill="FFFFFF"/>
        </w:rPr>
        <w:t>,</w:t>
      </w:r>
    </w:p>
    <w:p w:rsidR="00AF3EED" w:rsidRPr="007A5C79" w:rsidRDefault="00AF3EED" w:rsidP="004120A9">
      <w:pPr>
        <w:pStyle w:val="Odsekzoznamu"/>
        <w:numPr>
          <w:ilvl w:val="1"/>
          <w:numId w:val="14"/>
        </w:numPr>
        <w:ind w:left="993"/>
        <w:contextualSpacing/>
        <w:jc w:val="both"/>
        <w:rPr>
          <w:bCs/>
          <w:shd w:val="clear" w:color="auto" w:fill="FFFFFF"/>
        </w:rPr>
      </w:pPr>
      <w:r w:rsidRPr="007A5C79">
        <w:rPr>
          <w:bCs/>
          <w:shd w:val="clear" w:color="auto" w:fill="FFFFFF"/>
        </w:rPr>
        <w:t xml:space="preserve">počet </w:t>
      </w:r>
      <w:proofErr w:type="spellStart"/>
      <w:r w:rsidRPr="007A5C79">
        <w:rPr>
          <w:bCs/>
          <w:shd w:val="clear" w:color="auto" w:fill="FFFFFF"/>
        </w:rPr>
        <w:t>nekapitovaných</w:t>
      </w:r>
      <w:proofErr w:type="spellEnd"/>
      <w:r w:rsidRPr="007A5C79">
        <w:rPr>
          <w:bCs/>
          <w:shd w:val="clear" w:color="auto" w:fill="FFFFFF"/>
        </w:rPr>
        <w:t xml:space="preserve"> poistencov podľa vekových skupín uvedených v </w:t>
      </w:r>
      <w:r w:rsidR="00F859CC">
        <w:rPr>
          <w:bCs/>
          <w:shd w:val="clear" w:color="auto" w:fill="FFFFFF"/>
        </w:rPr>
        <w:t>šiestom bode</w:t>
      </w:r>
      <w:r w:rsidR="00031996">
        <w:rPr>
          <w:bCs/>
          <w:shd w:val="clear" w:color="auto" w:fill="FFFFFF"/>
        </w:rPr>
        <w:t>.</w:t>
      </w:r>
    </w:p>
    <w:p w:rsidR="00AF3EED" w:rsidRPr="007A5C79" w:rsidRDefault="00AF3EED" w:rsidP="00AF3EED">
      <w:pPr>
        <w:pStyle w:val="Odsekzoznamu"/>
        <w:ind w:left="993"/>
        <w:rPr>
          <w:bCs/>
          <w:shd w:val="clear" w:color="auto" w:fill="FFFFFF"/>
        </w:rPr>
      </w:pPr>
    </w:p>
    <w:p w:rsidR="00AF3EED" w:rsidRPr="007A5C79" w:rsidRDefault="00AF3EED" w:rsidP="004120A9">
      <w:pPr>
        <w:pStyle w:val="Odsekzoznamu"/>
        <w:numPr>
          <w:ilvl w:val="0"/>
          <w:numId w:val="14"/>
        </w:numPr>
        <w:ind w:left="426"/>
        <w:contextualSpacing/>
        <w:jc w:val="both"/>
        <w:rPr>
          <w:lang w:eastAsia="sk-SK"/>
        </w:rPr>
      </w:pPr>
      <w:r w:rsidRPr="007A5C79">
        <w:rPr>
          <w:lang w:eastAsia="sk-SK"/>
        </w:rPr>
        <w:t>Zoznam vekových skupín poistencov</w:t>
      </w:r>
    </w:p>
    <w:tbl>
      <w:tblPr>
        <w:tblW w:w="340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43"/>
      </w:tblGrid>
      <w:tr w:rsidR="00AF3EED" w:rsidRPr="007A5C79" w:rsidTr="00AE2C42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Poradové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Veková skupina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0 - 4 roky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5 - 9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10 - 14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15 - 19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20 - 24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25 - 29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30 - 34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35 - 39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40 - 44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45 - 49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50 - 54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55 - 59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60 - 64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65 - 69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70 - 74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75 - 79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80 - 84 rokov</w:t>
            </w:r>
          </w:p>
        </w:tc>
      </w:tr>
      <w:tr w:rsidR="00AF3EED" w:rsidRPr="007A5C79" w:rsidTr="00AE2C42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ED" w:rsidRPr="007A5C79" w:rsidRDefault="00AF3EED" w:rsidP="00AE2C4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ED" w:rsidRPr="007A5C79" w:rsidRDefault="00AF3EED" w:rsidP="00AE2C42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A5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85 a viac rokov</w:t>
            </w:r>
          </w:p>
        </w:tc>
      </w:tr>
    </w:tbl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AF3EED" w:rsidRPr="007A5C79" w:rsidRDefault="00AF3EED" w:rsidP="00AF3EED">
      <w:pPr>
        <w:pStyle w:val="Odsekzoznamu"/>
        <w:ind w:left="426"/>
        <w:rPr>
          <w:lang w:eastAsia="sk-SK"/>
        </w:rPr>
      </w:pPr>
    </w:p>
    <w:p w:rsidR="00365520" w:rsidRDefault="00365520" w:rsidP="00AE7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4D5F5B" w:rsidRDefault="004D5F5B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4D5F5B" w:rsidRDefault="004D5F5B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4D5F5B" w:rsidRDefault="004D5F5B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4D5F5B" w:rsidRDefault="004D5F5B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4</w:t>
      </w:r>
      <w:r w:rsidRPr="007A5C79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k nariadeniu vlády č...../2021  Z. z.</w:t>
      </w:r>
    </w:p>
    <w:p w:rsidR="00AF3EED" w:rsidRPr="007A5C79" w:rsidRDefault="00AF3EED" w:rsidP="00AF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 xml:space="preserve">Zverejňovanie výsledkov vyhodnocovania stavu siete podľa § 5c ods. 3 zákona </w:t>
      </w:r>
    </w:p>
    <w:p w:rsidR="00AF3EED" w:rsidRPr="007A5C79" w:rsidRDefault="00AF3EED" w:rsidP="00AF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F3EED" w:rsidRPr="007A5C79" w:rsidRDefault="00AF3EED" w:rsidP="00AF3EED">
      <w:pPr>
        <w:pStyle w:val="Odsekzoznamu"/>
        <w:ind w:left="357"/>
        <w:jc w:val="both"/>
        <w:rPr>
          <w:lang w:eastAsia="sk-SK"/>
        </w:rPr>
      </w:pPr>
      <w:r w:rsidRPr="007A5C79">
        <w:rPr>
          <w:lang w:eastAsia="sk-SK"/>
        </w:rPr>
        <w:t xml:space="preserve">Výsledky vyhodnocovania stavu </w:t>
      </w:r>
      <w:r w:rsidR="00A8755B" w:rsidRPr="007A5C79">
        <w:rPr>
          <w:lang w:eastAsia="sk-SK"/>
        </w:rPr>
        <w:t>minimálnej siete poskytovateľov všeobecnej ambulantnej starostlivosti</w:t>
      </w:r>
      <w:r w:rsidRPr="007A5C79">
        <w:rPr>
          <w:lang w:eastAsia="sk-SK"/>
        </w:rPr>
        <w:t xml:space="preserve"> sa zverejnia osobitne pre poskytovateľov všeobecnej ambulantnej starostlivosti pre dospelých a osobitne pre poskytovateľov všeobecnej ambulantnej starostlivosti pre deti a dorast v tejto forme a v rozsahu:</w:t>
      </w:r>
    </w:p>
    <w:p w:rsidR="00AF3EED" w:rsidRPr="007A5C79" w:rsidRDefault="00AF3EED" w:rsidP="004120A9">
      <w:pPr>
        <w:pStyle w:val="Odsekzoznamu"/>
        <w:numPr>
          <w:ilvl w:val="0"/>
          <w:numId w:val="20"/>
        </w:numPr>
        <w:rPr>
          <w:lang w:eastAsia="sk-SK"/>
        </w:rPr>
      </w:pPr>
      <w:r w:rsidRPr="007A5C79">
        <w:rPr>
          <w:lang w:eastAsia="sk-SK"/>
        </w:rPr>
        <w:t>vyplnená tabuľka,</w:t>
      </w:r>
    </w:p>
    <w:p w:rsidR="00AF3EED" w:rsidRPr="007A5C79" w:rsidRDefault="00AF3EED" w:rsidP="004120A9">
      <w:pPr>
        <w:pStyle w:val="Odsekzoznamu"/>
        <w:numPr>
          <w:ilvl w:val="0"/>
          <w:numId w:val="20"/>
        </w:numPr>
        <w:contextualSpacing/>
        <w:jc w:val="both"/>
        <w:rPr>
          <w:lang w:eastAsia="sk-SK"/>
        </w:rPr>
      </w:pPr>
      <w:r w:rsidRPr="007A5C79">
        <w:rPr>
          <w:lang w:eastAsia="sk-SK"/>
        </w:rPr>
        <w:t>mapa miestnej dostupnosti poskytovateľov všeobecnej ambulantnej starostlivosti s farebným označením</w:t>
      </w:r>
    </w:p>
    <w:p w:rsidR="00AF3EED" w:rsidRPr="007A5C79" w:rsidRDefault="00AF3EED" w:rsidP="004120A9">
      <w:pPr>
        <w:pStyle w:val="Odsekzoznamu"/>
        <w:numPr>
          <w:ilvl w:val="1"/>
          <w:numId w:val="20"/>
        </w:numPr>
        <w:contextualSpacing/>
        <w:jc w:val="both"/>
        <w:rPr>
          <w:lang w:eastAsia="sk-SK"/>
        </w:rPr>
      </w:pPr>
      <w:r w:rsidRPr="007A5C79">
        <w:rPr>
          <w:lang w:eastAsia="sk-SK"/>
        </w:rPr>
        <w:t>zelenou farbou pre obce so zabezpečenou miestnou dostupnosťou</w:t>
      </w:r>
      <w:r w:rsidR="00031996">
        <w:rPr>
          <w:lang w:eastAsia="sk-SK"/>
        </w:rPr>
        <w:t>,</w:t>
      </w:r>
    </w:p>
    <w:p w:rsidR="00AF3EED" w:rsidRPr="007A5C79" w:rsidRDefault="00AF3EED" w:rsidP="004120A9">
      <w:pPr>
        <w:pStyle w:val="Odsekzoznamu"/>
        <w:numPr>
          <w:ilvl w:val="1"/>
          <w:numId w:val="20"/>
        </w:numPr>
        <w:contextualSpacing/>
        <w:jc w:val="both"/>
        <w:rPr>
          <w:lang w:eastAsia="sk-SK"/>
        </w:rPr>
      </w:pPr>
      <w:r w:rsidRPr="007A5C79">
        <w:rPr>
          <w:lang w:eastAsia="sk-SK"/>
        </w:rPr>
        <w:t>červenou farbou pre obce, ktoré nemajú zabezpečenú miestnu dostupnosť,</w:t>
      </w:r>
    </w:p>
    <w:p w:rsidR="00AF3EED" w:rsidRPr="007A5C79" w:rsidRDefault="00AF3EED" w:rsidP="004120A9">
      <w:pPr>
        <w:pStyle w:val="Odsekzoznamu"/>
        <w:numPr>
          <w:ilvl w:val="0"/>
          <w:numId w:val="20"/>
        </w:numPr>
        <w:contextualSpacing/>
        <w:jc w:val="both"/>
        <w:rPr>
          <w:lang w:eastAsia="sk-SK"/>
        </w:rPr>
      </w:pPr>
      <w:r w:rsidRPr="007A5C79">
        <w:rPr>
          <w:lang w:eastAsia="sk-SK"/>
        </w:rPr>
        <w:t>mapa potrebnej kapacity poskytovateľov všeobecnej ambulantnej starostlivosti s farebným označením</w:t>
      </w:r>
    </w:p>
    <w:p w:rsidR="00AF3EED" w:rsidRPr="007A5C79" w:rsidRDefault="00AF3EED" w:rsidP="004120A9">
      <w:pPr>
        <w:pStyle w:val="Odsekzoznamu"/>
        <w:numPr>
          <w:ilvl w:val="1"/>
          <w:numId w:val="20"/>
        </w:numPr>
        <w:contextualSpacing/>
        <w:jc w:val="both"/>
        <w:rPr>
          <w:lang w:eastAsia="sk-SK"/>
        </w:rPr>
      </w:pPr>
      <w:r w:rsidRPr="007A5C79">
        <w:rPr>
          <w:lang w:eastAsia="sk-SK"/>
        </w:rPr>
        <w:t>zelenou farbou pre okresy, v ktorých  miera naplnenia potrebnej kapacity dosahuje aspoň 100 percent,</w:t>
      </w:r>
    </w:p>
    <w:p w:rsidR="00AF3EED" w:rsidRPr="00AE7A2F" w:rsidRDefault="00AF3EED" w:rsidP="00AE7A2F">
      <w:pPr>
        <w:pStyle w:val="Odsekzoznamu"/>
        <w:numPr>
          <w:ilvl w:val="1"/>
          <w:numId w:val="20"/>
        </w:numPr>
        <w:contextualSpacing/>
        <w:jc w:val="both"/>
        <w:rPr>
          <w:lang w:eastAsia="sk-SK"/>
        </w:rPr>
        <w:sectPr w:rsidR="00AF3EED" w:rsidRPr="00AE7A2F" w:rsidSect="00AE2C42">
          <w:footerReference w:type="default" r:id="rId13"/>
          <w:pgSz w:w="11906" w:h="16838"/>
          <w:pgMar w:top="1417" w:right="991" w:bottom="1417" w:left="1417" w:header="708" w:footer="708" w:gutter="0"/>
          <w:cols w:space="708"/>
          <w:titlePg/>
          <w:docGrid w:linePitch="360"/>
        </w:sectPr>
      </w:pPr>
      <w:r w:rsidRPr="00AE7A2F">
        <w:rPr>
          <w:lang w:eastAsia="sk-SK"/>
        </w:rPr>
        <w:t>červenou farbou pre okresy, v ktorých je miera naplnenia potrebnej kapacity menšia ako 100 percent.</w:t>
      </w:r>
    </w:p>
    <w:p w:rsidR="00AF3EED" w:rsidRPr="007A5C79" w:rsidRDefault="00AF3EED" w:rsidP="004D5F5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7A5C79">
        <w:rPr>
          <w:rFonts w:ascii="Times New Roman" w:hAnsi="Times New Roman"/>
          <w:sz w:val="24"/>
          <w:szCs w:val="24"/>
          <w:lang w:eastAsia="sk-SK"/>
        </w:rPr>
        <w:lastRenderedPageBreak/>
        <w:t xml:space="preserve">Tabuľka </w:t>
      </w:r>
    </w:p>
    <w:tbl>
      <w:tblPr>
        <w:tblW w:w="1587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276"/>
        <w:gridCol w:w="1276"/>
        <w:gridCol w:w="2835"/>
        <w:gridCol w:w="1134"/>
        <w:gridCol w:w="1276"/>
        <w:gridCol w:w="1275"/>
        <w:gridCol w:w="1276"/>
      </w:tblGrid>
      <w:tr w:rsidR="008006BA" w:rsidRPr="007A5C79" w:rsidTr="00CC640D">
        <w:trPr>
          <w:trHeight w:val="399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014860" w:rsidRDefault="008006BA" w:rsidP="00AE2C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71" w:right="-7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Vere</w:t>
            </w:r>
            <w:r w:rsidR="00CC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jná minimálna sieť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A" w:rsidRPr="00014860" w:rsidRDefault="008006BA" w:rsidP="008006BA">
            <w:pPr>
              <w:spacing w:after="0" w:line="240" w:lineRule="auto"/>
              <w:ind w:left="-69" w:right="-11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Verejná sieť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BA" w:rsidRPr="00014860" w:rsidRDefault="008006BA" w:rsidP="00CC640D">
            <w:pPr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Vnútroštátna </w:t>
            </w: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br/>
              <w:t>migrácia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68" w:right="-69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Parametre klasifikácie okresov</w:t>
            </w:r>
          </w:p>
        </w:tc>
      </w:tr>
      <w:tr w:rsidR="00CC640D" w:rsidRPr="007A5C79" w:rsidTr="00CC640D">
        <w:trPr>
          <w:trHeight w:val="6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0D" w:rsidRDefault="00CC640D" w:rsidP="008006BA">
            <w:pPr>
              <w:spacing w:after="0" w:line="240" w:lineRule="auto"/>
              <w:ind w:left="-71" w:right="-68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Potrebná kapacita</w:t>
            </w:r>
          </w:p>
          <w:p w:rsidR="008006BA" w:rsidRPr="00014860" w:rsidRDefault="008006BA" w:rsidP="008006BA">
            <w:pPr>
              <w:spacing w:after="0" w:line="240" w:lineRule="auto"/>
              <w:ind w:left="-71" w:right="-68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(počet lekárskych miest)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ind w:left="-68" w:right="-7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Miestna dostupnosť (maximálny čas dojazdu)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69" w:right="-69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Počet lekárskych miest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71" w:right="-71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Počet neobsadených lekárskych miest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6BA" w:rsidRPr="00014860" w:rsidRDefault="004120A9" w:rsidP="004120A9">
            <w:pPr>
              <w:spacing w:after="0" w:line="240" w:lineRule="auto"/>
              <w:ind w:left="-69" w:right="-75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Názvy o</w:t>
            </w:r>
            <w:r w:rsidR="008006BA"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bc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í</w:t>
            </w:r>
            <w:r w:rsidR="008006BA"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s nezabezpečenou miestnou dostupnosťou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68" w:right="-7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Miestna dostupnosť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62" w:right="-7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Demografická štruktúra všeobecných lekárov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BA" w:rsidRPr="00014860" w:rsidRDefault="008006BA" w:rsidP="008006BA">
            <w:pPr>
              <w:spacing w:after="0" w:line="240" w:lineRule="auto"/>
              <w:ind w:left="-68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148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Miera naplnenia potrebnej kapacity</w:t>
            </w: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014860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ind w:right="-70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Košice + Košice - okolie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lastRenderedPageBreak/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lastRenderedPageBreak/>
              <w:t>Spišská Nová 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C640D" w:rsidRPr="007A5C79" w:rsidTr="00CC640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BA" w:rsidRPr="00AE2C42" w:rsidRDefault="008006BA" w:rsidP="008006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E2C4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BA" w:rsidRPr="007A5C79" w:rsidRDefault="008006BA" w:rsidP="0080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D0AC6" w:rsidRDefault="003D0AC6" w:rsidP="007D04CF">
      <w:pPr>
        <w:rPr>
          <w:rFonts w:ascii="Times New Roman" w:hAnsi="Times New Roman"/>
          <w:sz w:val="24"/>
          <w:szCs w:val="24"/>
        </w:rPr>
        <w:sectPr w:rsidR="003D0AC6" w:rsidSect="007D04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D0AC6" w:rsidRPr="007A5C79" w:rsidRDefault="003D0AC6" w:rsidP="003D0A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5</w:t>
      </w:r>
      <w:r w:rsidRPr="007A5C79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3D0AC6" w:rsidRPr="007A5C79" w:rsidRDefault="003D0AC6" w:rsidP="003D0A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7A5C79">
        <w:rPr>
          <w:rFonts w:ascii="Times New Roman" w:hAnsi="Times New Roman"/>
          <w:b/>
          <w:sz w:val="24"/>
          <w:szCs w:val="24"/>
          <w:lang w:eastAsia="sk-SK"/>
        </w:rPr>
        <w:t>k nariadeniu vlády č...../2021  Z. z.</w:t>
      </w:r>
    </w:p>
    <w:p w:rsidR="003D0AC6" w:rsidRDefault="003D0AC6" w:rsidP="003D0AC6">
      <w:pPr>
        <w:jc w:val="center"/>
        <w:rPr>
          <w:b/>
        </w:rPr>
      </w:pPr>
    </w:p>
    <w:p w:rsidR="003D0AC6" w:rsidRPr="003D0AC6" w:rsidRDefault="003D0AC6" w:rsidP="003D0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D0AC6">
        <w:rPr>
          <w:rFonts w:ascii="Times New Roman" w:hAnsi="Times New Roman"/>
          <w:b/>
          <w:sz w:val="24"/>
          <w:szCs w:val="24"/>
          <w:lang w:eastAsia="sk-SK"/>
        </w:rPr>
        <w:t>Spôsob úpravy počtu lekárskych miest vo verejnej sieti poskytovateľov všeobecnej ambulantnej starostlivosti</w:t>
      </w:r>
    </w:p>
    <w:p w:rsidR="0058509E" w:rsidRDefault="0058509E" w:rsidP="007D04CF">
      <w:pPr>
        <w:rPr>
          <w:rFonts w:ascii="Times New Roman" w:hAnsi="Times New Roman"/>
          <w:sz w:val="24"/>
          <w:szCs w:val="24"/>
        </w:rPr>
      </w:pPr>
    </w:p>
    <w:p w:rsidR="00ED4E01" w:rsidRPr="00ED4E01" w:rsidRDefault="00ED4E01" w:rsidP="00ED4E0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4E01">
        <w:rPr>
          <w:rFonts w:ascii="Times New Roman" w:eastAsia="Times New Roman" w:hAnsi="Times New Roman"/>
          <w:sz w:val="24"/>
          <w:szCs w:val="24"/>
          <w:lang w:eastAsia="sk-SK"/>
        </w:rPr>
        <w:t>Počet lekárskych miest vo verejnej sieti poskytovateľov všeobecnej ambulantnej starostlivosti sa určí pre územie okresu osobitne pre poskytovateľov všeobecnej starostlivosti pre dospelých a osobitne pre poskytovateľov všeobecnej starostlivosti pre deti a dorast nasledovn</w:t>
      </w:r>
      <w:r w:rsidR="0036552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ED4E01" w:rsidRDefault="00ED4E01" w:rsidP="00ED4E0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</w:pPr>
    </w:p>
    <w:p w:rsidR="00ED4E01" w:rsidRDefault="00ED4E01" w:rsidP="00365520">
      <w:pPr>
        <w:pStyle w:val="Odsekzoznamu"/>
        <w:numPr>
          <w:ilvl w:val="0"/>
          <w:numId w:val="23"/>
        </w:numPr>
        <w:jc w:val="both"/>
        <w:textAlignment w:val="baseline"/>
        <w:rPr>
          <w:lang w:eastAsia="sk-SK"/>
        </w:rPr>
      </w:pPr>
      <w:r w:rsidRPr="00F2706E">
        <w:rPr>
          <w:shd w:val="clear" w:color="auto" w:fill="FFFFFF"/>
          <w:lang w:eastAsia="sk-SK"/>
        </w:rPr>
        <w:t xml:space="preserve">Uvedie sa súčet všetkých úväzkov </w:t>
      </w:r>
      <w:r>
        <w:rPr>
          <w:shd w:val="clear" w:color="auto" w:fill="FFFFFF"/>
          <w:lang w:eastAsia="sk-SK"/>
        </w:rPr>
        <w:t xml:space="preserve">všeobecného </w:t>
      </w:r>
      <w:r w:rsidRPr="00ED4E01">
        <w:rPr>
          <w:shd w:val="clear" w:color="auto" w:fill="FFFFFF"/>
          <w:lang w:eastAsia="sk-SK"/>
        </w:rPr>
        <w:t>lekára </w:t>
      </w:r>
      <w:r w:rsidRPr="00ED4E01">
        <w:rPr>
          <w:lang w:eastAsia="sk-SK"/>
        </w:rPr>
        <w:t xml:space="preserve">vo všetkých </w:t>
      </w:r>
      <w:r>
        <w:rPr>
          <w:lang w:eastAsia="sk-SK"/>
        </w:rPr>
        <w:t>všeobecných ambulanciách</w:t>
      </w:r>
      <w:r w:rsidRPr="00ED4E01">
        <w:rPr>
          <w:lang w:eastAsia="sk-SK"/>
        </w:rPr>
        <w:t> a u všetkých </w:t>
      </w:r>
      <w:r w:rsidRPr="00ED4E01">
        <w:rPr>
          <w:shd w:val="clear" w:color="auto" w:fill="FFFFFF"/>
          <w:lang w:eastAsia="sk-SK"/>
        </w:rPr>
        <w:t>poskytovateľov</w:t>
      </w:r>
      <w:r w:rsidRPr="00ED4E01">
        <w:rPr>
          <w:lang w:eastAsia="sk-SK"/>
        </w:rPr>
        <w:t> všeobecnej ambulantnej starostlivosti. </w:t>
      </w:r>
    </w:p>
    <w:p w:rsidR="00ED4E01" w:rsidRDefault="00ED4E01" w:rsidP="00365520">
      <w:pPr>
        <w:pStyle w:val="Odsekzoznamu"/>
        <w:numPr>
          <w:ilvl w:val="0"/>
          <w:numId w:val="23"/>
        </w:numPr>
        <w:jc w:val="both"/>
        <w:textAlignment w:val="baseline"/>
        <w:rPr>
          <w:lang w:eastAsia="sk-SK"/>
        </w:rPr>
      </w:pPr>
      <w:r w:rsidRPr="00ED4E01">
        <w:rPr>
          <w:shd w:val="clear" w:color="auto" w:fill="FFFFFF"/>
          <w:lang w:eastAsia="sk-SK"/>
        </w:rPr>
        <w:t xml:space="preserve">Z celkového súčtu všetkých úväzkov </w:t>
      </w:r>
      <w:r>
        <w:rPr>
          <w:shd w:val="clear" w:color="auto" w:fill="FFFFFF"/>
          <w:lang w:eastAsia="sk-SK"/>
        </w:rPr>
        <w:t xml:space="preserve">všeobecného </w:t>
      </w:r>
      <w:r w:rsidRPr="00ED4E01">
        <w:rPr>
          <w:shd w:val="clear" w:color="auto" w:fill="FFFFFF"/>
          <w:lang w:eastAsia="sk-SK"/>
        </w:rPr>
        <w:t>lekára podľa bodu 1 sa vypočíta percentuálny podiel úväzkov</w:t>
      </w:r>
      <w:r>
        <w:rPr>
          <w:shd w:val="clear" w:color="auto" w:fill="FFFFFF"/>
          <w:lang w:eastAsia="sk-SK"/>
        </w:rPr>
        <w:t xml:space="preserve"> všeobecného</w:t>
      </w:r>
      <w:r w:rsidRPr="00ED4E01">
        <w:rPr>
          <w:shd w:val="clear" w:color="auto" w:fill="FFFFFF"/>
          <w:lang w:eastAsia="sk-SK"/>
        </w:rPr>
        <w:t xml:space="preserve"> lekára v jednotlivých všeobecných ambulanciách.</w:t>
      </w:r>
      <w:r w:rsidRPr="00ED4E01">
        <w:rPr>
          <w:lang w:eastAsia="sk-SK"/>
        </w:rPr>
        <w:t> </w:t>
      </w:r>
    </w:p>
    <w:p w:rsidR="00ED4E01" w:rsidRDefault="00ED4E01" w:rsidP="00365520">
      <w:pPr>
        <w:pStyle w:val="Odsekzoznamu"/>
        <w:numPr>
          <w:ilvl w:val="0"/>
          <w:numId w:val="23"/>
        </w:numPr>
        <w:jc w:val="both"/>
        <w:textAlignment w:val="baseline"/>
        <w:rPr>
          <w:lang w:eastAsia="sk-SK"/>
        </w:rPr>
      </w:pPr>
      <w:r w:rsidRPr="00ED4E01">
        <w:rPr>
          <w:shd w:val="clear" w:color="auto" w:fill="FFFFFF"/>
          <w:lang w:eastAsia="sk-SK"/>
        </w:rPr>
        <w:t>Súčet úväzkov</w:t>
      </w:r>
      <w:r>
        <w:rPr>
          <w:shd w:val="clear" w:color="auto" w:fill="FFFFFF"/>
          <w:lang w:eastAsia="sk-SK"/>
        </w:rPr>
        <w:t xml:space="preserve"> všeobecného</w:t>
      </w:r>
      <w:r w:rsidRPr="00ED4E01">
        <w:rPr>
          <w:shd w:val="clear" w:color="auto" w:fill="FFFFFF"/>
          <w:lang w:eastAsia="sk-SK"/>
        </w:rPr>
        <w:t xml:space="preserve"> lekára sa upraví na hodnotu 1,00 lekárskeho miesta, ak je súčet všetkých úväzkov </w:t>
      </w:r>
      <w:r>
        <w:rPr>
          <w:shd w:val="clear" w:color="auto" w:fill="FFFFFF"/>
          <w:lang w:eastAsia="sk-SK"/>
        </w:rPr>
        <w:t xml:space="preserve">všeobecného </w:t>
      </w:r>
      <w:r w:rsidRPr="00ED4E01">
        <w:rPr>
          <w:shd w:val="clear" w:color="auto" w:fill="FFFFFF"/>
          <w:lang w:eastAsia="sk-SK"/>
        </w:rPr>
        <w:t>lekára vyšší ako 1,00 lekárskeho miesta.</w:t>
      </w:r>
      <w:r w:rsidRPr="00ED4E01">
        <w:rPr>
          <w:lang w:eastAsia="sk-SK"/>
        </w:rPr>
        <w:t> </w:t>
      </w:r>
    </w:p>
    <w:p w:rsidR="00ED4E01" w:rsidRDefault="00ED4E01" w:rsidP="00365520">
      <w:pPr>
        <w:pStyle w:val="Odsekzoznamu"/>
        <w:numPr>
          <w:ilvl w:val="0"/>
          <w:numId w:val="23"/>
        </w:numPr>
        <w:jc w:val="both"/>
        <w:textAlignment w:val="baseline"/>
        <w:rPr>
          <w:lang w:eastAsia="sk-SK"/>
        </w:rPr>
      </w:pPr>
      <w:r w:rsidRPr="00ED4E01">
        <w:rPr>
          <w:shd w:val="clear" w:color="auto" w:fill="FFFFFF"/>
          <w:lang w:eastAsia="sk-SK"/>
        </w:rPr>
        <w:t>Vypočíta sa výška úväzku</w:t>
      </w:r>
      <w:r>
        <w:rPr>
          <w:shd w:val="clear" w:color="auto" w:fill="FFFFFF"/>
          <w:lang w:eastAsia="sk-SK"/>
        </w:rPr>
        <w:t xml:space="preserve"> všeobecného</w:t>
      </w:r>
      <w:r w:rsidRPr="00ED4E01">
        <w:rPr>
          <w:shd w:val="clear" w:color="auto" w:fill="FFFFFF"/>
          <w:lang w:eastAsia="sk-SK"/>
        </w:rPr>
        <w:t xml:space="preserve"> lekára v jednotlivých </w:t>
      </w:r>
      <w:r>
        <w:rPr>
          <w:shd w:val="clear" w:color="auto" w:fill="FFFFFF"/>
          <w:lang w:eastAsia="sk-SK"/>
        </w:rPr>
        <w:t>všeobecných ambulanciách</w:t>
      </w:r>
      <w:r w:rsidRPr="00ED4E01">
        <w:rPr>
          <w:shd w:val="clear" w:color="auto" w:fill="FFFFFF"/>
          <w:lang w:eastAsia="sk-SK"/>
        </w:rPr>
        <w:t xml:space="preserve"> ako percentuálny podiel súčtu všetkých úväzkov</w:t>
      </w:r>
      <w:r>
        <w:rPr>
          <w:shd w:val="clear" w:color="auto" w:fill="FFFFFF"/>
          <w:lang w:eastAsia="sk-SK"/>
        </w:rPr>
        <w:t xml:space="preserve"> všeobecného</w:t>
      </w:r>
      <w:r w:rsidRPr="00ED4E01">
        <w:rPr>
          <w:shd w:val="clear" w:color="auto" w:fill="FFFFFF"/>
          <w:lang w:eastAsia="sk-SK"/>
        </w:rPr>
        <w:t> lekára (ďalej len „výsledný úväzok“).</w:t>
      </w:r>
      <w:r w:rsidRPr="00ED4E01">
        <w:rPr>
          <w:lang w:eastAsia="sk-SK"/>
        </w:rPr>
        <w:t> </w:t>
      </w:r>
    </w:p>
    <w:p w:rsidR="00ED4E01" w:rsidRPr="00ED4E01" w:rsidRDefault="00B043AC" w:rsidP="00365520">
      <w:pPr>
        <w:pStyle w:val="Odsekzoznamu"/>
        <w:numPr>
          <w:ilvl w:val="0"/>
          <w:numId w:val="23"/>
        </w:numPr>
        <w:jc w:val="both"/>
        <w:textAlignment w:val="baseline"/>
        <w:rPr>
          <w:lang w:eastAsia="sk-SK"/>
        </w:rPr>
      </w:pPr>
      <w:r>
        <w:rPr>
          <w:shd w:val="clear" w:color="auto" w:fill="FFFFFF"/>
          <w:lang w:eastAsia="sk-SK"/>
        </w:rPr>
        <w:t>V</w:t>
      </w:r>
      <w:r w:rsidRPr="00ED4E01">
        <w:rPr>
          <w:shd w:val="clear" w:color="auto" w:fill="FFFFFF"/>
          <w:lang w:eastAsia="sk-SK"/>
        </w:rPr>
        <w:t xml:space="preserve">ypočíta </w:t>
      </w:r>
      <w:r>
        <w:rPr>
          <w:shd w:val="clear" w:color="auto" w:fill="FFFFFF"/>
          <w:lang w:eastAsia="sk-SK"/>
        </w:rPr>
        <w:t xml:space="preserve">sa </w:t>
      </w:r>
      <w:r w:rsidRPr="00ED4E01">
        <w:rPr>
          <w:shd w:val="clear" w:color="auto" w:fill="FFFFFF"/>
          <w:lang w:eastAsia="sk-SK"/>
        </w:rPr>
        <w:t>súčet výsledných úväzkov všetkých všeobecných lekárov</w:t>
      </w:r>
      <w:r>
        <w:rPr>
          <w:shd w:val="clear" w:color="auto" w:fill="FFFFFF"/>
          <w:lang w:eastAsia="sk-SK"/>
        </w:rPr>
        <w:t>, ktorý vyjadruje</w:t>
      </w:r>
      <w:r w:rsidRPr="00ED4E01">
        <w:rPr>
          <w:shd w:val="clear" w:color="auto" w:fill="FFFFFF"/>
          <w:lang w:eastAsia="sk-SK"/>
        </w:rPr>
        <w:t xml:space="preserve"> </w:t>
      </w:r>
      <w:r>
        <w:rPr>
          <w:shd w:val="clear" w:color="auto" w:fill="FFFFFF"/>
          <w:lang w:eastAsia="sk-SK"/>
        </w:rPr>
        <w:t>p</w:t>
      </w:r>
      <w:r w:rsidR="00ED4E01" w:rsidRPr="00ED4E01">
        <w:rPr>
          <w:shd w:val="clear" w:color="auto" w:fill="FFFFFF"/>
          <w:lang w:eastAsia="sk-SK"/>
        </w:rPr>
        <w:t>očet lekárskych miest vo verejnej sieti poskytovateľov všeobecnej ambulantne</w:t>
      </w:r>
      <w:r>
        <w:rPr>
          <w:shd w:val="clear" w:color="auto" w:fill="FFFFFF"/>
          <w:lang w:eastAsia="sk-SK"/>
        </w:rPr>
        <w:t>j starostlivosti</w:t>
      </w:r>
    </w:p>
    <w:p w:rsidR="00ED4E01" w:rsidRPr="00ED4E01" w:rsidRDefault="00ED4E01" w:rsidP="00ED4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D4E0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k-SK"/>
        </w:rPr>
        <w:t>∑LM</w:t>
      </w:r>
      <w:r w:rsidRPr="00ED4E0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sk-SK"/>
        </w:rPr>
        <w:t>1…n</w:t>
      </w:r>
    </w:p>
    <w:p w:rsidR="00ED4E01" w:rsidRPr="007A5C79" w:rsidRDefault="00ED4E01" w:rsidP="007D04CF">
      <w:pPr>
        <w:rPr>
          <w:rFonts w:ascii="Times New Roman" w:hAnsi="Times New Roman"/>
          <w:sz w:val="24"/>
          <w:szCs w:val="24"/>
        </w:rPr>
      </w:pPr>
    </w:p>
    <w:sectPr w:rsidR="00ED4E01" w:rsidRPr="007A5C79" w:rsidSect="003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70" w:rsidRDefault="00FF1C70" w:rsidP="00AF3EED">
      <w:pPr>
        <w:spacing w:after="0" w:line="240" w:lineRule="auto"/>
      </w:pPr>
      <w:r>
        <w:separator/>
      </w:r>
    </w:p>
  </w:endnote>
  <w:endnote w:type="continuationSeparator" w:id="0">
    <w:p w:rsidR="00FF1C70" w:rsidRDefault="00FF1C70" w:rsidP="00A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72" w:rsidRPr="0003529E" w:rsidRDefault="006F6372" w:rsidP="00B74829">
    <w:pPr>
      <w:tabs>
        <w:tab w:val="left" w:pos="1560"/>
        <w:tab w:val="left" w:pos="3969"/>
        <w:tab w:val="left" w:pos="7797"/>
      </w:tabs>
      <w:spacing w:after="0" w:line="240" w:lineRule="auto"/>
      <w:rPr>
        <w:rFonts w:eastAsia="Times New Roman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70" w:rsidRDefault="00FF1C70" w:rsidP="00AF3EED">
      <w:pPr>
        <w:spacing w:after="0" w:line="240" w:lineRule="auto"/>
      </w:pPr>
      <w:r>
        <w:separator/>
      </w:r>
    </w:p>
  </w:footnote>
  <w:footnote w:type="continuationSeparator" w:id="0">
    <w:p w:rsidR="00FF1C70" w:rsidRDefault="00FF1C70" w:rsidP="00AF3EED">
      <w:pPr>
        <w:spacing w:after="0" w:line="240" w:lineRule="auto"/>
      </w:pPr>
      <w:r>
        <w:continuationSeparator/>
      </w:r>
    </w:p>
  </w:footnote>
  <w:footnote w:id="1">
    <w:p w:rsidR="006F6372" w:rsidRPr="00D95312" w:rsidRDefault="006F6372" w:rsidP="00AF3EED">
      <w:pPr>
        <w:pStyle w:val="Textpoznmkypodiarou"/>
        <w:tabs>
          <w:tab w:val="left" w:pos="284"/>
        </w:tabs>
        <w:ind w:left="284" w:hanging="284"/>
        <w:rPr>
          <w:rFonts w:ascii="Times New Roman" w:hAnsi="Times New Roman"/>
        </w:rPr>
      </w:pPr>
      <w:r w:rsidRPr="00D95312">
        <w:rPr>
          <w:rStyle w:val="Odkaznapoznmkupodiarou"/>
          <w:rFonts w:ascii="Times New Roman" w:hAnsi="Times New Roman"/>
        </w:rPr>
        <w:footnoteRef/>
      </w:r>
      <w:r w:rsidRPr="00D95312">
        <w:rPr>
          <w:rFonts w:ascii="Times New Roman" w:hAnsi="Times New Roman"/>
        </w:rPr>
        <w:t>) § 3 zákona č. 580/2004  Z. z. o zdravotnom poistení a o zmene a doplnení zákona č. 95/2002 Z. z. o poisťovníctve a o zmene a doplnení niektorých zákonov</w:t>
      </w:r>
      <w:r>
        <w:rPr>
          <w:rFonts w:ascii="Times New Roman" w:hAnsi="Times New Roman"/>
        </w:rPr>
        <w:t xml:space="preserve"> </w:t>
      </w:r>
      <w:r w:rsidRPr="00177490">
        <w:rPr>
          <w:rFonts w:ascii="Times New Roman" w:hAnsi="Times New Roman"/>
        </w:rPr>
        <w:t>v znení neskorších predpisov</w:t>
      </w:r>
    </w:p>
    <w:p w:rsidR="006F6372" w:rsidRPr="00D95312" w:rsidRDefault="006F6372" w:rsidP="00AF3EED">
      <w:pPr>
        <w:pStyle w:val="Textpoznmkypodiarou"/>
        <w:rPr>
          <w:rFonts w:ascii="Times New Roman" w:hAnsi="Times New Roman"/>
        </w:rPr>
      </w:pPr>
    </w:p>
  </w:footnote>
  <w:footnote w:id="2">
    <w:p w:rsidR="006F6372" w:rsidRPr="00D95312" w:rsidRDefault="006F6372" w:rsidP="00AF3EED">
      <w:pPr>
        <w:pStyle w:val="Bezriadkovania"/>
        <w:rPr>
          <w:rFonts w:ascii="Times New Roman" w:hAnsi="Times New Roman"/>
          <w:sz w:val="20"/>
          <w:szCs w:val="20"/>
        </w:rPr>
      </w:pPr>
      <w:r w:rsidRPr="00D95312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D95312">
        <w:rPr>
          <w:rFonts w:ascii="Times New Roman" w:hAnsi="Times New Roman"/>
          <w:sz w:val="20"/>
          <w:szCs w:val="20"/>
        </w:rPr>
        <w:t>)   § 12 ods. 1 zákona č. 576/2004 Z. z. o zdravotnej starostlivosti, službách súvisiacich s poskytovaním zdravotnej starostlivosti a o zmene a doplnení niektorých zákonov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490">
        <w:rPr>
          <w:rFonts w:ascii="Times New Roman" w:hAnsi="Times New Roman"/>
          <w:sz w:val="20"/>
          <w:szCs w:val="20"/>
        </w:rPr>
        <w:t>v znení zákona č. 41/2013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B32C8"/>
    <w:multiLevelType w:val="hybridMultilevel"/>
    <w:tmpl w:val="AE7094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542C"/>
    <w:multiLevelType w:val="hybridMultilevel"/>
    <w:tmpl w:val="7D3282C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AF8"/>
    <w:multiLevelType w:val="hybridMultilevel"/>
    <w:tmpl w:val="AC2C9F82"/>
    <w:lvl w:ilvl="0" w:tplc="EC9E2A02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899064A"/>
    <w:multiLevelType w:val="hybridMultilevel"/>
    <w:tmpl w:val="F8A21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612C"/>
    <w:multiLevelType w:val="hybridMultilevel"/>
    <w:tmpl w:val="E02483B6"/>
    <w:lvl w:ilvl="0" w:tplc="3DE2662A">
      <w:start w:val="1"/>
      <w:numFmt w:val="lowerLetter"/>
      <w:lvlText w:val="%1)"/>
      <w:lvlJc w:val="left"/>
      <w:pPr>
        <w:ind w:left="4472" w:hanging="360"/>
      </w:pPr>
      <w:rPr>
        <w:i w:val="0"/>
      </w:rPr>
    </w:lvl>
    <w:lvl w:ilvl="1" w:tplc="041B000F">
      <w:start w:val="1"/>
      <w:numFmt w:val="decimal"/>
      <w:lvlText w:val="%2."/>
      <w:lvlJc w:val="left"/>
      <w:pPr>
        <w:ind w:left="5192" w:hanging="360"/>
      </w:pPr>
    </w:lvl>
    <w:lvl w:ilvl="2" w:tplc="EC9E2A02">
      <w:start w:val="1"/>
      <w:numFmt w:val="lowerLetter"/>
      <w:lvlText w:val="%3."/>
      <w:lvlJc w:val="left"/>
      <w:pPr>
        <w:ind w:left="5912" w:hanging="180"/>
      </w:pPr>
      <w:rPr>
        <w:rFonts w:hint="default"/>
        <w:i w:val="0"/>
      </w:rPr>
    </w:lvl>
    <w:lvl w:ilvl="3" w:tplc="041B000F" w:tentative="1">
      <w:start w:val="1"/>
      <w:numFmt w:val="decimal"/>
      <w:lvlText w:val="%4."/>
      <w:lvlJc w:val="left"/>
      <w:pPr>
        <w:ind w:left="6632" w:hanging="360"/>
      </w:pPr>
    </w:lvl>
    <w:lvl w:ilvl="4" w:tplc="041B0019" w:tentative="1">
      <w:start w:val="1"/>
      <w:numFmt w:val="lowerLetter"/>
      <w:lvlText w:val="%5."/>
      <w:lvlJc w:val="left"/>
      <w:pPr>
        <w:ind w:left="7352" w:hanging="360"/>
      </w:pPr>
    </w:lvl>
    <w:lvl w:ilvl="5" w:tplc="041B001B" w:tentative="1">
      <w:start w:val="1"/>
      <w:numFmt w:val="lowerRoman"/>
      <w:lvlText w:val="%6."/>
      <w:lvlJc w:val="right"/>
      <w:pPr>
        <w:ind w:left="8072" w:hanging="180"/>
      </w:pPr>
    </w:lvl>
    <w:lvl w:ilvl="6" w:tplc="041B000F" w:tentative="1">
      <w:start w:val="1"/>
      <w:numFmt w:val="decimal"/>
      <w:lvlText w:val="%7."/>
      <w:lvlJc w:val="left"/>
      <w:pPr>
        <w:ind w:left="8792" w:hanging="360"/>
      </w:pPr>
    </w:lvl>
    <w:lvl w:ilvl="7" w:tplc="041B0019" w:tentative="1">
      <w:start w:val="1"/>
      <w:numFmt w:val="lowerLetter"/>
      <w:lvlText w:val="%8."/>
      <w:lvlJc w:val="left"/>
      <w:pPr>
        <w:ind w:left="9512" w:hanging="360"/>
      </w:pPr>
    </w:lvl>
    <w:lvl w:ilvl="8" w:tplc="041B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11D5486F"/>
    <w:multiLevelType w:val="hybridMultilevel"/>
    <w:tmpl w:val="29422A0A"/>
    <w:lvl w:ilvl="0" w:tplc="041B000F">
      <w:start w:val="1"/>
      <w:numFmt w:val="decimal"/>
      <w:lvlText w:val="%1."/>
      <w:lvlJc w:val="left"/>
      <w:pPr>
        <w:ind w:left="1116" w:hanging="360"/>
      </w:pPr>
    </w:lvl>
    <w:lvl w:ilvl="1" w:tplc="041B0019">
      <w:start w:val="1"/>
      <w:numFmt w:val="lowerLetter"/>
      <w:lvlText w:val="%2."/>
      <w:lvlJc w:val="left"/>
      <w:pPr>
        <w:ind w:left="1836" w:hanging="360"/>
      </w:pPr>
    </w:lvl>
    <w:lvl w:ilvl="2" w:tplc="041B001B">
      <w:start w:val="1"/>
      <w:numFmt w:val="lowerRoman"/>
      <w:lvlText w:val="%3."/>
      <w:lvlJc w:val="right"/>
      <w:pPr>
        <w:ind w:left="2556" w:hanging="180"/>
      </w:pPr>
    </w:lvl>
    <w:lvl w:ilvl="3" w:tplc="041B000F" w:tentative="1">
      <w:start w:val="1"/>
      <w:numFmt w:val="decimal"/>
      <w:lvlText w:val="%4."/>
      <w:lvlJc w:val="left"/>
      <w:pPr>
        <w:ind w:left="3276" w:hanging="360"/>
      </w:pPr>
    </w:lvl>
    <w:lvl w:ilvl="4" w:tplc="041B0019" w:tentative="1">
      <w:start w:val="1"/>
      <w:numFmt w:val="lowerLetter"/>
      <w:lvlText w:val="%5."/>
      <w:lvlJc w:val="left"/>
      <w:pPr>
        <w:ind w:left="3996" w:hanging="360"/>
      </w:pPr>
    </w:lvl>
    <w:lvl w:ilvl="5" w:tplc="041B001B" w:tentative="1">
      <w:start w:val="1"/>
      <w:numFmt w:val="lowerRoman"/>
      <w:lvlText w:val="%6."/>
      <w:lvlJc w:val="right"/>
      <w:pPr>
        <w:ind w:left="4716" w:hanging="180"/>
      </w:pPr>
    </w:lvl>
    <w:lvl w:ilvl="6" w:tplc="041B000F" w:tentative="1">
      <w:start w:val="1"/>
      <w:numFmt w:val="decimal"/>
      <w:lvlText w:val="%7."/>
      <w:lvlJc w:val="left"/>
      <w:pPr>
        <w:ind w:left="5436" w:hanging="360"/>
      </w:pPr>
    </w:lvl>
    <w:lvl w:ilvl="7" w:tplc="041B0019" w:tentative="1">
      <w:start w:val="1"/>
      <w:numFmt w:val="lowerLetter"/>
      <w:lvlText w:val="%8."/>
      <w:lvlJc w:val="left"/>
      <w:pPr>
        <w:ind w:left="6156" w:hanging="360"/>
      </w:pPr>
    </w:lvl>
    <w:lvl w:ilvl="8" w:tplc="041B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130F6A4A"/>
    <w:multiLevelType w:val="hybridMultilevel"/>
    <w:tmpl w:val="D72686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ABFA4900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663AA"/>
    <w:multiLevelType w:val="hybridMultilevel"/>
    <w:tmpl w:val="31307D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F908D6"/>
    <w:multiLevelType w:val="hybridMultilevel"/>
    <w:tmpl w:val="0D524446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2B6D"/>
    <w:multiLevelType w:val="hybridMultilevel"/>
    <w:tmpl w:val="525040A4"/>
    <w:lvl w:ilvl="0" w:tplc="8720624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AD6"/>
    <w:multiLevelType w:val="hybridMultilevel"/>
    <w:tmpl w:val="873A6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535A"/>
    <w:multiLevelType w:val="multilevel"/>
    <w:tmpl w:val="BB761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CF3AEF"/>
    <w:multiLevelType w:val="hybridMultilevel"/>
    <w:tmpl w:val="38DCADB0"/>
    <w:lvl w:ilvl="0" w:tplc="041B0017">
      <w:start w:val="1"/>
      <w:numFmt w:val="lowerLetter"/>
      <w:lvlText w:val="%1)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6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E1C1182"/>
    <w:multiLevelType w:val="multilevel"/>
    <w:tmpl w:val="A35C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9F64DE9"/>
    <w:multiLevelType w:val="multilevel"/>
    <w:tmpl w:val="BB761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8A51E8"/>
    <w:multiLevelType w:val="hybridMultilevel"/>
    <w:tmpl w:val="CB503A3C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217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1F98"/>
    <w:multiLevelType w:val="hybridMultilevel"/>
    <w:tmpl w:val="6FE28C7C"/>
    <w:lvl w:ilvl="0" w:tplc="D2F24ABA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27C4F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A3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AE1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D45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AC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168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226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C1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0"/>
  </w:num>
  <w:num w:numId="5">
    <w:abstractNumId w:val="25"/>
  </w:num>
  <w:num w:numId="6">
    <w:abstractNumId w:val="21"/>
  </w:num>
  <w:num w:numId="7">
    <w:abstractNumId w:val="22"/>
  </w:num>
  <w:num w:numId="8">
    <w:abstractNumId w:val="19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11"/>
  </w:num>
  <w:num w:numId="14">
    <w:abstractNumId w:val="2"/>
  </w:num>
  <w:num w:numId="15">
    <w:abstractNumId w:val="14"/>
  </w:num>
  <w:num w:numId="16">
    <w:abstractNumId w:val="23"/>
  </w:num>
  <w:num w:numId="17">
    <w:abstractNumId w:val="13"/>
  </w:num>
  <w:num w:numId="18">
    <w:abstractNumId w:val="3"/>
  </w:num>
  <w:num w:numId="19">
    <w:abstractNumId w:val="15"/>
  </w:num>
  <w:num w:numId="20">
    <w:abstractNumId w:val="8"/>
  </w:num>
  <w:num w:numId="21">
    <w:abstractNumId w:val="10"/>
  </w:num>
  <w:num w:numId="22">
    <w:abstractNumId w:val="18"/>
  </w:num>
  <w:num w:numId="23">
    <w:abstractNumId w:val="6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D"/>
    <w:rsid w:val="00014860"/>
    <w:rsid w:val="000203F2"/>
    <w:rsid w:val="00031996"/>
    <w:rsid w:val="000B2824"/>
    <w:rsid w:val="000B6190"/>
    <w:rsid w:val="000E0661"/>
    <w:rsid w:val="000F308D"/>
    <w:rsid w:val="001132C6"/>
    <w:rsid w:val="00177490"/>
    <w:rsid w:val="00182EE1"/>
    <w:rsid w:val="002111A1"/>
    <w:rsid w:val="00226AF9"/>
    <w:rsid w:val="00232BA1"/>
    <w:rsid w:val="002512E2"/>
    <w:rsid w:val="0025259A"/>
    <w:rsid w:val="0027456E"/>
    <w:rsid w:val="00287CD9"/>
    <w:rsid w:val="002D2720"/>
    <w:rsid w:val="002F3D1F"/>
    <w:rsid w:val="003072E8"/>
    <w:rsid w:val="00337AD9"/>
    <w:rsid w:val="003606D1"/>
    <w:rsid w:val="00365520"/>
    <w:rsid w:val="003774A3"/>
    <w:rsid w:val="003B7DC3"/>
    <w:rsid w:val="003C716E"/>
    <w:rsid w:val="003D0AC6"/>
    <w:rsid w:val="004120A9"/>
    <w:rsid w:val="00447EDE"/>
    <w:rsid w:val="00490EF5"/>
    <w:rsid w:val="004B6ADD"/>
    <w:rsid w:val="004D24B8"/>
    <w:rsid w:val="004D5F5B"/>
    <w:rsid w:val="0051539B"/>
    <w:rsid w:val="0058509E"/>
    <w:rsid w:val="00587545"/>
    <w:rsid w:val="00610908"/>
    <w:rsid w:val="00620E41"/>
    <w:rsid w:val="00625AA2"/>
    <w:rsid w:val="006300B6"/>
    <w:rsid w:val="00634EC5"/>
    <w:rsid w:val="00647B13"/>
    <w:rsid w:val="006758C8"/>
    <w:rsid w:val="006B40BB"/>
    <w:rsid w:val="006D29CA"/>
    <w:rsid w:val="006D495E"/>
    <w:rsid w:val="006F6372"/>
    <w:rsid w:val="007705D5"/>
    <w:rsid w:val="007A5C79"/>
    <w:rsid w:val="007D04CF"/>
    <w:rsid w:val="007D7FA0"/>
    <w:rsid w:val="007E6096"/>
    <w:rsid w:val="008006BA"/>
    <w:rsid w:val="008A07E9"/>
    <w:rsid w:val="008C0D4D"/>
    <w:rsid w:val="008F7B57"/>
    <w:rsid w:val="00985C85"/>
    <w:rsid w:val="009A5926"/>
    <w:rsid w:val="009A655E"/>
    <w:rsid w:val="009C35BA"/>
    <w:rsid w:val="00A12908"/>
    <w:rsid w:val="00A2590D"/>
    <w:rsid w:val="00A43D19"/>
    <w:rsid w:val="00A5205F"/>
    <w:rsid w:val="00A57A18"/>
    <w:rsid w:val="00A63ACC"/>
    <w:rsid w:val="00A729CF"/>
    <w:rsid w:val="00A8755B"/>
    <w:rsid w:val="00AE2C42"/>
    <w:rsid w:val="00AE7A2F"/>
    <w:rsid w:val="00AF3EED"/>
    <w:rsid w:val="00B043AC"/>
    <w:rsid w:val="00B11EE8"/>
    <w:rsid w:val="00B61776"/>
    <w:rsid w:val="00B642E2"/>
    <w:rsid w:val="00B74829"/>
    <w:rsid w:val="00B967FB"/>
    <w:rsid w:val="00BB74A8"/>
    <w:rsid w:val="00C62BFB"/>
    <w:rsid w:val="00CB736B"/>
    <w:rsid w:val="00CC640D"/>
    <w:rsid w:val="00CD230E"/>
    <w:rsid w:val="00D517F5"/>
    <w:rsid w:val="00D76225"/>
    <w:rsid w:val="00D80B37"/>
    <w:rsid w:val="00DB21BD"/>
    <w:rsid w:val="00DC0EC8"/>
    <w:rsid w:val="00DE754B"/>
    <w:rsid w:val="00E164A2"/>
    <w:rsid w:val="00E37545"/>
    <w:rsid w:val="00E723F5"/>
    <w:rsid w:val="00ED2264"/>
    <w:rsid w:val="00ED4E01"/>
    <w:rsid w:val="00F17AE8"/>
    <w:rsid w:val="00F2706E"/>
    <w:rsid w:val="00F859CC"/>
    <w:rsid w:val="00FB0BE6"/>
    <w:rsid w:val="00FE0C70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AE2A-71DB-4AB4-919B-40539D1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EE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AF3EED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AF3EED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AF3E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9"/>
    <w:qFormat/>
    <w:rsid w:val="00AF3E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F3EED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F3EED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F3EED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F3EED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F3EED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AF3EE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rsid w:val="00AF3EED"/>
    <w:rPr>
      <w:rFonts w:ascii="Arial Narrow" w:eastAsia="MS Gothic" w:hAnsi="Arial Narrow" w:cs="Times New Roman"/>
      <w:b/>
      <w:bCs/>
      <w:iCs/>
      <w:noProof/>
      <w:sz w:val="28"/>
      <w:szCs w:val="28"/>
      <w:lang w:eastAsia="sk-SK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AF3EED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9"/>
    <w:rsid w:val="00AF3EE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F3EED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F3EE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F3EED"/>
    <w:rPr>
      <w:rFonts w:ascii="Times New Roman" w:eastAsia="Times New Roman" w:hAnsi="Times New Roman" w:cs="Times New Roman"/>
      <w:b/>
      <w:sz w:val="32"/>
      <w:szCs w:val="20"/>
      <w:shd w:val="clear" w:color="auto" w:fill="008000"/>
      <w:lang w:eastAsia="sk-SK"/>
    </w:rPr>
  </w:style>
  <w:style w:type="character" w:customStyle="1" w:styleId="Nadpis8Char">
    <w:name w:val="Nadpis 8 Char"/>
    <w:basedOn w:val="Predvolenpsmoodseku"/>
    <w:link w:val="Nadpis8"/>
    <w:rsid w:val="00AF3EE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AF3EED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AF3EED"/>
    <w:pPr>
      <w:tabs>
        <w:tab w:val="left" w:pos="660"/>
        <w:tab w:val="right" w:leader="dot" w:pos="9488"/>
      </w:tabs>
      <w:ind w:left="284"/>
    </w:pPr>
    <w:rPr>
      <w:rFonts w:ascii="Arial Narrow" w:hAnsi="Arial Narrow"/>
      <w:noProof/>
      <w:sz w:val="20"/>
      <w:szCs w:val="20"/>
      <w:lang w:eastAsia="sk-SK"/>
    </w:rPr>
  </w:style>
  <w:style w:type="paragraph" w:customStyle="1" w:styleId="Text2">
    <w:name w:val="Text2"/>
    <w:basedOn w:val="Normlny"/>
    <w:rsid w:val="00AF3EE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AF3EE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AF3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3EE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F3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3EED"/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AF3EED"/>
    <w:pPr>
      <w:tabs>
        <w:tab w:val="left" w:pos="351"/>
        <w:tab w:val="right" w:leader="dot" w:pos="9498"/>
      </w:tabs>
    </w:pPr>
  </w:style>
  <w:style w:type="paragraph" w:customStyle="1" w:styleId="Normal1">
    <w:name w:val="Normal1"/>
    <w:basedOn w:val="Normlny"/>
    <w:autoRedefine/>
    <w:rsid w:val="00AF3EED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AF3EED"/>
  </w:style>
  <w:style w:type="paragraph" w:styleId="Obsah3">
    <w:name w:val="toc 3"/>
    <w:basedOn w:val="Normlny"/>
    <w:next w:val="Normlny"/>
    <w:autoRedefine/>
    <w:uiPriority w:val="39"/>
    <w:rsid w:val="00AF3EED"/>
    <w:pPr>
      <w:ind w:left="440"/>
    </w:pPr>
  </w:style>
  <w:style w:type="paragraph" w:styleId="Zoznamsodrkami">
    <w:name w:val="List Bullet"/>
    <w:basedOn w:val="Normlny"/>
    <w:autoRedefine/>
    <w:semiHidden/>
    <w:rsid w:val="00AF3EE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AF3EE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AF3EED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AF3EED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AF3EED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AF3EED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AF3EED"/>
    <w:pPr>
      <w:numPr>
        <w:numId w:val="7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F3EED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3EED"/>
    <w:rPr>
      <w:rFonts w:ascii="Arial Narrow" w:eastAsia="Times New Roman" w:hAnsi="Arial Narrow" w:cs="Times New Roman"/>
      <w:sz w:val="20"/>
      <w:szCs w:val="20"/>
    </w:rPr>
  </w:style>
  <w:style w:type="character" w:styleId="Hypertextovprepojenie">
    <w:name w:val="Hyperlink"/>
    <w:uiPriority w:val="99"/>
    <w:rsid w:val="00AF3EED"/>
    <w:rPr>
      <w:color w:val="0000FF"/>
      <w:u w:val="single"/>
    </w:rPr>
  </w:style>
  <w:style w:type="paragraph" w:styleId="Zoznam">
    <w:name w:val="List"/>
    <w:basedOn w:val="Normlny"/>
    <w:semiHidden/>
    <w:rsid w:val="00AF3EE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AF3EE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AF3E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AF3EED"/>
    <w:pPr>
      <w:numPr>
        <w:ilvl w:val="1"/>
        <w:numId w:val="8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AF3EED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AF3EED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E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AF3EED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AF3EED"/>
    <w:rPr>
      <w:rFonts w:ascii="Arial" w:hAnsi="Arial"/>
      <w:sz w:val="20"/>
    </w:rPr>
  </w:style>
  <w:style w:type="paragraph" w:customStyle="1" w:styleId="tl3">
    <w:name w:val="Štýl3"/>
    <w:basedOn w:val="Normlny1"/>
    <w:rsid w:val="00AF3EED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AF3EE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AF3E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AF3EED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AF3EED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AF3EE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F3EE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F3EE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F3EE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AF3E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F3EE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PouitHypertextovPrepojenie">
    <w:name w:val="FollowedHyperlink"/>
    <w:rsid w:val="00AF3EED"/>
    <w:rPr>
      <w:color w:val="800080"/>
      <w:u w:val="single"/>
    </w:rPr>
  </w:style>
  <w:style w:type="character" w:styleId="Odkaznakomentr">
    <w:name w:val="annotation reference"/>
    <w:uiPriority w:val="99"/>
    <w:rsid w:val="00AF3E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F3E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3EE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3E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F3EED"/>
    <w:rPr>
      <w:rFonts w:ascii="Calibri" w:eastAsia="Calibri" w:hAnsi="Calibri" w:cs="Times New Roman"/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F3E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F3EED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customStyle="1" w:styleId="msolistparagraph0">
    <w:name w:val="msolistparagraph"/>
    <w:basedOn w:val="Normlny"/>
    <w:rsid w:val="00AF3EED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AF3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F3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podsek">
    <w:name w:val="1podsek"/>
    <w:basedOn w:val="Odsekzoznamu"/>
    <w:qFormat/>
    <w:rsid w:val="00AF3EED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AF3EE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AF3EED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F3EED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F3EED"/>
    <w:rPr>
      <w:rFonts w:ascii="Consolas" w:eastAsia="Calibri" w:hAnsi="Consolas" w:cs="Times New Roman"/>
      <w:sz w:val="21"/>
      <w:szCs w:val="21"/>
    </w:rPr>
  </w:style>
  <w:style w:type="paragraph" w:styleId="Podtitul">
    <w:name w:val="Subtitle"/>
    <w:basedOn w:val="Normlny"/>
    <w:link w:val="PodtitulChar"/>
    <w:qFormat/>
    <w:rsid w:val="00AF3EE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AF3EED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customStyle="1" w:styleId="go">
    <w:name w:val="go"/>
    <w:basedOn w:val="Normlny"/>
    <w:rsid w:val="00AF3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AF3EED"/>
    <w:rPr>
      <w:i/>
      <w:iCs/>
    </w:rPr>
  </w:style>
  <w:style w:type="paragraph" w:customStyle="1" w:styleId="l2">
    <w:name w:val="l2"/>
    <w:basedOn w:val="Normlny"/>
    <w:rsid w:val="00AF3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AF3EED"/>
  </w:style>
  <w:style w:type="character" w:customStyle="1" w:styleId="rs-person">
    <w:name w:val="rs-person"/>
    <w:rsid w:val="00AF3EED"/>
  </w:style>
  <w:style w:type="paragraph" w:customStyle="1" w:styleId="PoznTxt">
    <w:name w:val="PoznTxt"/>
    <w:basedOn w:val="Normlny"/>
    <w:rsid w:val="00AF3EED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AF3EED"/>
    <w:pPr>
      <w:numPr>
        <w:ilvl w:val="1"/>
        <w:numId w:val="10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AF3EE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AF3EED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AF3EED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rsid w:val="00AF3EED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AF3EE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AF3EED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Zvraznenie">
    <w:name w:val="Emphasis"/>
    <w:uiPriority w:val="20"/>
    <w:qFormat/>
    <w:rsid w:val="00AF3EED"/>
    <w:rPr>
      <w:i/>
      <w:iCs/>
    </w:rPr>
  </w:style>
  <w:style w:type="paragraph" w:styleId="Zkladntext2">
    <w:name w:val="Body Text 2"/>
    <w:basedOn w:val="Normlny"/>
    <w:link w:val="Zkladntext2Char"/>
    <w:rsid w:val="00AF3E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F3EED"/>
    <w:rPr>
      <w:rFonts w:ascii="Calibri" w:eastAsia="Calibri" w:hAnsi="Calibri"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AF3EE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AF3EE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rsid w:val="00AF3EED"/>
  </w:style>
  <w:style w:type="character" w:styleId="Odkaznapoznmkupodiarou">
    <w:name w:val="footnote reference"/>
    <w:basedOn w:val="Predvolenpsmoodseku"/>
    <w:uiPriority w:val="99"/>
    <w:semiHidden/>
    <w:unhideWhenUsed/>
    <w:rsid w:val="00AF3EED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AF3EED"/>
    <w:rPr>
      <w:rFonts w:ascii="Source Sans Pro" w:hAnsi="Source Sans Pro"/>
      <w:i/>
      <w:iCs/>
      <w:color w:val="404040" w:themeColor="text1" w:themeTint="BF"/>
      <w:sz w:val="18"/>
    </w:rPr>
  </w:style>
  <w:style w:type="character" w:customStyle="1" w:styleId="h1a">
    <w:name w:val="h1a"/>
    <w:basedOn w:val="Predvolenpsmoodseku"/>
    <w:rsid w:val="00AF3EED"/>
  </w:style>
  <w:style w:type="paragraph" w:customStyle="1" w:styleId="paragraph">
    <w:name w:val="paragraph"/>
    <w:basedOn w:val="Normlny"/>
    <w:rsid w:val="00AF3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3EED"/>
  </w:style>
  <w:style w:type="character" w:customStyle="1" w:styleId="eop">
    <w:name w:val="eop"/>
    <w:basedOn w:val="Predvolenpsmoodseku"/>
    <w:rsid w:val="00AF3EED"/>
  </w:style>
  <w:style w:type="paragraph" w:styleId="Revzia">
    <w:name w:val="Revision"/>
    <w:hidden/>
    <w:uiPriority w:val="99"/>
    <w:semiHidden/>
    <w:rsid w:val="00AF3EED"/>
    <w:pPr>
      <w:spacing w:after="0" w:line="240" w:lineRule="auto"/>
      <w:jc w:val="left"/>
    </w:pPr>
  </w:style>
  <w:style w:type="table" w:customStyle="1" w:styleId="Mriekatabuky4">
    <w:name w:val="Mriežka tabuľky4"/>
    <w:basedOn w:val="Normlnatabuka"/>
    <w:next w:val="Mriekatabuky"/>
    <w:uiPriority w:val="99"/>
    <w:unhideWhenUsed/>
    <w:rsid w:val="00AF3EED"/>
    <w:pPr>
      <w:spacing w:after="0" w:line="240" w:lineRule="auto"/>
      <w:jc w:val="left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AF3EED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AF3EED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k-SK"/>
    </w:rPr>
  </w:style>
  <w:style w:type="paragraph" w:customStyle="1" w:styleId="Zakladnystyl">
    <w:name w:val="Zakladny styl"/>
    <w:rsid w:val="00AF3EE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asorob">
    <w:name w:val="Heading 1.Čo robí (časť).Časť (čo robí)"/>
    <w:basedOn w:val="Normlny"/>
    <w:next w:val="Normlny"/>
    <w:rsid w:val="00AF3EED"/>
    <w:pPr>
      <w:tabs>
        <w:tab w:val="num" w:pos="567"/>
      </w:tabs>
      <w:spacing w:before="360" w:after="0" w:line="240" w:lineRule="auto"/>
      <w:ind w:left="567" w:hanging="567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Heading2lohaKomu">
    <w:name w:val="Heading 2.Úloha.Komu"/>
    <w:basedOn w:val="Normlny"/>
    <w:rsid w:val="00AF3EED"/>
    <w:pPr>
      <w:tabs>
        <w:tab w:val="num" w:pos="1418"/>
      </w:tabs>
      <w:spacing w:before="120" w:after="0" w:line="240" w:lineRule="auto"/>
      <w:ind w:left="1418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site">
    <w:name w:val="Nositeľ"/>
    <w:basedOn w:val="Zakladnystyl"/>
    <w:next w:val="Heading2lohaKomu"/>
    <w:rsid w:val="00AF3EED"/>
    <w:pPr>
      <w:spacing w:before="240" w:after="120"/>
      <w:ind w:left="567"/>
    </w:pPr>
    <w:rPr>
      <w:b/>
      <w:bCs/>
    </w:rPr>
  </w:style>
  <w:style w:type="character" w:customStyle="1" w:styleId="mo">
    <w:name w:val="mo"/>
    <w:basedOn w:val="Predvolenpsmoodseku"/>
    <w:rsid w:val="00ED4E01"/>
  </w:style>
  <w:style w:type="character" w:customStyle="1" w:styleId="mi">
    <w:name w:val="mi"/>
    <w:basedOn w:val="Predvolenpsmoodseku"/>
    <w:rsid w:val="00ED4E01"/>
  </w:style>
  <w:style w:type="character" w:customStyle="1" w:styleId="mn">
    <w:name w:val="mn"/>
    <w:basedOn w:val="Predvolenpsmoodseku"/>
    <w:rsid w:val="00ED4E01"/>
  </w:style>
  <w:style w:type="character" w:customStyle="1" w:styleId="mjxassistivemathml">
    <w:name w:val="mjx_assistive_mathml"/>
    <w:basedOn w:val="Predvolenpsmoodseku"/>
    <w:rsid w:val="00ED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ov-lex.sk/pravne-predpisy/SK/ZZ/2004/57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766955048b82f3b9064ce6a4e237215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39e829307eed9d4125223e80f91d891b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04_vlastny_material"/>
    <f:field ref="objsubject" par="" edit="true" text=""/>
    <f:field ref="objcreatedby" par="" text="Szakácsová, Zuzana, Mgr."/>
    <f:field ref="objcreatedat" par="" text="28.10.2021 9:00:52"/>
    <f:field ref="objchangedby" par="" text="Administrator, System"/>
    <f:field ref="objmodifiedat" par="" text="28.10.2021 9:00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A4E9-BFA4-457F-9A7E-61EB62B03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3FECA-7B7E-4CE9-8E60-70305F1CD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B5ABBD4-5FE8-40B1-AD89-E56542B8A8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106090-B5CF-47A1-B63E-C92D218A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Povalová Lucia</dc:creator>
  <cp:keywords/>
  <dc:description/>
  <cp:lastModifiedBy>Kisová Gabriela</cp:lastModifiedBy>
  <cp:revision>2</cp:revision>
  <cp:lastPrinted>2021-10-28T06:25:00Z</cp:lastPrinted>
  <dcterms:created xsi:type="dcterms:W3CDTF">2021-12-08T06:27:00Z</dcterms:created>
  <dcterms:modified xsi:type="dcterms:W3CDTF">2021-12-08T06:27:00Z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align="center"&gt;&amp;nbsp;&lt;/p&gt;&lt;table align="left" border="1" cellpadding="0" cellspacing="0" style="width: 99%;" width="99%"&gt;	&lt;tbody&gt;		&lt;tr&gt;			&lt;td colspan="5" style="width: 100%; height: 36px;"&gt;			&lt;p align="center"&gt;&lt;strong&gt;Správa o účasti verejnosti na tvorb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spôsobe ustanovenia verejnej minimálnej siete poskytovateľov všeobecnej ambulantnej starostlivosti pre dospelých a všeobecnej ambulantnej starostlivosti pre deti a dorast, maximálnom čase dojazdu, spôsobe výpočtu miestnej dostupnosti, spôsobe výpočtu p</vt:lpwstr>
  </property>
  <property fmtid="{D5CDD505-2E9C-101B-9397-08002B2CF9AE}" pid="15" name="FSC#SKEDITIONSLOVLEX@103.510:nazovpredpis1">
    <vt:lpwstr>otrebnej kapacity poskytovateľov všeobecnej ambulantnej starostlivosti pre dospelých a všeobecnej ambulantnej starostlivosti pre deti a dorast, podrobnostiach o postupe, povinných subjektoch, sprístupňovaných údajoch a o výsledkoch vyhodnocovania stavu v</vt:lpwstr>
  </property>
  <property fmtid="{D5CDD505-2E9C-101B-9397-08002B2CF9AE}" pid="16" name="FSC#SKEDITIONSLOVLEX@103.510:nazovpredpis2">
    <vt:lpwstr>erejnej minimálnej siete poskytovateľov všeobecnej ambulantnej starostlivosti, normatívnom počte kapitovaných poistencov na jedno lekárske miesto u poskytovateľa všeobecnej ambulantnej starostlivosti pre dospelých a u poskytovateľa všeobecnej ambulantnej</vt:lpwstr>
  </property>
  <property fmtid="{D5CDD505-2E9C-101B-9397-08002B2CF9AE}" pid="17" name="FSC#SKEDITIONSLOVLEX@103.510:nazovpredpis3">
    <vt:lpwstr> starostlivosti pre deti a dorast a spôsobe zohľadnenia časovej náročnosti poskytovania zdravotnej starostlivosti, parametroch klasifikácie okresov a spôsobe určenia hodnôt vnútroštátnej migrácie pre určenie počtu lekárskych miest verejnej minimálnej sie</vt:lpwstr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o spôsobe ustanovenia verejnej minimálnej siete poskytovateľov všeobecnej ambulantnej starostlivosti pre dospelých a všeobecnej ambulantnej starostlivosti pre deti a dorast, maximálnom čase dojazdu, spôsobe výpočtu </vt:lpwstr>
  </property>
  <property fmtid="{D5CDD505-2E9C-101B-9397-08002B2CF9AE}" pid="24" name="FSC#SKEDITIONSLOVLEX@103.510:plnynazovpredpis1">
    <vt:lpwstr>miestnej dostupnosti, spôsobe výpočtu potrebnej kapacity poskytovateľov všeobecnej ambulantnej starostlivosti pre dospelých a všeobecnej ambulantnej starostlivosti pre deti a dorast, podrobnostiach o postupe, povinných subjektoch, sprístupňovaných údajoc</vt:lpwstr>
  </property>
  <property fmtid="{D5CDD505-2E9C-101B-9397-08002B2CF9AE}" pid="25" name="FSC#SKEDITIONSLOVLEX@103.510:plnynazovpredpis2">
    <vt:lpwstr>h a o výsledkoch vyhodnocovania stavu verejnej minimálnej siete poskytovateľov všeobecnej ambulantnej starostlivosti, normatívnom počte kapitovaných poistencov na jedno lekárske miesto u poskytovateľa všeobecnej ambulantnej starostlivosti pre dospelých a</vt:lpwstr>
  </property>
  <property fmtid="{D5CDD505-2E9C-101B-9397-08002B2CF9AE}" pid="26" name="FSC#SKEDITIONSLOVLEX@103.510:plnynazovpredpis3">
    <vt:lpwstr> u poskytovateľa všeobecnej ambulantnej starostlivosti pre deti a dorast a spôsobe zohľadnenia časovej náročnosti poskytovania zdravotnej starostlivosti, parametroch klasifikácie okresov a spôsobe určenia hodnôt vnútroštátnej migrácie pre určenie počtu l</vt:lpwstr>
  </property>
  <property fmtid="{D5CDD505-2E9C-101B-9397-08002B2CF9AE}" pid="27" name="FSC#SKEDITIONSLOVLEX@103.510:rezortcislopredpis">
    <vt:lpwstr>S23092-2021-OL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                V prípade nevykonania úpravy bude pokračovať stav, podľ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align="center"&gt;&amp;nbsp;&lt;/p&gt;&lt;p&gt;Návrh nariadenia vlády Slovenskej republiky z .... 2021 o spôsobe ustanovenia verejnej minimálnej siete poskytovateľov všeobecnej ambulantnej starostlivosti pre dospelých a všeobecnej ambulantnej&amp;nbsp; starostlivosti pre det</vt:lpwstr>
  </property>
  <property fmtid="{D5CDD505-2E9C-101B-9397-08002B2CF9AE}" pid="150" name="FSC#SKEDITIONSLOVLEX@103.510:vytvorenedna">
    <vt:lpwstr>28. 10. 2021</vt:lpwstr>
  </property>
  <property fmtid="{D5CDD505-2E9C-101B-9397-08002B2CF9AE}" pid="151" name="FSC#COOSYSTEM@1.1:Container">
    <vt:lpwstr>COO.2145.1000.3.4635927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0x010100107BBE2DE9A5E74E814FF3E5463BF0D6</vt:lpwstr>
  </property>
</Properties>
</file>